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before="0" w:after="0"/>
        <w:jc w:val="center"/>
        <w:rPr/>
      </w:pPr>
      <w:r>
        <w:rPr>
          <w:rFonts w:eastAsia="Times New Roman" w:cs="Times New Roman" w:ascii="Times New Roman" w:hAnsi="Times New Roman"/>
          <w:color w:val="000000"/>
          <w:sz w:val="40"/>
          <w:szCs w:val="40"/>
          <w:lang w:eastAsia="uk-UA"/>
        </w:rPr>
        <w:t>Моделювання вексельного обігу</w:t>
      </w:r>
    </w:p>
    <w:p>
      <w:pPr>
        <w:pStyle w:val="Normal"/>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shd w:fill="auto" w:val="clear"/>
        </w:rPr>
        <w:t>ВСТУП</w:t>
      </w:r>
    </w:p>
    <w:p>
      <w:pPr>
        <w:pStyle w:val="Normal"/>
        <w:spacing w:lineRule="auto" w:line="360" w:before="0" w:after="0"/>
        <w:ind w:firstLine="708"/>
        <w:jc w:val="both"/>
        <w:rPr/>
      </w:pPr>
      <w:r>
        <w:rPr>
          <w:rFonts w:cs="Times New Roman" w:ascii="Times New Roman" w:hAnsi="Times New Roman"/>
          <w:color w:val="333333"/>
          <w:sz w:val="28"/>
          <w:szCs w:val="28"/>
          <w:shd w:fill="auto" w:val="clear"/>
        </w:rPr>
        <w:t>1. ТЕОРЕТИЧНІ ТА МЕТОДИЧНІ ПОЛОЖЕННЯ обліку ВЕКСЕЛЬНИХ ОПЕРАЦІЙ</w:t>
      </w:r>
    </w:p>
    <w:p>
      <w:pPr>
        <w:pStyle w:val="Normal"/>
        <w:spacing w:lineRule="auto" w:line="360" w:before="0" w:after="0"/>
        <w:ind w:firstLine="708"/>
        <w:jc w:val="both"/>
        <w:rPr/>
      </w:pPr>
      <w:r>
        <w:rPr>
          <w:rFonts w:cs="Times New Roman" w:ascii="Times New Roman" w:hAnsi="Times New Roman"/>
          <w:sz w:val="28"/>
          <w:szCs w:val="28"/>
        </w:rPr>
        <w:t>1.1 Економічна сутність розрахунків із застосуванням векселів</w:t>
      </w:r>
    </w:p>
    <w:p>
      <w:pPr>
        <w:pStyle w:val="Normal"/>
        <w:spacing w:lineRule="auto" w:line="360" w:before="0" w:after="0"/>
        <w:jc w:val="both"/>
        <w:rPr/>
      </w:pPr>
      <w:r>
        <w:rPr>
          <w:rFonts w:cs="Times New Roman" w:ascii="Times New Roman" w:hAnsi="Times New Roman"/>
          <w:sz w:val="28"/>
          <w:szCs w:val="28"/>
        </w:rPr>
        <w:t>1.2 Нормативно-правова база, що регулює облік вексельних операцій</w:t>
      </w:r>
    </w:p>
    <w:p>
      <w:pPr>
        <w:pStyle w:val="Normal"/>
        <w:spacing w:lineRule="auto" w:line="360" w:before="0" w:after="0"/>
        <w:jc w:val="both"/>
        <w:rPr/>
      </w:pPr>
      <w:r>
        <w:rPr/>
        <w:t xml:space="preserve">1.3 огляд сучасних методів використання векселів </w:t>
      </w:r>
    </w:p>
    <w:p>
      <w:pPr>
        <w:pStyle w:val="Normal"/>
        <w:spacing w:lineRule="auto" w:line="360" w:before="0" w:after="0"/>
        <w:jc w:val="both"/>
        <w:rPr/>
      </w:pPr>
      <w:r>
        <w:rPr>
          <w:sz w:val="28"/>
          <w:szCs w:val="28"/>
        </w:rPr>
        <w:t>2. Аналіз методів моделювання вексельних операцій</w:t>
      </w:r>
    </w:p>
    <w:p>
      <w:pPr>
        <w:pStyle w:val="Normal"/>
        <w:spacing w:lineRule="auto" w:line="360" w:before="0" w:after="0"/>
        <w:jc w:val="both"/>
        <w:rPr/>
      </w:pPr>
      <w:r>
        <w:rPr/>
        <w:t xml:space="preserve">2.1 аналіз існуючих математичних методів моделювання </w:t>
      </w:r>
    </w:p>
    <w:p>
      <w:pPr>
        <w:pStyle w:val="Normal"/>
        <w:spacing w:lineRule="auto" w:line="360" w:before="0" w:after="0"/>
        <w:jc w:val="both"/>
        <w:rPr/>
      </w:pPr>
      <w:r>
        <w:rPr/>
        <w:t>2.2 інформатизація вексельних операцій</w:t>
      </w:r>
    </w:p>
    <w:p>
      <w:pPr>
        <w:pStyle w:val="Normal"/>
        <w:rPr/>
      </w:pPr>
      <w:r>
        <w:rPr/>
        <w:t>2.3 Оцінка ефективності здійснення вексельних операцій (Аудиторська оцінка ефективності здійснення вексельних операцій)</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pPr>
      <w:r>
        <w:rPr>
          <w:rFonts w:cs="Times New Roman" w:ascii="Times New Roman" w:hAnsi="Times New Roman"/>
          <w:color w:val="333333"/>
          <w:sz w:val="28"/>
          <w:szCs w:val="28"/>
          <w:shd w:fill="auto" w:val="clear"/>
        </w:rPr>
        <w:t xml:space="preserve">ВИСНОВКИ </w:t>
      </w:r>
      <w:r>
        <w:rPr>
          <w:rFonts w:cs="Times New Roman" w:ascii="Times New Roman" w:hAnsi="Times New Roman"/>
          <w:color w:val="333333"/>
          <w:sz w:val="28"/>
          <w:szCs w:val="28"/>
        </w:rPr>
        <w:br/>
      </w:r>
      <w:r>
        <w:rPr>
          <w:rFonts w:cs="Times New Roman" w:ascii="Times New Roman" w:hAnsi="Times New Roman"/>
          <w:color w:val="333333"/>
          <w:sz w:val="28"/>
          <w:szCs w:val="28"/>
          <w:shd w:fill="auto" w:val="clear"/>
        </w:rPr>
        <w:t>СПИСОК ВИКОРИСТАНИХ ДЖЕРЕЛ</w:t>
      </w:r>
    </w:p>
    <w:p>
      <w:pPr>
        <w:pStyle w:val="Normal"/>
        <w:spacing w:lineRule="auto" w:line="360" w:before="0" w:after="0"/>
        <w:jc w:val="both"/>
        <w:rPr/>
      </w:pPr>
      <w:r>
        <w:rPr>
          <w:rFonts w:cs="Times New Roman" w:ascii="Times New Roman" w:hAnsi="Times New Roman"/>
          <w:color w:val="333333"/>
          <w:sz w:val="28"/>
          <w:szCs w:val="28"/>
          <w:shd w:fill="auto" w:val="clear"/>
        </w:rPr>
        <w:t>ДОДАТКИ</w:t>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center"/>
        <w:rPr>
          <w:rFonts w:ascii="Times New Roman" w:hAnsi="Times New Roman" w:cs="Times New Roman"/>
          <w:color w:val="333333"/>
          <w:sz w:val="28"/>
          <w:szCs w:val="28"/>
        </w:rPr>
      </w:pPr>
      <w:r>
        <w:rPr>
          <w:rFonts w:cs="Times New Roman" w:ascii="Times New Roman" w:hAnsi="Times New Roman"/>
          <w:color w:val="333333"/>
          <w:sz w:val="28"/>
          <w:szCs w:val="28"/>
          <w:shd w:fill="auto" w:val="clear"/>
        </w:rPr>
        <w:t>ВСТУП</w:t>
      </w:r>
    </w:p>
    <w:p>
      <w:pPr>
        <w:pStyle w:val="Normal"/>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rPr>
        <w:tab/>
      </w:r>
      <w:r>
        <w:rPr>
          <w:rFonts w:cs="Times New Roman" w:ascii="Times New Roman" w:hAnsi="Times New Roman"/>
          <w:color w:val="333333"/>
          <w:sz w:val="28"/>
          <w:szCs w:val="28"/>
        </w:rPr>
        <w:t>П</w:t>
      </w:r>
      <w:r>
        <w:rPr>
          <w:rFonts w:cs="Times New Roman" w:ascii="Times New Roman" w:hAnsi="Times New Roman"/>
          <w:color w:val="333333"/>
          <w:sz w:val="28"/>
          <w:szCs w:val="28"/>
        </w:rPr>
        <w:t xml:space="preserve">равова система загального права має еквівалентний вексельний інструмент, який можна взяти до уваги для цілей цієї ноти. Дійсно, незалежно від правової системи, вексель можна визначити як документ, що засвідчує обіцянку, надану однією (особою, яка видає вексель; векселедавцем), зобов’язуючись сплатити грошову суму на користь або на замовленн </w:t>
      </w:r>
      <w:r>
        <w:rPr>
          <w:rFonts w:cs="Times New Roman" w:ascii="Times New Roman" w:hAnsi="Times New Roman"/>
          <w:color w:val="333333"/>
          <w:sz w:val="28"/>
          <w:szCs w:val="28"/>
        </w:rPr>
        <w:t xml:space="preserve">та </w:t>
      </w:r>
      <w:r>
        <w:rPr>
          <w:rFonts w:cs="Times New Roman" w:ascii="Times New Roman" w:hAnsi="Times New Roman"/>
          <w:color w:val="333333"/>
          <w:sz w:val="28"/>
          <w:szCs w:val="28"/>
        </w:rPr>
        <w:t>іншо</w:t>
      </w:r>
      <w:r>
        <w:rPr>
          <w:rFonts w:cs="Times New Roman" w:ascii="Times New Roman" w:hAnsi="Times New Roman"/>
          <w:color w:val="333333"/>
          <w:sz w:val="28"/>
          <w:szCs w:val="28"/>
        </w:rPr>
        <w:t>ю</w:t>
      </w:r>
      <w:r>
        <w:rPr>
          <w:rFonts w:cs="Times New Roman" w:ascii="Times New Roman" w:hAnsi="Times New Roman"/>
          <w:color w:val="333333"/>
          <w:sz w:val="28"/>
          <w:szCs w:val="28"/>
        </w:rPr>
        <w:t xml:space="preserve"> (особи, якій або за чиїм розпорядженням має бути здійснено платіж; одержувача), у встановлений час. Найважливішими характеристиками векселя є те, що його можна передати, і абстрактний характер створеного зобов’язання </w:t>
      </w:r>
      <w:r>
        <w:rPr>
          <w:rFonts w:cs="Times New Roman" w:ascii="Times New Roman" w:hAnsi="Times New Roman"/>
          <w:color w:val="333333"/>
          <w:sz w:val="28"/>
          <w:szCs w:val="28"/>
        </w:rPr>
        <w:t>є виконаним</w:t>
      </w:r>
      <w:r>
        <w:rPr>
          <w:rFonts w:cs="Times New Roman" w:ascii="Times New Roman" w:hAnsi="Times New Roman"/>
          <w:color w:val="333333"/>
          <w:sz w:val="28"/>
          <w:szCs w:val="28"/>
        </w:rPr>
        <w:t>.</w:t>
      </w:r>
    </w:p>
    <w:p>
      <w:pPr>
        <w:pStyle w:val="Normal"/>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rPr>
        <w:tab/>
        <w:t>Що стосується можливості переказу, було відмічено, що для того, щоб вексель міг виконувати різноманітні економічні функції, які вимагаються від нього в усіх країнах, має бути забезпечено, щоб його можна було легко передати  і щоб його послідовн</w:t>
      </w:r>
      <w:r>
        <w:rPr>
          <w:rFonts w:cs="Times New Roman" w:ascii="Times New Roman" w:hAnsi="Times New Roman"/>
          <w:color w:val="333333"/>
          <w:sz w:val="28"/>
          <w:szCs w:val="28"/>
        </w:rPr>
        <w:t>им</w:t>
      </w:r>
      <w:r>
        <w:rPr>
          <w:rFonts w:cs="Times New Roman" w:ascii="Times New Roman" w:hAnsi="Times New Roman"/>
          <w:color w:val="333333"/>
          <w:sz w:val="28"/>
          <w:szCs w:val="28"/>
        </w:rPr>
        <w:t xml:space="preserve"> пред’явник</w:t>
      </w:r>
      <w:r>
        <w:rPr>
          <w:rFonts w:cs="Times New Roman" w:ascii="Times New Roman" w:hAnsi="Times New Roman"/>
          <w:color w:val="333333"/>
          <w:sz w:val="28"/>
          <w:szCs w:val="28"/>
        </w:rPr>
        <w:t>ам</w:t>
      </w:r>
      <w:r>
        <w:rPr>
          <w:rFonts w:cs="Times New Roman" w:ascii="Times New Roman" w:hAnsi="Times New Roman"/>
          <w:color w:val="333333"/>
          <w:sz w:val="28"/>
          <w:szCs w:val="28"/>
        </w:rPr>
        <w:t xml:space="preserve"> бул</w:t>
      </w:r>
      <w:r>
        <w:rPr>
          <w:rFonts w:cs="Times New Roman" w:ascii="Times New Roman" w:hAnsi="Times New Roman"/>
          <w:color w:val="333333"/>
          <w:sz w:val="28"/>
          <w:szCs w:val="28"/>
        </w:rPr>
        <w:t>о</w:t>
      </w:r>
      <w:r>
        <w:rPr>
          <w:rFonts w:cs="Times New Roman" w:ascii="Times New Roman" w:hAnsi="Times New Roman"/>
          <w:color w:val="333333"/>
          <w:sz w:val="28"/>
          <w:szCs w:val="28"/>
        </w:rPr>
        <w:t xml:space="preserve"> запропон</w:t>
      </w:r>
      <w:r>
        <w:rPr>
          <w:rFonts w:cs="Times New Roman" w:ascii="Times New Roman" w:hAnsi="Times New Roman"/>
          <w:color w:val="333333"/>
          <w:sz w:val="28"/>
          <w:szCs w:val="28"/>
        </w:rPr>
        <w:t xml:space="preserve">овано </w:t>
      </w:r>
      <w:r>
        <w:rPr>
          <w:rFonts w:cs="Times New Roman" w:ascii="Times New Roman" w:hAnsi="Times New Roman"/>
          <w:color w:val="333333"/>
          <w:sz w:val="28"/>
          <w:szCs w:val="28"/>
        </w:rPr>
        <w:t>для цього максимум можливих гарантій.</w:t>
      </w:r>
    </w:p>
    <w:p>
      <w:pPr>
        <w:pStyle w:val="Normal"/>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rPr>
        <w:tab/>
        <w:t>Що стосується абстрактного характеру векселя, було зазначено, що зобов’язання особи, яка видає вексель, є абстрактним у тому сенсі, що вон</w:t>
      </w:r>
      <w:r>
        <w:rPr>
          <w:rFonts w:cs="Times New Roman" w:ascii="Times New Roman" w:hAnsi="Times New Roman"/>
          <w:color w:val="333333"/>
          <w:sz w:val="28"/>
          <w:szCs w:val="28"/>
        </w:rPr>
        <w:t>а</w:t>
      </w:r>
      <w:r>
        <w:rPr>
          <w:rFonts w:cs="Times New Roman" w:ascii="Times New Roman" w:hAnsi="Times New Roman"/>
          <w:color w:val="333333"/>
          <w:sz w:val="28"/>
          <w:szCs w:val="28"/>
        </w:rPr>
        <w:t xml:space="preserve"> повністю не залежить від пред’явника, існування та вартості основних правовідносин.</w:t>
      </w:r>
    </w:p>
    <w:p>
      <w:pPr>
        <w:pStyle w:val="Normal"/>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rPr>
        <w:tab/>
        <w:t>Ці дві характеристики векселя лежать в основі питання, яке розглядається в цьому векселі. Справді, абстрактний характер вексельного зобов’язання означає, що особа, зв’язана вексельним зобов’язанням, у принципі не може посилатися на пред’явника після його погашення на заперечення, стверджуючи про відсутність, помилку чи іншу підставу, що порушує зобов’язання, основні правовідносини (залік, змішування, переказ тощо). Отже, правила, застосовні до векселів, ймовірно, обмежать для споживачів можливість встановлення захисту на основі базових правовідносин, зокрема наявності несправедливих умов контракту або відсутності інформації. Ці норми можуть також впливати на можливість для суду переглядати основні правовідносини у випадку, якщо справа стосується лише векселя, зокрема в контексті спеціальних процедур для полегшення стягнення заборгованості згідно з прости</w:t>
      </w:r>
      <w:r>
        <w:rPr>
          <w:rFonts w:cs="Times New Roman" w:ascii="Times New Roman" w:hAnsi="Times New Roman"/>
          <w:color w:val="333333"/>
          <w:sz w:val="28"/>
          <w:szCs w:val="28"/>
        </w:rPr>
        <w:t>м</w:t>
      </w:r>
      <w:r>
        <w:rPr>
          <w:rFonts w:cs="Times New Roman" w:ascii="Times New Roman" w:hAnsi="Times New Roman"/>
          <w:color w:val="333333"/>
          <w:sz w:val="28"/>
          <w:szCs w:val="28"/>
        </w:rPr>
        <w:t xml:space="preserve"> вексел</w:t>
      </w:r>
      <w:r>
        <w:rPr>
          <w:rFonts w:cs="Times New Roman" w:ascii="Times New Roman" w:hAnsi="Times New Roman"/>
          <w:color w:val="333333"/>
          <w:sz w:val="28"/>
          <w:szCs w:val="28"/>
        </w:rPr>
        <w:t>ем</w:t>
      </w:r>
      <w:r>
        <w:rPr>
          <w:rFonts w:cs="Times New Roman" w:ascii="Times New Roman" w:hAnsi="Times New Roman"/>
          <w:color w:val="333333"/>
          <w:sz w:val="28"/>
          <w:szCs w:val="28"/>
        </w:rPr>
        <w:t>, наприклад порядок платіжного замовлення.</w:t>
      </w:r>
    </w:p>
    <w:p>
      <w:pPr>
        <w:pStyle w:val="Normal"/>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rPr>
        <w:tab/>
        <w:t xml:space="preserve">У зв’язку з цим заборона на використання векселів щодо кредитування споживачів була передбачена в початковій пропозиції до Директиви 2008/48/ЄС Європейського Парламенту та Ради від 23 квітня 2008 року, </w:t>
      </w:r>
      <w:r>
        <w:rPr>
          <w:rFonts w:cs="Times New Roman" w:ascii="Times New Roman" w:hAnsi="Times New Roman"/>
          <w:color w:val="333333"/>
          <w:sz w:val="28"/>
          <w:szCs w:val="28"/>
        </w:rPr>
        <w:t>п</w:t>
      </w:r>
      <w:r>
        <w:rPr>
          <w:rFonts w:cs="Times New Roman" w:ascii="Times New Roman" w:hAnsi="Times New Roman"/>
          <w:color w:val="333333"/>
          <w:sz w:val="28"/>
          <w:szCs w:val="28"/>
        </w:rPr>
        <w:t>ро кредитні договори для споживачів та скасування Директиви Ради 87/102/ЄЕС («Директива про споживчі кредити»). Однак така заборона не була включена в остаточний текст директиви.</w:t>
      </w:r>
    </w:p>
    <w:p>
      <w:pPr>
        <w:pStyle w:val="Normal"/>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rPr>
        <w:tab/>
        <w:t>Дана записка проводилась у два етапи. Перший етап містить огляд, що охоплює майже всі держави-члени, спрямован</w:t>
      </w:r>
      <w:r>
        <w:rPr>
          <w:rFonts w:cs="Times New Roman" w:ascii="Times New Roman" w:hAnsi="Times New Roman"/>
          <w:color w:val="333333"/>
          <w:sz w:val="28"/>
          <w:szCs w:val="28"/>
        </w:rPr>
        <w:t>і</w:t>
      </w:r>
      <w:r>
        <w:rPr>
          <w:rFonts w:cs="Times New Roman" w:ascii="Times New Roman" w:hAnsi="Times New Roman"/>
          <w:color w:val="333333"/>
          <w:sz w:val="28"/>
          <w:szCs w:val="28"/>
        </w:rPr>
        <w:t xml:space="preserve"> на надання загального огляду використання векселів у відносинах зі споживачами. На другому етапі детально досліджуються представницькі правові системи.</w:t>
      </w:r>
    </w:p>
    <w:p>
      <w:pPr>
        <w:pStyle w:val="Normal"/>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shd w:fill="auto" w:val="clear"/>
        </w:rPr>
        <w:tab/>
        <w:t xml:space="preserve">У світлі вищевикладеного ця записка поділена на три частини: </w:t>
      </w:r>
    </w:p>
    <w:p>
      <w:pPr>
        <w:pStyle w:val="Normal"/>
        <w:numPr>
          <w:ilvl w:val="0"/>
          <w:numId w:val="1"/>
        </w:numPr>
        <w:spacing w:lineRule="auto" w:line="360" w:before="0" w:after="0"/>
        <w:jc w:val="both"/>
        <w:rPr/>
      </w:pPr>
      <w:r>
        <w:rPr>
          <w:rFonts w:cs="Times New Roman" w:ascii="Times New Roman" w:hAnsi="Times New Roman"/>
          <w:color w:val="333333"/>
          <w:sz w:val="28"/>
          <w:szCs w:val="28"/>
          <w:shd w:fill="auto" w:val="clear"/>
        </w:rPr>
        <w:t xml:space="preserve">використання векселів у відносинах зі споживачами в державах-членах; </w:t>
      </w:r>
    </w:p>
    <w:p>
      <w:pPr>
        <w:pStyle w:val="Normal"/>
        <w:numPr>
          <w:ilvl w:val="0"/>
          <w:numId w:val="1"/>
        </w:numPr>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shd w:fill="auto" w:val="clear"/>
        </w:rPr>
        <w:t xml:space="preserve">характер, який приписується векселям у  представницьких правових системах, і вплив на скарги, подані споживачем; </w:t>
      </w:r>
    </w:p>
    <w:p>
      <w:pPr>
        <w:pStyle w:val="Normal"/>
        <w:numPr>
          <w:ilvl w:val="0"/>
          <w:numId w:val="1"/>
        </w:numPr>
        <w:spacing w:lineRule="auto" w:line="360" w:before="0" w:after="0"/>
        <w:jc w:val="both"/>
        <w:rPr>
          <w:rFonts w:ascii="Times New Roman" w:hAnsi="Times New Roman" w:cs="Times New Roman"/>
          <w:color w:val="333333"/>
          <w:sz w:val="28"/>
          <w:szCs w:val="28"/>
        </w:rPr>
      </w:pPr>
      <w:r>
        <w:rPr>
          <w:rFonts w:cs="Times New Roman" w:ascii="Times New Roman" w:hAnsi="Times New Roman"/>
          <w:color w:val="333333"/>
          <w:sz w:val="28"/>
          <w:szCs w:val="28"/>
          <w:shd w:fill="auto" w:val="clear"/>
        </w:rPr>
        <w:t>спеціальні процедури, що сприяють стягненню заборгованості за векселями та їх вплив на процесуальне становище споживачів.</w:t>
      </w:r>
    </w:p>
    <w:p>
      <w:pPr>
        <w:pStyle w:val="Normal"/>
        <w:spacing w:lineRule="auto" w:line="360" w:before="0" w:after="0"/>
        <w:jc w:val="both"/>
        <w:rPr>
          <w:rFonts w:ascii="Times New Roman" w:hAnsi="Times New Roman" w:cs="Times New Roman"/>
          <w:b/>
          <w:b/>
          <w:bCs/>
          <w:color w:val="333333"/>
          <w:sz w:val="28"/>
          <w:szCs w:val="28"/>
        </w:rPr>
      </w:pPr>
      <w:r>
        <w:rPr>
          <w:rFonts w:cs="Times New Roman" w:ascii="Times New Roman" w:hAnsi="Times New Roman"/>
          <w:b/>
          <w:bCs/>
          <w:color w:val="333333"/>
          <w:sz w:val="28"/>
          <w:szCs w:val="28"/>
        </w:rPr>
        <w:tab/>
        <w:t xml:space="preserve">Мета даної роботи </w:t>
      </w:r>
      <w:r>
        <w:rPr>
          <w:rFonts w:cs="Times New Roman" w:ascii="Times New Roman" w:hAnsi="Times New Roman"/>
          <w:b w:val="false"/>
          <w:bCs w:val="false"/>
          <w:color w:val="333333"/>
          <w:sz w:val="28"/>
          <w:szCs w:val="28"/>
        </w:rPr>
        <w:t>полягає в розгляді історичного аспекту векселя та  моделювання вексельного обігу.</w:t>
      </w:r>
    </w:p>
    <w:p>
      <w:pPr>
        <w:pStyle w:val="Normal"/>
        <w:spacing w:lineRule="auto" w:line="360" w:before="0" w:after="0"/>
        <w:jc w:val="both"/>
        <w:rPr>
          <w:rFonts w:ascii="Times New Roman" w:hAnsi="Times New Roman" w:cs="Times New Roman"/>
          <w:b/>
          <w:b/>
          <w:bCs/>
          <w:color w:val="333333"/>
          <w:sz w:val="28"/>
          <w:szCs w:val="28"/>
        </w:rPr>
      </w:pPr>
      <w:r>
        <w:rPr>
          <w:rFonts w:cs="Times New Roman" w:ascii="Times New Roman" w:hAnsi="Times New Roman"/>
          <w:b w:val="false"/>
          <w:bCs w:val="false"/>
          <w:color w:val="333333"/>
          <w:sz w:val="28"/>
          <w:szCs w:val="28"/>
        </w:rPr>
        <w:tab/>
      </w:r>
      <w:r>
        <w:rPr>
          <w:rFonts w:cs="Times New Roman" w:ascii="Times New Roman" w:hAnsi="Times New Roman"/>
          <w:b/>
          <w:bCs/>
          <w:color w:val="333333"/>
          <w:sz w:val="28"/>
          <w:szCs w:val="28"/>
        </w:rPr>
        <w:t>Предмет дослідження:</w:t>
      </w:r>
      <w:r>
        <w:rPr>
          <w:rFonts w:cs="Times New Roman" w:ascii="Times New Roman" w:hAnsi="Times New Roman"/>
          <w:b w:val="false"/>
          <w:bCs w:val="false"/>
          <w:color w:val="333333"/>
          <w:sz w:val="28"/>
          <w:szCs w:val="28"/>
        </w:rPr>
        <w:t xml:space="preserve"> методичні аспекти моделювання вексельного обігу.</w:t>
      </w:r>
    </w:p>
    <w:p>
      <w:pPr>
        <w:pStyle w:val="Normal"/>
        <w:spacing w:lineRule="auto" w:line="360" w:before="0" w:after="0"/>
        <w:jc w:val="both"/>
        <w:rPr>
          <w:rFonts w:ascii="Times New Roman" w:hAnsi="Times New Roman" w:cs="Times New Roman"/>
          <w:b/>
          <w:b/>
          <w:bCs/>
          <w:color w:val="333333"/>
          <w:sz w:val="28"/>
          <w:szCs w:val="28"/>
        </w:rPr>
      </w:pPr>
      <w:r>
        <w:rPr>
          <w:rFonts w:cs="Times New Roman" w:ascii="Times New Roman" w:hAnsi="Times New Roman"/>
          <w:b w:val="false"/>
          <w:bCs w:val="false"/>
          <w:color w:val="333333"/>
          <w:sz w:val="28"/>
          <w:szCs w:val="28"/>
        </w:rPr>
        <w:tab/>
      </w:r>
      <w:r>
        <w:rPr>
          <w:rFonts w:cs="Times New Roman" w:ascii="Times New Roman" w:hAnsi="Times New Roman"/>
          <w:b/>
          <w:bCs/>
          <w:color w:val="333333"/>
          <w:sz w:val="28"/>
          <w:szCs w:val="28"/>
        </w:rPr>
        <w:t xml:space="preserve">Область дослідження: </w:t>
      </w:r>
      <w:r>
        <w:rPr>
          <w:rFonts w:cs="Times New Roman" w:ascii="Times New Roman" w:hAnsi="Times New Roman"/>
          <w:b w:val="false"/>
          <w:bCs w:val="false"/>
          <w:color w:val="333333"/>
          <w:sz w:val="28"/>
          <w:szCs w:val="28"/>
        </w:rPr>
        <w:t>---</w:t>
      </w:r>
    </w:p>
    <w:p>
      <w:pPr>
        <w:pStyle w:val="Normal"/>
        <w:spacing w:lineRule="auto" w:line="360" w:before="0" w:after="0"/>
        <w:jc w:val="both"/>
        <w:rPr>
          <w:rFonts w:ascii="Times New Roman" w:hAnsi="Times New Roman" w:cs="Times New Roman"/>
          <w:b/>
          <w:b/>
          <w:bCs/>
          <w:color w:val="333333"/>
          <w:sz w:val="28"/>
          <w:szCs w:val="28"/>
        </w:rPr>
      </w:pPr>
      <w:r>
        <w:rPr>
          <w:rFonts w:cs="Times New Roman" w:ascii="Times New Roman" w:hAnsi="Times New Roman"/>
          <w:b w:val="false"/>
          <w:bCs w:val="false"/>
          <w:color w:val="333333"/>
          <w:sz w:val="28"/>
          <w:szCs w:val="28"/>
        </w:rPr>
        <w:tab/>
      </w:r>
      <w:r>
        <w:rPr>
          <w:rFonts w:cs="Times New Roman" w:ascii="Times New Roman" w:hAnsi="Times New Roman"/>
          <w:b/>
          <w:bCs/>
          <w:color w:val="333333"/>
          <w:sz w:val="28"/>
          <w:szCs w:val="28"/>
        </w:rPr>
        <w:t>Завдання:</w:t>
      </w:r>
    </w:p>
    <w:p>
      <w:pPr>
        <w:pStyle w:val="Normal"/>
        <w:spacing w:lineRule="auto" w:line="360" w:before="0" w:after="0"/>
        <w:jc w:val="both"/>
        <w:rPr>
          <w:rFonts w:ascii="Times New Roman" w:hAnsi="Times New Roman" w:cs="Times New Roman"/>
          <w:b/>
          <w:b/>
          <w:bCs/>
          <w:color w:val="333333"/>
          <w:sz w:val="28"/>
          <w:szCs w:val="28"/>
        </w:rPr>
      </w:pPr>
      <w:r>
        <w:rPr>
          <w:rFonts w:cs="Times New Roman" w:ascii="Times New Roman" w:hAnsi="Times New Roman"/>
          <w:b w:val="false"/>
          <w:bCs w:val="false"/>
          <w:color w:val="333333"/>
          <w:sz w:val="28"/>
          <w:szCs w:val="28"/>
        </w:rPr>
        <w:tab/>
        <w:t>1.  розгляд теоретичних та методичних положень вексельних операцій;</w:t>
      </w:r>
    </w:p>
    <w:p>
      <w:pPr>
        <w:pStyle w:val="Normal"/>
        <w:spacing w:lineRule="auto" w:line="360" w:before="0" w:after="0"/>
        <w:jc w:val="both"/>
        <w:rPr>
          <w:rFonts w:ascii="Times New Roman" w:hAnsi="Times New Roman" w:cs="Times New Roman"/>
          <w:b/>
          <w:b/>
          <w:bCs/>
          <w:color w:val="333333"/>
          <w:sz w:val="28"/>
          <w:szCs w:val="28"/>
        </w:rPr>
      </w:pPr>
      <w:r>
        <w:rPr>
          <w:rFonts w:cs="Times New Roman" w:ascii="Times New Roman" w:hAnsi="Times New Roman"/>
          <w:b w:val="false"/>
          <w:bCs w:val="false"/>
          <w:color w:val="333333"/>
          <w:sz w:val="28"/>
          <w:szCs w:val="28"/>
        </w:rPr>
        <w:tab/>
        <w:t>2. аналіз методів моделювання вексельних операцій;</w:t>
      </w:r>
    </w:p>
    <w:p>
      <w:pPr>
        <w:pStyle w:val="Normal"/>
        <w:spacing w:lineRule="auto" w:line="360" w:before="0" w:after="0"/>
        <w:jc w:val="both"/>
        <w:rPr>
          <w:rFonts w:ascii="Times New Roman" w:hAnsi="Times New Roman" w:cs="Times New Roman"/>
          <w:b/>
          <w:b/>
          <w:bCs/>
          <w:color w:val="333333"/>
          <w:sz w:val="28"/>
          <w:szCs w:val="28"/>
        </w:rPr>
      </w:pPr>
      <w:r>
        <w:rPr>
          <w:rFonts w:cs="Times New Roman" w:ascii="Times New Roman" w:hAnsi="Times New Roman"/>
          <w:b w:val="false"/>
          <w:bCs w:val="false"/>
          <w:color w:val="333333"/>
          <w:sz w:val="28"/>
          <w:szCs w:val="28"/>
        </w:rPr>
        <w:tab/>
        <w:t>3. ---</w:t>
      </w:r>
    </w:p>
    <w:p>
      <w:pPr>
        <w:pStyle w:val="Normal"/>
        <w:spacing w:lineRule="auto" w:line="360" w:before="0" w:after="0"/>
        <w:jc w:val="center"/>
        <w:rPr>
          <w:rFonts w:ascii="Times New Roman" w:hAnsi="Times New Roman" w:cs="Times New Roman"/>
          <w:color w:val="333333"/>
          <w:sz w:val="28"/>
          <w:szCs w:val="28"/>
        </w:rPr>
      </w:pPr>
      <w:r>
        <w:rPr>
          <w:rFonts w:cs="Times New Roman" w:ascii="Times New Roman" w:hAnsi="Times New Roman"/>
          <w:color w:val="333333"/>
          <w:sz w:val="28"/>
          <w:szCs w:val="28"/>
          <w:shd w:fill="auto" w:val="clear"/>
        </w:rPr>
      </w:r>
    </w:p>
    <w:p>
      <w:pPr>
        <w:pStyle w:val="Normal"/>
        <w:spacing w:lineRule="auto" w:line="360" w:before="0" w:after="0"/>
        <w:ind w:firstLine="708"/>
        <w:jc w:val="center"/>
        <w:rPr>
          <w:sz w:val="28"/>
          <w:szCs w:val="28"/>
        </w:rPr>
      </w:pPr>
      <w:r>
        <w:rPr>
          <w:rFonts w:cs="Times New Roman" w:ascii="Times New Roman" w:hAnsi="Times New Roman"/>
          <w:color w:val="333333"/>
          <w:sz w:val="28"/>
          <w:szCs w:val="28"/>
          <w:shd w:fill="auto" w:val="clear"/>
        </w:rPr>
        <w:t xml:space="preserve">РОЗДІЛ </w:t>
      </w:r>
      <w:r>
        <w:rPr>
          <w:rFonts w:cs="Times New Roman" w:ascii="Times New Roman" w:hAnsi="Times New Roman"/>
          <w:color w:val="333333"/>
          <w:sz w:val="28"/>
          <w:szCs w:val="28"/>
          <w:shd w:fill="auto" w:val="clear"/>
        </w:rPr>
        <w:t>1. ТЕОРЕТИЧНІ ТА МЕТОДИЧНІ ПОЛОЖЕННЯ обліку ВЕКСЕЛЬНИХ ОПЕРАЦІЙ</w:t>
      </w:r>
    </w:p>
    <w:p>
      <w:pPr>
        <w:pStyle w:val="Normal"/>
        <w:spacing w:lineRule="auto" w:line="360" w:before="0" w:after="0"/>
        <w:ind w:firstLine="708"/>
        <w:jc w:val="center"/>
        <w:rPr>
          <w:sz w:val="28"/>
          <w:szCs w:val="28"/>
        </w:rPr>
      </w:pPr>
      <w:r>
        <w:rPr>
          <w:rFonts w:cs="Times New Roman" w:ascii="Times New Roman" w:hAnsi="Times New Roman"/>
          <w:sz w:val="28"/>
          <w:szCs w:val="28"/>
        </w:rPr>
        <w:t>1.1 Економічна сутність розрахунків із застосуванням векселів</w:t>
      </w:r>
    </w:p>
    <w:p>
      <w:pPr>
        <w:pStyle w:val="TextBody"/>
        <w:spacing w:lineRule="auto" w:line="360" w:before="0" w:after="0"/>
        <w:jc w:val="both"/>
        <w:rPr>
          <w:rFonts w:ascii="Times New Roman" w:hAnsi="Times New Roman"/>
          <w:b w:val="false"/>
          <w:b w:val="false"/>
          <w:bCs w:val="false"/>
          <w:i w:val="false"/>
          <w:caps w:val="false"/>
          <w:smallCaps w:val="false"/>
          <w:color w:val="111111"/>
          <w:spacing w:val="0"/>
          <w:sz w:val="28"/>
          <w:szCs w:val="28"/>
          <w:u w:val="none"/>
        </w:rPr>
      </w:pPr>
      <w:r>
        <w:rPr>
          <w:rFonts w:cs="Times New Roman" w:ascii="Times New Roman" w:hAnsi="Times New Roman"/>
          <w:b w:val="false"/>
          <w:bCs w:val="false"/>
          <w:i w:val="false"/>
          <w:caps w:val="false"/>
          <w:smallCaps w:val="false"/>
          <w:color w:val="111111"/>
          <w:spacing w:val="0"/>
          <w:sz w:val="28"/>
          <w:szCs w:val="28"/>
          <w:u w:val="none"/>
        </w:rPr>
        <w:tab/>
        <w:t>Вексель - це юридично оформлена угода між позичальником і кредитором. Хоча існує кілька типів векселів, як правило, цей вексель визначає відносини між платником і одержувачем, загальну суму позичених грошей і дату, до якої позичальник повинен повернути позику.</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111111"/>
          <w:spacing w:val="0"/>
          <w:sz w:val="28"/>
          <w:szCs w:val="28"/>
          <w:u w:val="none"/>
        </w:rPr>
      </w:pPr>
      <w:r>
        <w:rPr>
          <w:rFonts w:ascii="Times New Roman" w:hAnsi="Times New Roman"/>
          <w:b w:val="false"/>
          <w:bCs w:val="false"/>
          <w:i w:val="false"/>
          <w:caps w:val="false"/>
          <w:smallCaps w:val="false"/>
          <w:color w:val="111111"/>
          <w:spacing w:val="0"/>
          <w:sz w:val="28"/>
          <w:szCs w:val="28"/>
          <w:u w:val="none"/>
        </w:rPr>
        <w:tab/>
        <w:t>Вексель часто включається в договори іпотеки, студентської позики, автокредиту, бізнес-кредиту або договору особистого кредиту. Зазвичай позичальники підписують вексель як один із останніх кроків до отримання своїх позичених коштів.</w:t>
      </w:r>
    </w:p>
    <w:p>
      <w:pPr>
        <w:pStyle w:val="TextBody"/>
        <w:spacing w:lineRule="auto" w:line="360" w:before="0" w:after="0"/>
        <w:jc w:val="both"/>
        <w:rPr>
          <w:rFonts w:ascii="Times New Roman" w:hAnsi="Times New Roman"/>
          <w:b w:val="false"/>
          <w:b w:val="false"/>
          <w:bCs w:val="false"/>
          <w:i w:val="false"/>
          <w:caps w:val="false"/>
          <w:smallCaps w:val="false"/>
          <w:color w:val="111111"/>
          <w:spacing w:val="0"/>
          <w:sz w:val="28"/>
          <w:szCs w:val="28"/>
          <w:u w:val="none"/>
        </w:rPr>
      </w:pPr>
      <w:r>
        <w:rPr>
          <w:rFonts w:cs="Times New Roman" w:ascii="Times New Roman" w:hAnsi="Times New Roman"/>
          <w:b w:val="false"/>
          <w:bCs w:val="false"/>
          <w:i w:val="false"/>
          <w:caps w:val="false"/>
          <w:smallCaps w:val="false"/>
          <w:color w:val="111111"/>
          <w:spacing w:val="0"/>
          <w:sz w:val="28"/>
          <w:szCs w:val="28"/>
          <w:u w:val="none"/>
        </w:rPr>
        <w:tab/>
        <w:t>Векселі юридично зобов’язують позичальника та позикодавця в угоді, згідно з якою позичальник несе відповідальність за повернення позики чи боргу. Вони викладають умови позики та детально описують терміни повернення позики, а також будь-які відсотки, які можуть нараховуватися протягом терміну дії позики.</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111111"/>
          <w:spacing w:val="0"/>
          <w:sz w:val="28"/>
          <w:szCs w:val="28"/>
          <w:u w:val="none"/>
        </w:rPr>
      </w:pPr>
      <w:r>
        <w:rPr>
          <w:rFonts w:ascii="Times New Roman" w:hAnsi="Times New Roman"/>
          <w:b w:val="false"/>
          <w:bCs w:val="false"/>
          <w:i w:val="false"/>
          <w:caps w:val="false"/>
          <w:smallCaps w:val="false"/>
          <w:color w:val="111111"/>
          <w:spacing w:val="0"/>
          <w:sz w:val="28"/>
          <w:szCs w:val="28"/>
          <w:u w:val="none"/>
        </w:rPr>
        <w:tab/>
        <w:t>У той час як вексель, договір позики та іпотека є доказами заборгованості позичальника перед позикодавцем, договір позики має більш широкі визначення та положення, ніж вексель. Вексель підписує тільки позичальник, тоді як кредитор і позичальник підписують договір позики. Підписаний документ означає згоду позичальника повернути кредит.</w:t>
      </w:r>
    </w:p>
    <w:p>
      <w:pPr>
        <w:pStyle w:val="Normal"/>
        <w:spacing w:lineRule="auto" w:line="360" w:before="0" w:after="0"/>
        <w:jc w:val="both"/>
        <w:rPr>
          <w:sz w:val="28"/>
          <w:szCs w:val="28"/>
        </w:rPr>
      </w:pPr>
      <w:r>
        <w:rPr>
          <w:rFonts w:cs="Times New Roman" w:ascii="Times New Roman" w:hAnsi="Times New Roman"/>
          <w:b w:val="false"/>
          <w:bCs w:val="false"/>
          <w:i w:val="false"/>
          <w:caps w:val="false"/>
          <w:smallCaps w:val="false"/>
          <w:color w:val="111111"/>
          <w:spacing w:val="0"/>
          <w:sz w:val="28"/>
          <w:szCs w:val="28"/>
          <w:u w:val="none"/>
        </w:rPr>
        <w:t xml:space="preserve">Вексель можна використовувати для різних типів позик, таких як іпотека, студентська позика, позика на автомобіль, бізнес-позика або </w:t>
      </w:r>
      <w:r>
        <w:rPr>
          <w:rFonts w:cs="Times New Roman" w:ascii="Times New Roman" w:hAnsi="Times New Roman"/>
          <w:b w:val="false"/>
          <w:bCs w:val="false"/>
          <w:i w:val="false"/>
          <w:caps w:val="false"/>
          <w:smallCaps w:val="false"/>
          <w:color w:val="111111"/>
          <w:spacing w:val="0"/>
          <w:sz w:val="28"/>
          <w:szCs w:val="28"/>
          <w:u w:val="none"/>
        </w:rPr>
        <w:t>особиста позика</w:t>
      </w:r>
      <w:r>
        <w:rPr>
          <w:rFonts w:cs="Times New Roman" w:ascii="Times New Roman" w:hAnsi="Times New Roman"/>
          <w:b w:val="false"/>
          <w:bCs w:val="false"/>
          <w:i w:val="false"/>
          <w:caps w:val="false"/>
          <w:smallCaps w:val="false"/>
          <w:color w:val="111111"/>
          <w:spacing w:val="0"/>
          <w:sz w:val="28"/>
          <w:szCs w:val="28"/>
          <w:u w:val="none"/>
        </w:rPr>
        <w:t>. Коли позичальники позичають гроші — особливо коли це велика сума — це оформляє позику, створюючи вексель.Цей документ є юридичним документом про вашу позику, який допомагає гарантувати погашення кредитору.</w:t>
      </w:r>
    </w:p>
    <w:p>
      <w:pPr>
        <w:pStyle w:val="TextBody"/>
        <w:spacing w:lineRule="auto" w:line="360" w:before="0" w:after="0"/>
        <w:jc w:val="both"/>
        <w:rPr>
          <w:rFonts w:ascii="Times New Roman" w:hAnsi="Times New Roman"/>
          <w:b w:val="false"/>
          <w:b w:val="false"/>
          <w:bCs w:val="false"/>
          <w:i w:val="false"/>
          <w:caps w:val="false"/>
          <w:smallCaps w:val="false"/>
          <w:color w:val="111111"/>
          <w:spacing w:val="0"/>
          <w:sz w:val="28"/>
          <w:szCs w:val="28"/>
          <w:u w:val="none"/>
        </w:rPr>
      </w:pPr>
      <w:r>
        <w:rPr>
          <w:rFonts w:cs="Times New Roman" w:ascii="Times New Roman" w:hAnsi="Times New Roman"/>
          <w:b w:val="false"/>
          <w:bCs w:val="false"/>
          <w:i w:val="false"/>
          <w:caps w:val="false"/>
          <w:smallCaps w:val="false"/>
          <w:color w:val="111111"/>
          <w:spacing w:val="0"/>
          <w:sz w:val="28"/>
          <w:szCs w:val="28"/>
          <w:u w:val="none"/>
        </w:rPr>
        <w:tab/>
        <w:t>Щоб вексель був дійсним, він повинен містити конкретну інформацію.</w:t>
      </w:r>
    </w:p>
    <w:p>
      <w:pPr>
        <w:pStyle w:val="TextBody"/>
        <w:widowControl/>
        <w:pBdr/>
        <w:spacing w:lineRule="auto" w:line="360" w:before="0" w:after="0"/>
        <w:ind w:left="0" w:right="0" w:hanging="0"/>
        <w:jc w:val="both"/>
        <w:rPr/>
      </w:pPr>
      <w:r>
        <w:rPr>
          <w:rFonts w:ascii="Times New Roman" w:hAnsi="Times New Roman"/>
          <w:b w:val="false"/>
          <w:bCs w:val="false"/>
          <w:i w:val="false"/>
          <w:caps w:val="false"/>
          <w:smallCaps w:val="false"/>
          <w:color w:val="111111"/>
          <w:spacing w:val="0"/>
          <w:sz w:val="28"/>
          <w:szCs w:val="28"/>
          <w:u w:val="none"/>
        </w:rPr>
        <w:tab/>
        <w:t>Це включає:</w:t>
      </w:r>
    </w:p>
    <w:p>
      <w:pPr>
        <w:pStyle w:val="TextBody"/>
        <w:widowControl/>
        <w:numPr>
          <w:ilvl w:val="0"/>
          <w:numId w:val="4"/>
        </w:numPr>
        <w:pBdr/>
        <w:spacing w:lineRule="auto" w:line="360" w:before="0" w:after="0"/>
        <w:jc w:val="both"/>
        <w:rPr/>
      </w:pPr>
      <w:r>
        <w:rPr>
          <w:rFonts w:ascii="Times New Roman" w:hAnsi="Times New Roman"/>
          <w:b w:val="false"/>
          <w:bCs w:val="false"/>
          <w:i w:val="false"/>
          <w:caps w:val="false"/>
          <w:smallCaps w:val="false"/>
          <w:color w:val="111111"/>
          <w:spacing w:val="0"/>
          <w:sz w:val="28"/>
          <w:szCs w:val="28"/>
          <w:u w:val="none"/>
        </w:rPr>
        <w:t>Найменування позичальника та позикодавця</w:t>
      </w:r>
    </w:p>
    <w:p>
      <w:pPr>
        <w:pStyle w:val="TextBody"/>
        <w:widowControl/>
        <w:numPr>
          <w:ilvl w:val="0"/>
          <w:numId w:val="4"/>
        </w:numPr>
        <w:pBdr/>
        <w:spacing w:lineRule="auto" w:line="360" w:before="0" w:after="0"/>
        <w:jc w:val="both"/>
        <w:rPr/>
      </w:pPr>
      <w:r>
        <w:rPr>
          <w:rFonts w:ascii="Times New Roman" w:hAnsi="Times New Roman"/>
          <w:b w:val="false"/>
          <w:bCs w:val="false"/>
          <w:i w:val="false"/>
          <w:caps w:val="false"/>
          <w:smallCaps w:val="false"/>
          <w:color w:val="111111"/>
          <w:spacing w:val="0"/>
          <w:sz w:val="28"/>
          <w:szCs w:val="28"/>
          <w:u w:val="none"/>
        </w:rPr>
        <w:t>Сума позичених грошей</w:t>
      </w:r>
    </w:p>
    <w:p>
      <w:pPr>
        <w:pStyle w:val="TextBody"/>
        <w:widowControl/>
        <w:numPr>
          <w:ilvl w:val="0"/>
          <w:numId w:val="4"/>
        </w:numPr>
        <w:pBdr/>
        <w:spacing w:lineRule="auto" w:line="360" w:before="0" w:after="0"/>
        <w:jc w:val="both"/>
        <w:rPr/>
      </w:pPr>
      <w:r>
        <w:rPr>
          <w:rFonts w:ascii="Times New Roman" w:hAnsi="Times New Roman"/>
          <w:b w:val="false"/>
          <w:bCs w:val="false"/>
          <w:i w:val="false"/>
          <w:caps w:val="false"/>
          <w:smallCaps w:val="false"/>
          <w:color w:val="111111"/>
          <w:spacing w:val="0"/>
          <w:sz w:val="28"/>
          <w:szCs w:val="28"/>
          <w:u w:val="none"/>
        </w:rPr>
        <w:t>Процентна ставка</w:t>
      </w:r>
    </w:p>
    <w:p>
      <w:pPr>
        <w:pStyle w:val="TextBody"/>
        <w:widowControl/>
        <w:numPr>
          <w:ilvl w:val="0"/>
          <w:numId w:val="4"/>
        </w:numPr>
        <w:pBdr/>
        <w:spacing w:lineRule="auto" w:line="360" w:before="0" w:after="0"/>
        <w:jc w:val="both"/>
        <w:rPr/>
      </w:pPr>
      <w:r>
        <w:rPr>
          <w:rFonts w:ascii="Times New Roman" w:hAnsi="Times New Roman"/>
          <w:b w:val="false"/>
          <w:bCs w:val="false"/>
          <w:i w:val="false"/>
          <w:caps w:val="false"/>
          <w:smallCaps w:val="false"/>
          <w:color w:val="111111"/>
          <w:spacing w:val="0"/>
          <w:sz w:val="28"/>
          <w:szCs w:val="28"/>
          <w:u w:val="none"/>
        </w:rPr>
        <w:t>Тип використаної застави (за наявності)</w:t>
      </w:r>
    </w:p>
    <w:p>
      <w:pPr>
        <w:pStyle w:val="TextBody"/>
        <w:widowControl/>
        <w:numPr>
          <w:ilvl w:val="0"/>
          <w:numId w:val="4"/>
        </w:numPr>
        <w:pBdr/>
        <w:spacing w:lineRule="auto" w:line="360" w:before="0" w:after="0"/>
        <w:jc w:val="both"/>
        <w:rPr/>
      </w:pPr>
      <w:r>
        <w:rPr>
          <w:rFonts w:ascii="Times New Roman" w:hAnsi="Times New Roman"/>
          <w:b w:val="false"/>
          <w:bCs w:val="false"/>
          <w:i w:val="false"/>
          <w:caps w:val="false"/>
          <w:smallCaps w:val="false"/>
          <w:color w:val="111111"/>
          <w:spacing w:val="0"/>
          <w:sz w:val="28"/>
          <w:szCs w:val="28"/>
          <w:u w:val="none"/>
        </w:rPr>
        <w:t>Терміни оплати</w:t>
      </w:r>
    </w:p>
    <w:p>
      <w:pPr>
        <w:pStyle w:val="TextBody"/>
        <w:widowControl/>
        <w:numPr>
          <w:ilvl w:val="0"/>
          <w:numId w:val="4"/>
        </w:numPr>
        <w:pBdr/>
        <w:spacing w:lineRule="auto" w:line="360" w:before="0" w:after="0"/>
        <w:jc w:val="both"/>
        <w:rPr/>
      </w:pPr>
      <w:r>
        <w:rPr>
          <w:rFonts w:ascii="Times New Roman" w:hAnsi="Times New Roman"/>
          <w:b w:val="false"/>
          <w:bCs w:val="false"/>
          <w:i w:val="false"/>
          <w:caps w:val="false"/>
          <w:smallCaps w:val="false"/>
          <w:color w:val="111111"/>
          <w:spacing w:val="0"/>
          <w:sz w:val="28"/>
          <w:szCs w:val="28"/>
          <w:u w:val="none"/>
        </w:rPr>
        <w:t>Термін(и) платежу</w:t>
      </w:r>
    </w:p>
    <w:p>
      <w:pPr>
        <w:pStyle w:val="TextBody"/>
        <w:widowControl/>
        <w:numPr>
          <w:ilvl w:val="0"/>
          <w:numId w:val="4"/>
        </w:numPr>
        <w:pBdr/>
        <w:spacing w:lineRule="auto" w:line="360" w:before="0" w:after="0"/>
        <w:jc w:val="both"/>
        <w:rPr/>
      </w:pPr>
      <w:r>
        <w:rPr>
          <w:rFonts w:ascii="Times New Roman" w:hAnsi="Times New Roman"/>
          <w:b w:val="false"/>
          <w:bCs w:val="false"/>
          <w:i w:val="false"/>
          <w:caps w:val="false"/>
          <w:smallCaps w:val="false"/>
          <w:color w:val="111111"/>
          <w:spacing w:val="0"/>
          <w:sz w:val="28"/>
          <w:szCs w:val="28"/>
          <w:u w:val="none"/>
        </w:rPr>
        <w:t>Як здійснювати платежі</w:t>
      </w:r>
    </w:p>
    <w:p>
      <w:pPr>
        <w:pStyle w:val="TextBody"/>
        <w:widowControl/>
        <w:numPr>
          <w:ilvl w:val="0"/>
          <w:numId w:val="4"/>
        </w:numPr>
        <w:pBdr/>
        <w:spacing w:lineRule="auto" w:line="360" w:before="0" w:after="0"/>
        <w:jc w:val="both"/>
        <w:rPr/>
      </w:pPr>
      <w:r>
        <w:rPr>
          <w:rFonts w:ascii="Times New Roman" w:hAnsi="Times New Roman"/>
          <w:b w:val="false"/>
          <w:bCs w:val="false"/>
          <w:i w:val="false"/>
          <w:caps w:val="false"/>
          <w:smallCaps w:val="false"/>
          <w:color w:val="111111"/>
          <w:spacing w:val="0"/>
          <w:sz w:val="28"/>
          <w:szCs w:val="28"/>
          <w:u w:val="none"/>
        </w:rPr>
        <w:t>Штрафи за прострочення платежу</w:t>
      </w:r>
    </w:p>
    <w:p>
      <w:pPr>
        <w:pStyle w:val="Normal"/>
        <w:spacing w:lineRule="auto" w:line="360" w:before="0" w:after="0"/>
        <w:jc w:val="both"/>
        <w:rPr>
          <w:sz w:val="28"/>
          <w:szCs w:val="28"/>
        </w:rPr>
      </w:pPr>
      <w:r>
        <w:rPr>
          <w:rFonts w:cs="Times New Roman" w:ascii="Times New Roman" w:hAnsi="Times New Roman"/>
          <w:sz w:val="28"/>
          <w:szCs w:val="28"/>
        </w:rPr>
        <w:tab/>
        <w:t>Традиційно вважається, що видача векселя створює нові правовідносини (відносини, що лежать в основі векселя), які слід відрізняти від основних правовідносин між сторонами. Хоча відносини за векселем випливають із основних правовідносин, це окремі правовідносини. В принципі, і зокрема для забезпечення оборотності (передачі) векселів і захисту пред'явника, закон про переказні векселі та прості векселі накладає певні обмеження в контексті спорів щодо відносин, що лежать в основі векселя, на захист, заснований на правових відносинах, що лежать в основі. Саме на підставі цих обмежень вексельне зобов'язання можна вважати абстрактним.</w:t>
      </w:r>
    </w:p>
    <w:p>
      <w:pPr>
        <w:pStyle w:val="Normal"/>
        <w:spacing w:lineRule="auto" w:line="360" w:before="0" w:after="0"/>
        <w:jc w:val="both"/>
        <w:rPr>
          <w:sz w:val="28"/>
          <w:szCs w:val="28"/>
        </w:rPr>
      </w:pPr>
      <w:r>
        <w:rPr>
          <w:rFonts w:cs="Times New Roman" w:ascii="Times New Roman" w:hAnsi="Times New Roman"/>
          <w:sz w:val="28"/>
          <w:szCs w:val="28"/>
        </w:rPr>
        <w:tab/>
        <w:t>З цього приводу слід зазначити, що Єдиний закон не містить положень, які стосуються відносин між, з одного боку, переказним або простим векселем і, з іншого боку, основними правовідносинами. Дійсно, як випливає з другого абзацу статті 16 Додатку ІІ до Женевської конвенції, який має назву «Резерви», будь-яке питання, що стосується відносин, на підставі яких видається переказний вексель, виходить за рамки Уніформи. Закон. Це твердження також стосується векселів.</w:t>
      </w:r>
    </w:p>
    <w:p>
      <w:pPr>
        <w:pStyle w:val="Normal"/>
        <w:spacing w:lineRule="auto" w:line="360" w:before="0" w:after="0"/>
        <w:jc w:val="both"/>
        <w:rPr>
          <w:sz w:val="28"/>
          <w:szCs w:val="28"/>
        </w:rPr>
      </w:pPr>
      <w:r>
        <w:rPr>
          <w:rFonts w:cs="Times New Roman" w:ascii="Times New Roman" w:hAnsi="Times New Roman"/>
          <w:sz w:val="28"/>
          <w:szCs w:val="28"/>
        </w:rPr>
        <w:tab/>
        <w:t>У зв’язку з цим відповідь на питання про те, що саме мається на увазі в національних правових системах під словом «реферат», яке використовується для опису характеру векселів, є незрозумілою. Таким чином, щоб визначити природу векселів, необхідно, перш за все, визначити, чи можна посилатися на правовідносини, що лежать в їх основі, у наступних двох ситуаціях: по-перше, коли сторони відносин за векселем вексель є тими самими, що й сторони основних правовідносин, і, по-друге, якщо ті, хто посилається на права, що випливають із відносин за векселем, не є тими самими, що сторони основних правовідносин, що є, зокрема, результатом індосамент векселя.</w:t>
      </w:r>
    </w:p>
    <w:p>
      <w:pPr>
        <w:pStyle w:val="Normal"/>
        <w:spacing w:lineRule="auto" w:line="360" w:before="0" w:after="0"/>
        <w:jc w:val="both"/>
        <w:rPr>
          <w:sz w:val="28"/>
          <w:szCs w:val="28"/>
        </w:rPr>
      </w:pPr>
      <w:r>
        <w:rPr>
          <w:rFonts w:cs="Times New Roman" w:ascii="Times New Roman" w:hAnsi="Times New Roman"/>
          <w:sz w:val="28"/>
          <w:szCs w:val="28"/>
        </w:rPr>
        <w:tab/>
        <w:t>Щодо першої ситуації, яка виходить за межі Уніфікованого закону, відповідь однакова в усіх правових системах держав-членів, охоплених цією запискою: захист, заснований на правових відносинах між боржником і кредитором не підлягає обмежувальним умовам.</w:t>
      </w:r>
    </w:p>
    <w:p>
      <w:pPr>
        <w:pStyle w:val="Normal"/>
        <w:spacing w:lineRule="auto" w:line="360" w:before="0" w:after="0"/>
        <w:jc w:val="both"/>
        <w:rPr>
          <w:sz w:val="28"/>
          <w:szCs w:val="28"/>
        </w:rPr>
      </w:pPr>
      <w:r>
        <w:rPr>
          <w:rFonts w:cs="Times New Roman" w:ascii="Times New Roman" w:hAnsi="Times New Roman"/>
          <w:sz w:val="28"/>
          <w:szCs w:val="28"/>
        </w:rPr>
        <w:tab/>
        <w:t>Що стосується другої ситуації, то принципово інакше. Положення законів держав-членів, які відповідають статтям 10 і 17 Уніфікованого закону, передбачають обмеження щодо захисту, заснованого на правових відносинах, що лежать в основі.</w:t>
      </w:r>
    </w:p>
    <w:p>
      <w:pPr>
        <w:pStyle w:val="Normal"/>
        <w:spacing w:lineRule="auto" w:line="360" w:before="0" w:after="0"/>
        <w:jc w:val="both"/>
        <w:rPr>
          <w:sz w:val="28"/>
          <w:szCs w:val="28"/>
        </w:rPr>
      </w:pPr>
      <w:r>
        <w:rPr>
          <w:rFonts w:cs="Times New Roman" w:ascii="Times New Roman" w:hAnsi="Times New Roman"/>
          <w:sz w:val="28"/>
          <w:szCs w:val="28"/>
        </w:rPr>
        <w:tab/>
        <w:t>Стаття 17 Уніфікованого закону передбачає, що особи, яким пред'явлено позов за переказним векселем, не можуть посилатися на пред'явника будь-якими запереченнями, заснованими на їхніх особистих стосунках із векселедавцем або з попередніми пред'явником, якщо тільки пред'явник, придбавши переказний вексель, не діяв свідомо. на шкоду боржнику. Згідно зі статтею 10 Уніфікованого закону, якщо переказний вексель, який на момент видачі був неоформленим, був укладений не відповідно до укладених угод, невідповідність таких угод не може бути висунута проти пред’явника, якщо він не мав придбав переказний вексель недобросовісно або, придбавши його, допустив грубу недбалість. Подібні обмеження також передбачені в правових системах загального права.</w:t>
      </w:r>
    </w:p>
    <w:p>
      <w:pPr>
        <w:pStyle w:val="Normal"/>
        <w:spacing w:lineRule="auto" w:line="360" w:before="0" w:after="0"/>
        <w:jc w:val="both"/>
        <w:rPr>
          <w:sz w:val="28"/>
          <w:szCs w:val="28"/>
        </w:rPr>
      </w:pPr>
      <w:r>
        <w:rPr>
          <w:rFonts w:cs="Times New Roman" w:ascii="Times New Roman" w:hAnsi="Times New Roman"/>
          <w:sz w:val="28"/>
          <w:szCs w:val="28"/>
        </w:rPr>
        <w:tab/>
        <w:t>Звідси випливає, що в другій ситуації можливість боржника за векселем посилатися на вимоги, засновані на правовідносинах, що лежать в основі, залежить від певних умов і є, в принципі, винятковою. Ці обмеження щодо можливості посилатися на прохання, засновані на правових відносинах, що лежать в основі, відображають абстрактний характер векселя.</w:t>
      </w:r>
    </w:p>
    <w:p>
      <w:pPr>
        <w:pStyle w:val="Normal"/>
        <w:spacing w:lineRule="auto" w:line="360" w:before="0" w:after="0"/>
        <w:jc w:val="both"/>
        <w:rPr>
          <w:sz w:val="28"/>
          <w:szCs w:val="28"/>
        </w:rPr>
      </w:pPr>
      <w:r>
        <w:rPr>
          <w:rFonts w:cs="Times New Roman" w:ascii="Times New Roman" w:hAnsi="Times New Roman"/>
          <w:sz w:val="28"/>
          <w:szCs w:val="28"/>
        </w:rPr>
        <w:tab/>
        <w:t>По суті, можна помітити, що, окрім будь-яких скарг щодо правових відносин, що лежать в основі, вексель стає повністю абстрактним за своєю природою лише після того, як він передається третій особі шляхом індосаменту.</w:t>
      </w:r>
    </w:p>
    <w:p>
      <w:pPr>
        <w:pStyle w:val="Normal"/>
        <w:spacing w:lineRule="auto" w:line="360" w:before="0" w:after="0"/>
        <w:jc w:val="both"/>
        <w:rPr>
          <w:sz w:val="28"/>
          <w:szCs w:val="28"/>
        </w:rPr>
      </w:pPr>
      <w:r>
        <w:rPr>
          <w:rFonts w:cs="Times New Roman" w:ascii="Times New Roman" w:hAnsi="Times New Roman"/>
          <w:sz w:val="28"/>
          <w:szCs w:val="28"/>
        </w:rPr>
        <w:tab/>
        <w:t>У світлі вищевикладеного можна зробити висновок, що хоча в усіх державах-членах вексель вважається абстрактним за своєю природою, абстрактний характер відрізняється залежно від того, чи був вексель індосований третьою стороною чи ні.</w:t>
      </w:r>
    </w:p>
    <w:p>
      <w:pPr>
        <w:pStyle w:val="Normal"/>
        <w:spacing w:lineRule="auto" w:line="360" w:before="0" w:after="0"/>
        <w:jc w:val="both"/>
        <w:rPr>
          <w:sz w:val="28"/>
          <w:szCs w:val="28"/>
        </w:rPr>
      </w:pPr>
      <w:r>
        <w:rPr>
          <w:rFonts w:cs="Times New Roman" w:ascii="Times New Roman" w:hAnsi="Times New Roman"/>
          <w:sz w:val="28"/>
          <w:szCs w:val="28"/>
        </w:rPr>
        <w:tab/>
        <w:t>Беручи до уваги ризики, пов’язані з абстрактним характером простих векселів, деякі правові системи, не забороняючи їх використання у відносинах зі споживачами, все ж зробили певні винятки із загальних правил про переказні векселі та прості векселі, щоб гарантувати споживачу захисту. У деяких із цих правових систем розроблено спеціальні норми, зокрема, у судовій практиці. Відповідно, використання векселів у відносинах зі споживачами регулюється спеціальними правилами в Іспанії, Польщі, Португалії та Чехії.</w:t>
      </w:r>
    </w:p>
    <w:p>
      <w:pPr>
        <w:pStyle w:val="Normal"/>
        <w:spacing w:lineRule="auto" w:line="360" w:before="0" w:after="0"/>
        <w:jc w:val="both"/>
        <w:rPr>
          <w:sz w:val="28"/>
          <w:szCs w:val="28"/>
        </w:rPr>
      </w:pPr>
      <w:r>
        <w:rPr>
          <w:rFonts w:cs="Times New Roman" w:ascii="Times New Roman" w:hAnsi="Times New Roman"/>
          <w:sz w:val="28"/>
          <w:szCs w:val="28"/>
        </w:rPr>
        <w:tab/>
        <w:t>Що стосується загальних характеристик цих спеціальних норм, незалежно від того, чи вони виникли в законодавчих актах, чи були прийняті судом, було прийнято кілька підходів. Перший полягає в наданні споживачеві захисту на основі правових відносин, що лежать в основі, або після індосаменту векселя, незалежно від обмежень, викладених у статтях 10 і 17 Єдиного закону (Чеська Республіка), або по відношенню до кредитора за векселем, який не є учасником основних правовідносин (Іспанія). Іншим рішенням є заборона видачі та акцепту векселя, який не містить застереження «не замовляти», тобто переказного векселя (Польща, Португалія). Незалежно від юридичної техніки, правила призводять до однакового результату. Дійсно, застосування цих положень позбавляє векселі їхньої абстрактної природи, принаймні в тому, що стосується найважливішого аспекту щодо захисту споживачів, тобто захисту, заснованого на правових відносинах, що лежать в основі.</w:t>
      </w:r>
    </w:p>
    <w:p>
      <w:pPr>
        <w:pStyle w:val="Normal"/>
        <w:spacing w:lineRule="auto" w:line="360" w:before="0" w:after="0"/>
        <w:jc w:val="both"/>
        <w:rPr>
          <w:sz w:val="28"/>
          <w:szCs w:val="28"/>
        </w:rPr>
      </w:pPr>
      <w:r>
        <w:rPr>
          <w:rFonts w:cs="Times New Roman" w:ascii="Times New Roman" w:hAnsi="Times New Roman"/>
          <w:sz w:val="28"/>
          <w:szCs w:val="28"/>
        </w:rPr>
        <w:tab/>
        <w:t>Що стосується держав-членів, які встановили спеціальні правила, сфера дії цих правил є такою ж, як і національне законодавство про споживчі кредити. Тому спеціальні правила апріорі не поширюються на інші споживчі договори. Однак сфера застосування спеціальних норм чеського законодавства виходить за межі закону про споживчий кредит.</w:t>
      </w:r>
    </w:p>
    <w:p>
      <w:pPr>
        <w:pStyle w:val="Normal"/>
        <w:spacing w:lineRule="auto" w:line="360" w:before="0" w:after="0"/>
        <w:jc w:val="both"/>
        <w:rPr>
          <w:sz w:val="28"/>
          <w:szCs w:val="28"/>
        </w:rPr>
      </w:pPr>
      <w:r>
        <w:rPr>
          <w:rFonts w:cs="Times New Roman" w:ascii="Times New Roman" w:hAnsi="Times New Roman"/>
          <w:sz w:val="28"/>
          <w:szCs w:val="28"/>
        </w:rPr>
        <w:tab/>
      </w:r>
      <w:r>
        <w:rPr>
          <w:rFonts w:cs="Times New Roman" w:ascii="Times New Roman" w:hAnsi="Times New Roman"/>
          <w:sz w:val="28"/>
          <w:szCs w:val="28"/>
        </w:rPr>
        <w:t>Види векселів:</w:t>
      </w:r>
    </w:p>
    <w:p>
      <w:pPr>
        <w:pStyle w:val="Normal"/>
        <w:spacing w:lineRule="auto" w:line="360" w:before="0" w:after="0"/>
        <w:jc w:val="both"/>
        <w:rPr>
          <w:rFonts w:ascii="Times New Roman" w:hAnsi="Times New Roman"/>
          <w:b w:val="false"/>
          <w:b w:val="false"/>
          <w:bCs w:val="false"/>
          <w:color w:val="111111"/>
          <w:sz w:val="28"/>
          <w:szCs w:val="28"/>
        </w:rPr>
      </w:pPr>
      <w:r>
        <w:rPr>
          <w:rFonts w:cs="Times New Roman" w:ascii="Times New Roman" w:hAnsi="Times New Roman"/>
          <w:b w:val="false"/>
          <w:bCs w:val="false"/>
          <w:color w:val="111111"/>
          <w:sz w:val="28"/>
          <w:szCs w:val="28"/>
        </w:rPr>
        <w:t xml:space="preserve">1. </w:t>
      </w:r>
      <w:r>
        <w:rPr>
          <w:rFonts w:cs="Times New Roman" w:ascii="Times New Roman" w:hAnsi="Times New Roman"/>
          <w:b w:val="false"/>
          <w:bCs w:val="false"/>
          <w:i w:val="false"/>
          <w:caps w:val="false"/>
          <w:smallCaps w:val="false"/>
          <w:color w:val="111111"/>
          <w:spacing w:val="0"/>
          <w:sz w:val="28"/>
          <w:szCs w:val="28"/>
        </w:rPr>
        <w:t>Неофіційний або особистий вексель</w:t>
      </w:r>
    </w:p>
    <w:p>
      <w:pPr>
        <w:pStyle w:val="Normal"/>
        <w:spacing w:lineRule="auto" w:line="360" w:before="0" w:after="0"/>
        <w:jc w:val="both"/>
        <w:rPr>
          <w:rFonts w:ascii="Times New Roman" w:hAnsi="Times New Roman"/>
          <w:b w:val="false"/>
          <w:b w:val="false"/>
          <w:bCs w:val="false"/>
          <w:color w:val="111111"/>
          <w:sz w:val="28"/>
          <w:szCs w:val="28"/>
        </w:rPr>
      </w:pPr>
      <w:r>
        <w:rPr>
          <w:rFonts w:cs="Times New Roman" w:ascii="Times New Roman" w:hAnsi="Times New Roman"/>
          <w:b w:val="false"/>
          <w:bCs w:val="false"/>
          <w:color w:val="111111"/>
          <w:sz w:val="28"/>
          <w:szCs w:val="28"/>
        </w:rPr>
        <w:tab/>
        <w:t xml:space="preserve">- </w:t>
      </w:r>
      <w:r>
        <w:rPr>
          <w:rFonts w:cs="Times New Roman" w:ascii="Times New Roman" w:hAnsi="Times New Roman"/>
          <w:b w:val="false"/>
          <w:bCs w:val="false"/>
          <w:i w:val="false"/>
          <w:caps w:val="false"/>
          <w:smallCaps w:val="false"/>
          <w:color w:val="111111"/>
          <w:spacing w:val="0"/>
          <w:sz w:val="28"/>
          <w:szCs w:val="28"/>
        </w:rPr>
        <w:t>Це письмова гарантія того, що позичені гроші будуть повернуті, але не завжди вказується мета позики.</w:t>
      </w:r>
    </w:p>
    <w:p>
      <w:pPr>
        <w:pStyle w:val="Heading3"/>
        <w:spacing w:lineRule="auto" w:line="360" w:before="0" w:after="0"/>
        <w:jc w:val="both"/>
        <w:rPr>
          <w:rFonts w:ascii="Times New Roman" w:hAnsi="Times New Roman"/>
          <w:b w:val="false"/>
          <w:b w:val="false"/>
          <w:bCs w:val="false"/>
          <w:i w:val="false"/>
          <w:caps w:val="false"/>
          <w:smallCaps w:val="false"/>
          <w:color w:val="111111"/>
          <w:spacing w:val="0"/>
          <w:sz w:val="28"/>
          <w:szCs w:val="28"/>
        </w:rPr>
      </w:pPr>
      <w:r>
        <w:rPr>
          <w:rFonts w:cs="Times New Roman" w:ascii="Times New Roman" w:hAnsi="Times New Roman"/>
          <w:b w:val="false"/>
          <w:bCs w:val="false"/>
          <w:i w:val="false"/>
          <w:caps w:val="false"/>
          <w:smallCaps w:val="false"/>
          <w:color w:val="111111"/>
          <w:spacing w:val="0"/>
          <w:sz w:val="28"/>
          <w:szCs w:val="28"/>
        </w:rPr>
        <w:t xml:space="preserve">2. </w:t>
      </w:r>
      <w:r>
        <w:rPr>
          <w:rFonts w:cs="Times New Roman" w:ascii="Times New Roman" w:hAnsi="Times New Roman"/>
          <w:b w:val="false"/>
          <w:bCs w:val="false"/>
          <w:i w:val="false"/>
          <w:caps w:val="false"/>
          <w:smallCaps w:val="false"/>
          <w:color w:val="111111"/>
          <w:spacing w:val="0"/>
          <w:sz w:val="28"/>
          <w:szCs w:val="28"/>
        </w:rPr>
        <w:t>Комерційний вексель</w:t>
      </w:r>
    </w:p>
    <w:p>
      <w:pPr>
        <w:pStyle w:val="TextBody"/>
        <w:widowControl/>
        <w:pBdr/>
        <w:spacing w:lineRule="auto" w:line="384" w:before="0" w:after="0"/>
        <w:ind w:left="0" w:right="0" w:hanging="0"/>
        <w:jc w:val="both"/>
        <w:rPr/>
      </w:pPr>
      <w:r>
        <w:rPr>
          <w:rFonts w:ascii="Times New Roman" w:hAnsi="Times New Roman"/>
          <w:b w:val="false"/>
          <w:bCs w:val="false"/>
          <w:i w:val="false"/>
          <w:caps w:val="false"/>
          <w:smallCaps w:val="false"/>
          <w:color w:val="111111"/>
          <w:spacing w:val="0"/>
          <w:sz w:val="28"/>
          <w:szCs w:val="28"/>
        </w:rPr>
        <w:tab/>
        <w:t xml:space="preserve">- Комерційний вексель є більш формальним і містить конкретні умови позики. Вони використовуються під час позичання грошей у комерційного кредитора, наприклад банку, кредитної спілки чи кредитного агентства.Вони часто вимагають від позичальників погашення позики з відсотками, а позикодавець має </w:t>
      </w:r>
      <w:r>
        <w:rPr>
          <w:rFonts w:ascii="Times New Roman" w:hAnsi="Times New Roman"/>
          <w:b w:val="false"/>
          <w:bCs w:val="false"/>
          <w:i w:val="false"/>
          <w:caps w:val="false"/>
          <w:smallCaps w:val="false"/>
          <w:color w:val="111111"/>
          <w:spacing w:val="0"/>
          <w:sz w:val="28"/>
          <w:szCs w:val="28"/>
        </w:rPr>
        <w:t xml:space="preserve">право застави </w:t>
      </w:r>
      <w:r>
        <w:rPr>
          <w:rFonts w:ascii="Times New Roman" w:hAnsi="Times New Roman"/>
          <w:b w:val="false"/>
          <w:bCs w:val="false"/>
          <w:i w:val="false"/>
          <w:caps w:val="false"/>
          <w:smallCaps w:val="false"/>
          <w:color w:val="111111"/>
          <w:spacing w:val="0"/>
          <w:sz w:val="28"/>
          <w:szCs w:val="28"/>
        </w:rPr>
        <w:t>на активи, що належать позичальнику, до отримання платежу.</w:t>
      </w:r>
    </w:p>
    <w:p>
      <w:pPr>
        <w:pStyle w:val="TextBody"/>
        <w:widowControl/>
        <w:pBdr/>
        <w:spacing w:lineRule="auto" w:line="384"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Наприклад, якщо ви візьмете в банку автокредит, банк матиме заставу на ваш автомобіль, доки ви не погасите кредит.</w:t>
      </w:r>
    </w:p>
    <w:p>
      <w:pPr>
        <w:pStyle w:val="Heading3"/>
        <w:widowControl/>
        <w:pBdr/>
        <w:spacing w:lineRule="auto" w:line="316"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 xml:space="preserve">3. </w:t>
      </w:r>
      <w:r>
        <w:rPr>
          <w:rFonts w:ascii="Times New Roman" w:hAnsi="Times New Roman"/>
          <w:b w:val="false"/>
          <w:bCs w:val="false"/>
          <w:i w:val="false"/>
          <w:caps w:val="false"/>
          <w:smallCaps w:val="false"/>
          <w:color w:val="111111"/>
          <w:spacing w:val="0"/>
          <w:sz w:val="28"/>
          <w:szCs w:val="28"/>
        </w:rPr>
        <w:t>Вексель на нерухоме майно</w:t>
      </w:r>
    </w:p>
    <w:p>
      <w:pPr>
        <w:pStyle w:val="TextBody"/>
        <w:widowControl/>
        <w:pBdr/>
        <w:spacing w:lineRule="auto" w:line="384" w:before="0" w:after="0"/>
        <w:ind w:left="0" w:right="0" w:hanging="0"/>
        <w:jc w:val="both"/>
        <w:rPr/>
      </w:pPr>
      <w:r>
        <w:rPr>
          <w:rFonts w:ascii="Times New Roman" w:hAnsi="Times New Roman"/>
          <w:b w:val="false"/>
          <w:bCs w:val="false"/>
          <w:i w:val="false"/>
          <w:caps w:val="false"/>
          <w:smallCaps w:val="false"/>
          <w:color w:val="111111"/>
          <w:spacing w:val="0"/>
          <w:sz w:val="28"/>
          <w:szCs w:val="28"/>
        </w:rPr>
        <w:tab/>
        <w:t>- Під час оформлення кредиту на житло або придбання іншої нерухомості ви б використовували вексель на нерухомість.Будинок або нерухомість будуть заставою для цього векселя, і якщо позичальник не сплачує свої платежі, позикодавець може накласти арешт на майно</w:t>
      </w:r>
      <w:r>
        <w:rPr>
          <w:rStyle w:val="Emphasis"/>
          <w:rFonts w:ascii="Times New Roman" w:hAnsi="Times New Roman"/>
          <w:b w:val="false"/>
          <w:bCs w:val="false"/>
          <w:i w:val="false"/>
          <w:caps w:val="false"/>
          <w:smallCaps w:val="false"/>
          <w:color w:val="111111"/>
          <w:spacing w:val="0"/>
          <w:sz w:val="28"/>
          <w:szCs w:val="28"/>
        </w:rPr>
        <w:t>.</w:t>
      </w:r>
    </w:p>
    <w:p>
      <w:pPr>
        <w:pStyle w:val="Heading3"/>
        <w:widowControl/>
        <w:pBdr/>
        <w:spacing w:lineRule="auto" w:line="316"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 xml:space="preserve">4. </w:t>
      </w:r>
      <w:r>
        <w:rPr>
          <w:rFonts w:ascii="Times New Roman" w:hAnsi="Times New Roman"/>
          <w:b w:val="false"/>
          <w:bCs w:val="false"/>
          <w:i w:val="false"/>
          <w:caps w:val="false"/>
          <w:smallCaps w:val="false"/>
          <w:color w:val="111111"/>
          <w:spacing w:val="0"/>
          <w:sz w:val="28"/>
          <w:szCs w:val="28"/>
        </w:rPr>
        <w:t>Інвестиційний вексель</w:t>
      </w:r>
    </w:p>
    <w:p>
      <w:pPr>
        <w:pStyle w:val="TextBody"/>
        <w:widowControl/>
        <w:pBdr/>
        <w:spacing w:lineRule="auto" w:line="384"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 Компанія може видати вексель для залучення капіталу. Ці векселі є унікальними, оскільки їх можна продати іншим інвесторам. Вони часто можуть бути заміною бізнес-кредиту.</w:t>
      </w:r>
    </w:p>
    <w:p>
      <w:pPr>
        <w:pStyle w:val="TextBody"/>
        <w:widowControl/>
        <w:pBdr/>
        <w:spacing w:lineRule="auto" w:line="384" w:before="0" w:after="0"/>
        <w:ind w:left="0" w:right="0" w:hanging="0"/>
        <w:jc w:val="both"/>
        <w:rPr/>
      </w:pPr>
      <w:r>
        <w:rPr>
          <w:rFonts w:ascii="Times New Roman" w:hAnsi="Times New Roman"/>
          <w:b w:val="false"/>
          <w:bCs w:val="false"/>
          <w:i w:val="false"/>
          <w:caps w:val="false"/>
          <w:smallCaps w:val="false"/>
          <w:color w:val="111111"/>
          <w:spacing w:val="0"/>
          <w:sz w:val="28"/>
          <w:szCs w:val="28"/>
        </w:rPr>
        <w:t xml:space="preserve">Інвестиційні векселі знижують ризик інвестування в бізнес, забезпечуючи отримання інвесторам </w:t>
      </w:r>
      <w:r>
        <w:rPr>
          <w:rFonts w:ascii="Times New Roman" w:hAnsi="Times New Roman"/>
          <w:b w:val="false"/>
          <w:bCs w:val="false"/>
          <w:i w:val="false"/>
          <w:caps w:val="false"/>
          <w:smallCaps w:val="false"/>
          <w:color w:val="111111"/>
          <w:spacing w:val="0"/>
          <w:sz w:val="28"/>
          <w:szCs w:val="28"/>
        </w:rPr>
        <w:t xml:space="preserve">приьутку від інвестицій </w:t>
      </w:r>
      <w:r>
        <w:rPr>
          <w:rFonts w:ascii="Times New Roman" w:hAnsi="Times New Roman"/>
          <w:b w:val="false"/>
          <w:bCs w:val="false"/>
          <w:i w:val="false"/>
          <w:caps w:val="false"/>
          <w:smallCaps w:val="false"/>
          <w:color w:val="111111"/>
          <w:spacing w:val="0"/>
          <w:sz w:val="28"/>
          <w:szCs w:val="28"/>
        </w:rPr>
        <w:t>протягом визначеного періоду. Якщо позичальник не поверне гроші, інвестор може законно стати власником компанії.</w:t>
      </w:r>
    </w:p>
    <w:p>
      <w:pPr>
        <w:pStyle w:val="Heading3"/>
        <w:widowControl/>
        <w:pBdr/>
        <w:spacing w:lineRule="auto" w:line="316"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 xml:space="preserve">5. </w:t>
      </w:r>
      <w:r>
        <w:rPr>
          <w:rFonts w:ascii="Times New Roman" w:hAnsi="Times New Roman"/>
          <w:b w:val="false"/>
          <w:bCs w:val="false"/>
          <w:i w:val="false"/>
          <w:caps w:val="false"/>
          <w:smallCaps w:val="false"/>
          <w:color w:val="111111"/>
          <w:spacing w:val="0"/>
          <w:sz w:val="28"/>
          <w:szCs w:val="28"/>
        </w:rPr>
        <w:t>Автомобіль Вексель</w:t>
      </w:r>
    </w:p>
    <w:p>
      <w:pPr>
        <w:pStyle w:val="TextBody"/>
        <w:widowControl/>
        <w:pBdr/>
        <w:spacing w:lineRule="auto" w:line="384"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 Вексель на автомобіль – це угода, за якою позичальник обіцяє здійснити платежі в обмін на автомобіль. Зазвичай він має рівномірні умови протягом усього кредиту, але часто також включає одноразовий початковий внесок на початку терміну кредиту. Він також повинен містити інформацію про марку та модель автомобіля.</w:t>
      </w:r>
    </w:p>
    <w:p>
      <w:pPr>
        <w:pStyle w:val="Heading3"/>
        <w:widowControl/>
        <w:pBdr/>
        <w:spacing w:lineRule="auto" w:line="316"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6.</w:t>
      </w:r>
      <w:r>
        <w:rPr>
          <w:rFonts w:ascii="Times New Roman" w:hAnsi="Times New Roman"/>
          <w:b w:val="false"/>
          <w:bCs w:val="false"/>
          <w:i w:val="false"/>
          <w:caps w:val="false"/>
          <w:smallCaps w:val="false"/>
          <w:color w:val="111111"/>
          <w:spacing w:val="0"/>
          <w:sz w:val="28"/>
          <w:szCs w:val="28"/>
        </w:rPr>
        <w:t>Студентський вексель</w:t>
      </w:r>
    </w:p>
    <w:p>
      <w:pPr>
        <w:pStyle w:val="TextBody"/>
        <w:widowControl/>
        <w:pBdr/>
        <w:spacing w:lineRule="auto" w:line="384"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 Ви зазвичай бачите цей тип векселя для позик для студентів і аспірантів, і вони унікальні, оскільки часто відкладають нарахування відсотків за вашими позиками до моменту, коли ви закінчите навчання.</w:t>
      </w:r>
    </w:p>
    <w:p>
      <w:pPr>
        <w:pStyle w:val="TextBody"/>
        <w:widowControl/>
        <w:pBdr/>
        <w:spacing w:lineRule="auto" w:line="384"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Крім того, дата початку навчання часто є гнучкою та невизначеною, поки ви не закінчите навчання. У студентському векселі ви можете побачити пункт про те, що виплати мають бути виплачені лише через 6 місяців після закінчення школи, або інші непередбачені обставини залежно від вашої освіти.</w:t>
      </w:r>
    </w:p>
    <w:p>
      <w:pPr>
        <w:pStyle w:val="Normal"/>
        <w:spacing w:lineRule="auto" w:line="360" w:before="0" w:after="0"/>
        <w:jc w:val="center"/>
        <w:rPr>
          <w:sz w:val="28"/>
          <w:szCs w:val="28"/>
        </w:rPr>
      </w:pPr>
      <w:r>
        <w:rPr>
          <w:rFonts w:cs="Times New Roman" w:ascii="Times New Roman" w:hAnsi="Times New Roman"/>
          <w:sz w:val="28"/>
          <w:szCs w:val="28"/>
        </w:rPr>
        <w:t>1.2 Нормативно-правова база, що регулює облік вексельних операцій</w:t>
      </w:r>
    </w:p>
    <w:p>
      <w:pPr>
        <w:pStyle w:val="Normal"/>
        <w:spacing w:lineRule="auto" w:line="360" w:before="0" w:after="0"/>
        <w:jc w:val="both"/>
        <w:rPr>
          <w:rFonts w:ascii="Neue Helvetica W01;Helvetica;Arial;sans-serif" w:hAnsi="Neue Helvetica W01;Helvetica;Arial;sans-serif" w:cs="Times New Roman"/>
          <w:b w:val="false"/>
          <w:i w:val="false"/>
          <w:caps w:val="false"/>
          <w:smallCaps w:val="false"/>
          <w:color w:val="424242"/>
          <w:spacing w:val="0"/>
          <w:sz w:val="22"/>
        </w:rPr>
      </w:pPr>
      <w:r>
        <w:rPr>
          <w:sz w:val="28"/>
          <w:szCs w:val="28"/>
        </w:rPr>
      </w:r>
      <w:bookmarkStart w:id="0" w:name="term423"/>
      <w:bookmarkStart w:id="1" w:name="term423"/>
      <w:bookmarkEnd w:id="1"/>
    </w:p>
    <w:p>
      <w:pPr>
        <w:pStyle w:val="Normal"/>
        <w:spacing w:lineRule="auto" w:line="360" w:before="0" w:after="0"/>
        <w:jc w:val="center"/>
        <w:rPr>
          <w:rFonts w:ascii="Times New Roman" w:hAnsi="Times New Roman" w:cs="Times New Roman"/>
        </w:rPr>
      </w:pPr>
      <w:r>
        <w:rPr>
          <w:sz w:val="28"/>
          <w:szCs w:val="28"/>
        </w:rPr>
      </w:r>
    </w:p>
    <w:p>
      <w:pPr>
        <w:pStyle w:val="Normal"/>
        <w:spacing w:lineRule="auto" w:line="360" w:before="0" w:after="0"/>
        <w:jc w:val="center"/>
        <w:rPr>
          <w:rFonts w:ascii="Times New Roman" w:hAnsi="Times New Roman" w:cs="Times New Roman"/>
        </w:rPr>
      </w:pPr>
      <w:r>
        <w:rPr>
          <w:sz w:val="28"/>
          <w:szCs w:val="28"/>
        </w:rPr>
      </w:r>
    </w:p>
    <w:p>
      <w:pPr>
        <w:pStyle w:val="Normal"/>
        <w:spacing w:lineRule="auto" w:line="360" w:before="0" w:after="0"/>
        <w:jc w:val="center"/>
        <w:rPr>
          <w:rFonts w:ascii="Times New Roman" w:hAnsi="Times New Roman" w:cs="Times New Roman"/>
        </w:rPr>
      </w:pPr>
      <w:r>
        <w:rPr>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t xml:space="preserve">1.3 </w:t>
      </w:r>
      <w:r>
        <w:rPr>
          <w:rFonts w:ascii="Times New Roman" w:hAnsi="Times New Roman"/>
          <w:sz w:val="28"/>
          <w:szCs w:val="28"/>
        </w:rPr>
        <w:t>О</w:t>
      </w:r>
      <w:r>
        <w:rPr>
          <w:rFonts w:ascii="Times New Roman" w:hAnsi="Times New Roman"/>
          <w:sz w:val="28"/>
          <w:szCs w:val="28"/>
        </w:rPr>
        <w:t>гляд сучасних методів використання векселів</w:t>
      </w:r>
    </w:p>
    <w:p>
      <w:pPr>
        <w:pStyle w:val="TextBody"/>
        <w:spacing w:lineRule="auto" w:line="360" w:before="0" w:after="0"/>
        <w:jc w:val="both"/>
        <w:rPr>
          <w:rFonts w:ascii="Times New Roman" w:hAnsi="Times New Roman"/>
          <w:sz w:val="28"/>
          <w:szCs w:val="28"/>
        </w:rPr>
      </w:pPr>
      <w:r>
        <w:rPr>
          <w:rFonts w:ascii="Times New Roman" w:hAnsi="Times New Roman"/>
          <w:b w:val="false"/>
          <w:i w:val="false"/>
          <w:caps w:val="false"/>
          <w:smallCaps w:val="false"/>
          <w:color w:val="111111"/>
          <w:spacing w:val="0"/>
          <w:sz w:val="28"/>
          <w:szCs w:val="28"/>
        </w:rPr>
        <w:tab/>
        <w:t>Вибір найбільш підходящого методу оцінки в основному залежить від мети оцінки, характеристик суб’єкта та наявності надійної інформації, необхідної для різних методів.Підхід до оцінки визначається як «загальний спосіб визначення вартості за допомогою одного або кількох конкретних методів оцінки».</w:t>
      </w:r>
    </w:p>
    <w:p>
      <w:pPr>
        <w:pStyle w:val="TextBody"/>
        <w:widowControl/>
        <w:pBdr/>
        <w:spacing w:lineRule="auto" w:line="360" w:before="0" w:after="0"/>
        <w:ind w:left="0" w:right="0" w:hanging="0"/>
        <w:jc w:val="both"/>
        <w:rPr>
          <w:rFonts w:ascii="Times New Roman" w:hAnsi="Times New Roman"/>
          <w:b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tab/>
        <w:t>У цьому випадку справедлива ринкова вартість векселя розраховується як поточна вартість майбутньої виплати основної суми та відсотків за векселем із використанням ринкової ставки відсотка на основі ризику векселя.</w:t>
      </w:r>
    </w:p>
    <w:p>
      <w:pPr>
        <w:pStyle w:val="TextBody"/>
        <w:widowControl/>
        <w:pBdr/>
        <w:spacing w:lineRule="auto" w:line="360" w:before="0" w:after="0"/>
        <w:ind w:left="0" w:right="0" w:hanging="0"/>
        <w:jc w:val="both"/>
        <w:rPr>
          <w:rFonts w:ascii="Times New Roman" w:hAnsi="Times New Roman"/>
          <w:b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tab/>
        <w:t>Простіше кажучи, цінність предметної примітки визначається наступним чином:</w:t>
      </w:r>
    </w:p>
    <w:p>
      <w:pPr>
        <w:pStyle w:val="TextBody"/>
        <w:widowControl/>
        <w:numPr>
          <w:ilvl w:val="0"/>
          <w:numId w:val="2"/>
        </w:numPr>
        <w:pBdr/>
        <w:tabs>
          <w:tab w:val="clear" w:pos="708"/>
          <w:tab w:val="left" w:pos="0" w:leader="none"/>
        </w:tabs>
        <w:spacing w:lineRule="auto" w:line="360" w:before="0" w:after="206"/>
        <w:ind w:left="360" w:right="0" w:hanging="0"/>
        <w:jc w:val="both"/>
        <w:rPr>
          <w:rFonts w:ascii="Times New Roman" w:hAnsi="Times New Roman"/>
          <w:b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t>Обчисліть базову процентну ставку.</w:t>
      </w:r>
    </w:p>
    <w:p>
      <w:pPr>
        <w:pStyle w:val="TextBody"/>
        <w:widowControl/>
        <w:numPr>
          <w:ilvl w:val="0"/>
          <w:numId w:val="2"/>
        </w:numPr>
        <w:pBdr/>
        <w:tabs>
          <w:tab w:val="clear" w:pos="708"/>
          <w:tab w:val="left" w:pos="0" w:leader="none"/>
        </w:tabs>
        <w:spacing w:lineRule="auto" w:line="360" w:before="0" w:after="206"/>
        <w:ind w:left="360" w:right="0" w:hanging="0"/>
        <w:jc w:val="both"/>
        <w:rPr>
          <w:rFonts w:ascii="Times New Roman" w:hAnsi="Times New Roman"/>
          <w:b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t>Визначте конкретну премію за ризик.</w:t>
      </w:r>
    </w:p>
    <w:p>
      <w:pPr>
        <w:pStyle w:val="TextBody"/>
        <w:widowControl/>
        <w:numPr>
          <w:ilvl w:val="0"/>
          <w:numId w:val="2"/>
        </w:numPr>
        <w:pBdr/>
        <w:tabs>
          <w:tab w:val="clear" w:pos="708"/>
          <w:tab w:val="left" w:pos="0" w:leader="none"/>
        </w:tabs>
        <w:spacing w:lineRule="auto" w:line="360" w:before="0" w:after="206"/>
        <w:ind w:left="360" w:right="0" w:hanging="0"/>
        <w:jc w:val="both"/>
        <w:rPr>
          <w:rFonts w:ascii="Times New Roman" w:hAnsi="Times New Roman"/>
          <w:b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t>Поєднайте базову процентну ставку з конкретною премією за ризик і обчисліть необхідну ринкову процентну ставку.</w:t>
      </w:r>
    </w:p>
    <w:p>
      <w:pPr>
        <w:pStyle w:val="TextBody"/>
        <w:widowControl/>
        <w:numPr>
          <w:ilvl w:val="0"/>
          <w:numId w:val="2"/>
        </w:numPr>
        <w:pBdr/>
        <w:tabs>
          <w:tab w:val="clear" w:pos="708"/>
          <w:tab w:val="left" w:pos="0" w:leader="none"/>
        </w:tabs>
        <w:spacing w:lineRule="auto" w:line="360" w:before="0" w:after="206"/>
        <w:ind w:left="360" w:right="0" w:hanging="0"/>
        <w:jc w:val="both"/>
        <w:rPr>
          <w:rFonts w:ascii="Times New Roman" w:hAnsi="Times New Roman"/>
          <w:b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t>Застосуйте дисконтний коефіцієнт теперішньої вартості необхідної процентної ставки до прогнозованих майбутніх процентних та основних платежів згідно з графіком амортизації векселів, щоб визначити справедливу ринкову вартість векселів.</w:t>
      </w:r>
    </w:p>
    <w:p>
      <w:pPr>
        <w:pStyle w:val="Normal"/>
        <w:spacing w:lineRule="auto" w:line="360" w:before="0" w:after="0"/>
        <w:jc w:val="both"/>
        <w:rPr/>
      </w:pPr>
      <w:r>
        <w:rPr>
          <w:rFonts w:ascii="Times New Roman" w:hAnsi="Times New Roman"/>
          <w:b w:val="false"/>
          <w:bCs w:val="false"/>
          <w:color w:val="111111"/>
          <w:sz w:val="28"/>
          <w:szCs w:val="28"/>
        </w:rPr>
        <w:t xml:space="preserve">1. </w:t>
      </w:r>
      <w:r>
        <w:rPr>
          <w:rStyle w:val="StrongEmphasis"/>
          <w:rFonts w:ascii="Times New Roman" w:hAnsi="Times New Roman"/>
          <w:b w:val="false"/>
          <w:bCs w:val="false"/>
          <w:i w:val="false"/>
          <w:caps w:val="false"/>
          <w:smallCaps w:val="false"/>
          <w:color w:val="111111"/>
          <w:spacing w:val="0"/>
          <w:sz w:val="28"/>
          <w:szCs w:val="28"/>
        </w:rPr>
        <w:t>Базова процентна ставка</w:t>
      </w:r>
    </w:p>
    <w:p>
      <w:pPr>
        <w:pStyle w:val="TextBody"/>
        <w:spacing w:lineRule="auto" w:line="360" w:before="0" w:after="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Є кілька судових справ, які стосуються оцінки векселів.Деякі з них зосереджені на складі базової процентної ставки.Базова процентна ставка може бути визначена кількома способами;однак він завжди повинен розглядати вимірні альтернативні інвестиції з порівнянними рівнями ризику.</w:t>
      </w:r>
    </w:p>
    <w:p>
      <w:pPr>
        <w:pStyle w:val="TextBody"/>
        <w:widowControl/>
        <w:pBdr/>
        <w:spacing w:lineRule="auto" w:line="360" w:before="0" w:after="0"/>
        <w:ind w:left="0" w:right="0" w:hanging="0"/>
        <w:jc w:val="both"/>
        <w:rPr/>
      </w:pPr>
      <w:r>
        <w:rPr>
          <w:rFonts w:ascii="Times New Roman" w:hAnsi="Times New Roman"/>
          <w:b w:val="false"/>
          <w:bCs w:val="false"/>
          <w:i w:val="false"/>
          <w:caps w:val="false"/>
          <w:smallCaps w:val="false"/>
          <w:color w:val="111111"/>
          <w:spacing w:val="0"/>
          <w:sz w:val="28"/>
          <w:szCs w:val="28"/>
        </w:rPr>
        <w:tab/>
        <w:t>Часто експерти з оцінки використовують відсоткові ставки векселів публічних компаній з розвитку бізнесу (BDC), щоб забезпечити порівняльні ставки з приватними векселями.Є майже 50 BDC, які активно торгуються на публічному ринку.</w:t>
      </w:r>
    </w:p>
    <w:p>
      <w:pPr>
        <w:pStyle w:val="TextBody"/>
        <w:widowControl/>
        <w:pBdr/>
        <w:spacing w:lineRule="auto" w:line="360" w:before="0" w:after="0"/>
        <w:ind w:left="0" w:right="0" w:hanging="0"/>
        <w:jc w:val="both"/>
        <w:rPr/>
      </w:pPr>
      <w:r>
        <w:rPr>
          <w:rStyle w:val="StrongEmphasis"/>
          <w:rFonts w:ascii="Times New Roman" w:hAnsi="Times New Roman"/>
          <w:b w:val="false"/>
          <w:bCs w:val="false"/>
          <w:i w:val="false"/>
          <w:caps w:val="false"/>
          <w:smallCaps w:val="false"/>
          <w:color w:val="111111"/>
          <w:spacing w:val="0"/>
          <w:sz w:val="28"/>
          <w:szCs w:val="28"/>
        </w:rPr>
        <w:t xml:space="preserve">2. </w:t>
      </w:r>
      <w:r>
        <w:rPr>
          <w:rStyle w:val="StrongEmphasis"/>
          <w:rFonts w:ascii="Times New Roman" w:hAnsi="Times New Roman"/>
          <w:b w:val="false"/>
          <w:bCs w:val="false"/>
          <w:i w:val="false"/>
          <w:caps w:val="false"/>
          <w:smallCaps w:val="false"/>
          <w:color w:val="111111"/>
          <w:spacing w:val="0"/>
          <w:sz w:val="28"/>
          <w:szCs w:val="28"/>
        </w:rPr>
        <w:t>Премія за специфічний ризик</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Невеликі приватні векселі становлять більший ризик, ніж публічні компанії з розвитку бізнесу.Таким чином, для визначення загальної ринкової процентної ставки до базової відсоткової ставки потрібно додати конкретну премію за ризик (а/к/а додатковий ризик).Додавання спеціальної премії за ризик ґрунтується на принципі, згідно з яким зі збільшенням ризику інвестування зростатиме також необхідна процентна ставка.Іншими словами, це доповнення до базової ставки використовується для компенсації власнику облігації за додаткові фактори ризику, не відображені в базовій ставці.</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Як зазначено в Меморандумі технічної консультації 8229001, існує кілька факторів, які слід враховувати при оцінці додаткового ризику, пов’язаного з визначенням справедливої ринкової вартості (простого) векселя. Зазначена процентна ставка та умови амортизації часто вважаються двома ключовими факторами. Однак є кілька інших, які слід враховувати. Нижче наведено список факторів, які зазвичай розглядаються.</w:t>
      </w:r>
    </w:p>
    <w:p>
      <w:pPr>
        <w:pStyle w:val="TextBody"/>
        <w:widowControl/>
        <w:pBdr/>
        <w:spacing w:lineRule="auto" w:line="360" w:before="0" w:after="0"/>
        <w:ind w:left="0" w:right="0" w:hanging="0"/>
        <w:jc w:val="right"/>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 xml:space="preserve">Таблиця 1.  </w:t>
      </w:r>
      <w:r>
        <w:rPr>
          <w:rFonts w:ascii="Times New Roman" w:hAnsi="Times New Roman"/>
          <w:b w:val="false"/>
          <w:bCs w:val="false"/>
          <w:i w:val="false"/>
          <w:caps w:val="false"/>
          <w:smallCaps w:val="false"/>
          <w:color w:val="111111"/>
          <w:spacing w:val="0"/>
          <w:sz w:val="28"/>
          <w:szCs w:val="28"/>
        </w:rPr>
        <w:t>С</w:t>
      </w:r>
      <w:r>
        <w:rPr>
          <w:rFonts w:ascii="Times New Roman" w:hAnsi="Times New Roman"/>
          <w:b w:val="false"/>
          <w:bCs w:val="false"/>
          <w:i w:val="false"/>
          <w:caps w:val="false"/>
          <w:smallCaps w:val="false"/>
          <w:color w:val="111111"/>
          <w:spacing w:val="0"/>
          <w:sz w:val="28"/>
          <w:szCs w:val="28"/>
        </w:rPr>
        <w:t>писок факторів</w:t>
      </w:r>
    </w:p>
    <w:tbl>
      <w:tblPr>
        <w:tblW w:w="9355" w:type="dxa"/>
        <w:jc w:val="left"/>
        <w:tblInd w:w="55" w:type="dxa"/>
        <w:tblCellMar>
          <w:top w:w="55" w:type="dxa"/>
          <w:left w:w="55" w:type="dxa"/>
          <w:bottom w:w="55" w:type="dxa"/>
          <w:right w:w="55" w:type="dxa"/>
        </w:tblCellMar>
      </w:tblPr>
      <w:tblGrid>
        <w:gridCol w:w="2715"/>
        <w:gridCol w:w="6640"/>
      </w:tblGrid>
      <w:tr>
        <w:trPr/>
        <w:tc>
          <w:tcPr>
            <w:tcW w:w="2715" w:type="dxa"/>
            <w:tcBorders>
              <w:top w:val="single" w:sz="2" w:space="0" w:color="000000"/>
              <w:left w:val="single" w:sz="2" w:space="0" w:color="000000"/>
              <w:bottom w:val="single" w:sz="2" w:space="0" w:color="000000"/>
            </w:tcBorders>
          </w:tcPr>
          <w:p>
            <w:pPr>
              <w:pStyle w:val="TableContents"/>
              <w:spacing w:before="0" w:after="160"/>
              <w:jc w:val="center"/>
              <w:rPr>
                <w:rFonts w:ascii="Times New Roman" w:hAnsi="Times New Roman"/>
                <w:sz w:val="28"/>
                <w:szCs w:val="28"/>
              </w:rPr>
            </w:pPr>
            <w:r>
              <w:rPr>
                <w:rStyle w:val="StrongEmphasis"/>
                <w:rFonts w:ascii="Times New Roman" w:hAnsi="Times New Roman"/>
                <w:b w:val="false"/>
                <w:i w:val="false"/>
                <w:caps w:val="false"/>
                <w:smallCaps w:val="false"/>
                <w:color w:val="222222"/>
                <w:spacing w:val="0"/>
                <w:sz w:val="24"/>
                <w:szCs w:val="24"/>
              </w:rPr>
              <w:t>Фактор</w:t>
            </w:r>
          </w:p>
        </w:tc>
        <w:tc>
          <w:tcPr>
            <w:tcW w:w="6640"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rFonts w:ascii="Times New Roman" w:hAnsi="Times New Roman"/>
                <w:sz w:val="28"/>
                <w:szCs w:val="28"/>
              </w:rPr>
            </w:pPr>
            <w:r>
              <w:rPr>
                <w:rStyle w:val="StrongEmphasis"/>
                <w:rFonts w:ascii="Times New Roman" w:hAnsi="Times New Roman"/>
                <w:b w:val="false"/>
                <w:i w:val="false"/>
                <w:caps w:val="false"/>
                <w:smallCaps w:val="false"/>
                <w:color w:val="222222"/>
                <w:spacing w:val="0"/>
                <w:sz w:val="24"/>
                <w:szCs w:val="24"/>
              </w:rPr>
              <w:t>коментар</w:t>
            </w:r>
          </w:p>
        </w:tc>
      </w:tr>
      <w:tr>
        <w:trPr/>
        <w:tc>
          <w:tcPr>
            <w:tcW w:w="2715" w:type="dxa"/>
            <w:tcBorders>
              <w:left w:val="single" w:sz="2" w:space="0" w:color="000000"/>
              <w:bottom w:val="single" w:sz="2" w:space="0" w:color="000000"/>
            </w:tcBorders>
          </w:tcPr>
          <w:p>
            <w:pPr>
              <w:pStyle w:val="TableContents"/>
              <w:spacing w:before="0" w:after="160"/>
              <w:jc w:val="center"/>
              <w:rPr>
                <w:rFonts w:ascii="Times New Roman" w:hAnsi="Times New Roman"/>
                <w:sz w:val="28"/>
                <w:szCs w:val="28"/>
              </w:rPr>
            </w:pPr>
            <w:r>
              <w:rPr>
                <w:rStyle w:val="StrongEmphasis"/>
                <w:rFonts w:ascii="Times New Roman" w:hAnsi="Times New Roman"/>
                <w:b w:val="false"/>
                <w:i w:val="false"/>
                <w:caps w:val="false"/>
                <w:smallCaps w:val="false"/>
                <w:color w:val="222222"/>
                <w:spacing w:val="0"/>
                <w:sz w:val="24"/>
                <w:szCs w:val="24"/>
              </w:rPr>
              <w:t xml:space="preserve">Заявлена </w:t>
            </w:r>
            <w:r>
              <w:rPr>
                <w:rStyle w:val="StrongEmphasis"/>
                <w:rFonts w:ascii="Times New Roman" w:hAnsi="Times New Roman"/>
                <w:b w:val="false"/>
                <w:i w:val="false"/>
                <w:caps w:val="false"/>
                <w:smallCaps w:val="false"/>
                <w:color w:val="222222"/>
                <w:spacing w:val="0"/>
                <w:sz w:val="24"/>
                <w:szCs w:val="24"/>
              </w:rPr>
              <w:t>про</w:t>
            </w:r>
            <w:r>
              <w:rPr>
                <w:rStyle w:val="StrongEmphasis"/>
                <w:rFonts w:ascii="Times New Roman" w:hAnsi="Times New Roman"/>
                <w:b w:val="false"/>
                <w:i w:val="false"/>
                <w:caps w:val="false"/>
                <w:smallCaps w:val="false"/>
                <w:color w:val="222222"/>
                <w:spacing w:val="0"/>
                <w:sz w:val="24"/>
                <w:szCs w:val="24"/>
              </w:rPr>
              <w:t>центна ставка</w:t>
            </w:r>
          </w:p>
        </w:tc>
        <w:tc>
          <w:tcPr>
            <w:tcW w:w="6640" w:type="dxa"/>
            <w:tcBorders>
              <w:left w:val="single" w:sz="2" w:space="0" w:color="000000"/>
              <w:bottom w:val="single" w:sz="2" w:space="0" w:color="000000"/>
              <w:right w:val="single" w:sz="2" w:space="0" w:color="000000"/>
            </w:tcBorders>
          </w:tcPr>
          <w:p>
            <w:pPr>
              <w:pStyle w:val="TableContents"/>
              <w:spacing w:before="0" w:after="160"/>
              <w:jc w:val="center"/>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Банкнота з відсотковою ставкою, нижчою за ринкову, продаватиметься зі знижкою, оскільки покупець вимагатиме отримати вищу норму прибутку (ставка збільшення) на купюрі.</w:t>
            </w:r>
          </w:p>
        </w:tc>
      </w:tr>
      <w:tr>
        <w:trPr/>
        <w:tc>
          <w:tcPr>
            <w:tcW w:w="2715" w:type="dxa"/>
            <w:tcBorders>
              <w:left w:val="single" w:sz="2" w:space="0" w:color="000000"/>
              <w:bottom w:val="single" w:sz="2" w:space="0" w:color="000000"/>
            </w:tcBorders>
          </w:tcPr>
          <w:p>
            <w:pPr>
              <w:pStyle w:val="TableContents"/>
              <w:spacing w:before="0" w:after="160"/>
              <w:jc w:val="center"/>
              <w:rPr>
                <w:rFonts w:ascii="Times New Roman" w:hAnsi="Times New Roman"/>
                <w:sz w:val="28"/>
                <w:szCs w:val="28"/>
              </w:rPr>
            </w:pPr>
            <w:r>
              <w:rPr>
                <w:rStyle w:val="StrongEmphasis"/>
                <w:rFonts w:ascii="Times New Roman" w:hAnsi="Times New Roman"/>
                <w:b w:val="false"/>
                <w:i w:val="false"/>
                <w:caps w:val="false"/>
                <w:smallCaps w:val="false"/>
                <w:color w:val="222222"/>
                <w:spacing w:val="0"/>
                <w:sz w:val="24"/>
                <w:szCs w:val="24"/>
              </w:rPr>
              <w:t>Графік амортизації</w:t>
            </w:r>
          </w:p>
        </w:tc>
        <w:tc>
          <w:tcPr>
            <w:tcW w:w="6640" w:type="dxa"/>
            <w:tcBorders>
              <w:left w:val="single" w:sz="2" w:space="0" w:color="000000"/>
              <w:bottom w:val="single" w:sz="2" w:space="0" w:color="000000"/>
              <w:right w:val="single" w:sz="2"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i w:val="false"/>
                <w:caps w:val="false"/>
                <w:smallCaps w:val="false"/>
                <w:color w:val="222222"/>
                <w:spacing w:val="0"/>
                <w:sz w:val="24"/>
                <w:szCs w:val="24"/>
              </w:rPr>
              <w:t>Довгострокові облігації більш ризиковані, ніж короткострокові.Подібно до публічних облігацій, інвестори вимагають вищої норми прибутку для довгострокових облігацій через більший ризик протягом терміну кредиту.Облігації, що містять лише відсотки, або банкноти-кулі, як правило, більш ризиковані, ніж векселі, які містять відсотки та основну суму, оскільки основна сума не погашається повністю до кінця терміну дії векселя.</w:t>
            </w:r>
          </w:p>
        </w:tc>
      </w:tr>
      <w:tr>
        <w:trPr/>
        <w:tc>
          <w:tcPr>
            <w:tcW w:w="2715" w:type="dxa"/>
            <w:tcBorders>
              <w:left w:val="single" w:sz="2" w:space="0" w:color="000000"/>
              <w:bottom w:val="single" w:sz="2" w:space="0" w:color="000000"/>
            </w:tcBorders>
          </w:tcPr>
          <w:p>
            <w:pPr>
              <w:pStyle w:val="TableContents"/>
              <w:spacing w:before="0" w:after="160"/>
              <w:jc w:val="center"/>
              <w:rPr>
                <w:rFonts w:ascii="Times New Roman" w:hAnsi="Times New Roman"/>
                <w:sz w:val="28"/>
                <w:szCs w:val="28"/>
              </w:rPr>
            </w:pPr>
            <w:r>
              <w:rPr>
                <w:rStyle w:val="StrongEmphasis"/>
                <w:rFonts w:ascii="Times New Roman" w:hAnsi="Times New Roman"/>
                <w:b w:val="false"/>
                <w:i w:val="false"/>
                <w:caps w:val="false"/>
                <w:smallCaps w:val="false"/>
                <w:color w:val="222222"/>
                <w:spacing w:val="0"/>
                <w:sz w:val="24"/>
                <w:szCs w:val="24"/>
              </w:rPr>
              <w:t>Застава</w:t>
            </w:r>
          </w:p>
        </w:tc>
        <w:tc>
          <w:tcPr>
            <w:tcW w:w="6640" w:type="dxa"/>
            <w:tcBorders>
              <w:left w:val="single" w:sz="2" w:space="0" w:color="000000"/>
              <w:bottom w:val="single" w:sz="2" w:space="0" w:color="000000"/>
              <w:right w:val="single" w:sz="2"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i w:val="false"/>
                <w:caps w:val="false"/>
                <w:smallCaps w:val="false"/>
                <w:color w:val="222222"/>
                <w:spacing w:val="0"/>
                <w:sz w:val="24"/>
                <w:szCs w:val="24"/>
              </w:rPr>
              <w:t>Облігації, забезпечені матеріальними активами, менш ризиковані, ніж векселі без застави.Приватну облігацію без забезпечення буде важко продати третій стороні.</w:t>
            </w:r>
          </w:p>
        </w:tc>
      </w:tr>
      <w:tr>
        <w:trPr/>
        <w:tc>
          <w:tcPr>
            <w:tcW w:w="2715" w:type="dxa"/>
            <w:tcBorders>
              <w:left w:val="single" w:sz="2" w:space="0" w:color="000000"/>
              <w:bottom w:val="single" w:sz="2" w:space="0" w:color="000000"/>
            </w:tcBorders>
          </w:tcPr>
          <w:p>
            <w:pPr>
              <w:pStyle w:val="TableContents"/>
              <w:spacing w:before="0" w:after="160"/>
              <w:jc w:val="center"/>
              <w:rPr>
                <w:rFonts w:ascii="Times New Roman" w:hAnsi="Times New Roman"/>
                <w:sz w:val="28"/>
                <w:szCs w:val="28"/>
              </w:rPr>
            </w:pPr>
            <w:r>
              <w:rPr>
                <w:rStyle w:val="StrongEmphasis"/>
                <w:rFonts w:ascii="Times New Roman" w:hAnsi="Times New Roman"/>
                <w:b w:val="false"/>
                <w:i w:val="false"/>
                <w:caps w:val="false"/>
                <w:smallCaps w:val="false"/>
                <w:color w:val="222222"/>
                <w:spacing w:val="0"/>
                <w:sz w:val="24"/>
                <w:szCs w:val="24"/>
              </w:rPr>
              <w:t>Історія платежів</w:t>
            </w:r>
          </w:p>
        </w:tc>
        <w:tc>
          <w:tcPr>
            <w:tcW w:w="6640" w:type="dxa"/>
            <w:tcBorders>
              <w:left w:val="single" w:sz="2" w:space="0" w:color="000000"/>
              <w:bottom w:val="single" w:sz="2" w:space="0" w:color="000000"/>
              <w:right w:val="single" w:sz="2" w:space="0" w:color="000000"/>
            </w:tcBorders>
          </w:tcPr>
          <w:p>
            <w:pPr>
              <w:pStyle w:val="TableContents"/>
              <w:spacing w:before="0" w:after="160"/>
              <w:jc w:val="center"/>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Ноти з історією своєчасних платежів менш ризиковані, ніж ноти без історії платежів або нотатки за замовчуванням.</w:t>
            </w:r>
          </w:p>
        </w:tc>
      </w:tr>
      <w:tr>
        <w:trPr/>
        <w:tc>
          <w:tcPr>
            <w:tcW w:w="2715" w:type="dxa"/>
            <w:tcBorders>
              <w:left w:val="single" w:sz="2" w:space="0" w:color="000000"/>
              <w:bottom w:val="single" w:sz="2" w:space="0" w:color="000000"/>
            </w:tcBorders>
          </w:tcPr>
          <w:p>
            <w:pPr>
              <w:pStyle w:val="TableContents"/>
              <w:spacing w:before="0" w:after="160"/>
              <w:jc w:val="center"/>
              <w:rPr>
                <w:rFonts w:ascii="Times New Roman" w:hAnsi="Times New Roman"/>
                <w:sz w:val="28"/>
                <w:szCs w:val="28"/>
              </w:rPr>
            </w:pPr>
            <w:r>
              <w:rPr>
                <w:rStyle w:val="StrongEmphasis"/>
                <w:rFonts w:ascii="Times New Roman" w:hAnsi="Times New Roman"/>
                <w:b w:val="false"/>
                <w:i w:val="false"/>
                <w:caps w:val="false"/>
                <w:smallCaps w:val="false"/>
                <w:color w:val="222222"/>
                <w:spacing w:val="0"/>
                <w:sz w:val="24"/>
                <w:szCs w:val="24"/>
              </w:rPr>
              <w:t>Товарність</w:t>
            </w:r>
          </w:p>
        </w:tc>
        <w:tc>
          <w:tcPr>
            <w:tcW w:w="6640" w:type="dxa"/>
            <w:tcBorders>
              <w:left w:val="single" w:sz="2" w:space="0" w:color="000000"/>
              <w:bottom w:val="single" w:sz="2" w:space="0" w:color="000000"/>
              <w:right w:val="single" w:sz="2"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i w:val="false"/>
                <w:caps w:val="false"/>
                <w:smallCaps w:val="false"/>
                <w:color w:val="222222"/>
                <w:spacing w:val="0"/>
                <w:sz w:val="24"/>
                <w:szCs w:val="24"/>
              </w:rPr>
              <w:t>На відміну від публічних облігацій, для продажу приватної облігації третій стороні або зацікавленому інвестору потрібен час.Це підвищує ризик інвестування в вексель.</w:t>
            </w:r>
          </w:p>
        </w:tc>
      </w:tr>
      <w:tr>
        <w:trPr/>
        <w:tc>
          <w:tcPr>
            <w:tcW w:w="2715" w:type="dxa"/>
            <w:tcBorders>
              <w:left w:val="single" w:sz="2" w:space="0" w:color="000000"/>
              <w:bottom w:val="single" w:sz="2" w:space="0" w:color="000000"/>
            </w:tcBorders>
          </w:tcPr>
          <w:p>
            <w:pPr>
              <w:pStyle w:val="TableContents"/>
              <w:spacing w:before="0" w:after="160"/>
              <w:jc w:val="center"/>
              <w:rPr>
                <w:rFonts w:ascii="Times New Roman" w:hAnsi="Times New Roman"/>
                <w:sz w:val="28"/>
                <w:szCs w:val="28"/>
              </w:rPr>
            </w:pPr>
            <w:r>
              <w:rPr>
                <w:rStyle w:val="StrongEmphasis"/>
                <w:rFonts w:ascii="Times New Roman" w:hAnsi="Times New Roman"/>
                <w:b w:val="false"/>
                <w:i w:val="false"/>
                <w:caps w:val="false"/>
                <w:smallCaps w:val="false"/>
                <w:color w:val="222222"/>
                <w:spacing w:val="0"/>
                <w:sz w:val="24"/>
                <w:szCs w:val="24"/>
              </w:rPr>
              <w:t>Примітка Угоди</w:t>
            </w:r>
          </w:p>
        </w:tc>
        <w:tc>
          <w:tcPr>
            <w:tcW w:w="6640" w:type="dxa"/>
            <w:tcBorders>
              <w:left w:val="single" w:sz="2" w:space="0" w:color="000000"/>
              <w:bottom w:val="single" w:sz="2" w:space="0" w:color="000000"/>
              <w:right w:val="single" w:sz="2"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i w:val="false"/>
                <w:caps w:val="false"/>
                <w:smallCaps w:val="false"/>
                <w:color w:val="222222"/>
                <w:spacing w:val="0"/>
                <w:sz w:val="24"/>
                <w:szCs w:val="24"/>
              </w:rPr>
              <w:t>Положення про облігації повинні дозволяти власнику вчиняти судові дії у разі невиконання зобов’язань щодо вступу у володіння заставою.Ноти без суворих захисних ковенантів є більш ризикованими.</w:t>
            </w:r>
          </w:p>
        </w:tc>
      </w:tr>
      <w:tr>
        <w:trPr/>
        <w:tc>
          <w:tcPr>
            <w:tcW w:w="2715" w:type="dxa"/>
            <w:tcBorders>
              <w:left w:val="single" w:sz="2" w:space="0" w:color="000000"/>
              <w:bottom w:val="single" w:sz="2"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Ризик</w:t>
            </w:r>
          </w:p>
        </w:tc>
        <w:tc>
          <w:tcPr>
            <w:tcW w:w="6640" w:type="dxa"/>
            <w:tcBorders>
              <w:left w:val="single" w:sz="2" w:space="0" w:color="000000"/>
              <w:bottom w:val="single" w:sz="2" w:space="0" w:color="000000"/>
              <w:right w:val="single" w:sz="2" w:space="0" w:color="000000"/>
            </w:tcBorders>
          </w:tcPr>
          <w:p>
            <w:pPr>
              <w:pStyle w:val="TableContents"/>
              <w:spacing w:before="0" w:after="160"/>
              <w:jc w:val="center"/>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Довгострокові векселі вимагають вищих процентних ставок, ніж короткострокові позики, оскільки покупець довгострокових векселів піддається впливу змін макроекономічних факторів протягом періоду зберігання векселів.</w:t>
            </w:r>
          </w:p>
        </w:tc>
      </w:tr>
      <w:tr>
        <w:trPr/>
        <w:tc>
          <w:tcPr>
            <w:tcW w:w="2715" w:type="dxa"/>
            <w:tcBorders>
              <w:left w:val="single" w:sz="2" w:space="0" w:color="000000"/>
              <w:bottom w:val="single" w:sz="2" w:space="0" w:color="000000"/>
            </w:tcBorders>
          </w:tcPr>
          <w:p>
            <w:pPr>
              <w:pStyle w:val="TableContents"/>
              <w:spacing w:before="0" w:after="160"/>
              <w:jc w:val="center"/>
              <w:rPr>
                <w:rFonts w:ascii="Times New Roman" w:hAnsi="Times New Roman"/>
                <w:sz w:val="28"/>
                <w:szCs w:val="28"/>
              </w:rPr>
            </w:pPr>
            <w:r>
              <w:rPr>
                <w:rStyle w:val="StrongEmphasis"/>
                <w:rFonts w:ascii="Times New Roman" w:hAnsi="Times New Roman"/>
                <w:b w:val="false"/>
                <w:i w:val="false"/>
                <w:caps w:val="false"/>
                <w:smallCaps w:val="false"/>
                <w:color w:val="222222"/>
                <w:spacing w:val="0"/>
                <w:sz w:val="24"/>
                <w:szCs w:val="24"/>
              </w:rPr>
              <w:t>Особиста гарантія</w:t>
            </w:r>
          </w:p>
        </w:tc>
        <w:tc>
          <w:tcPr>
            <w:tcW w:w="6640" w:type="dxa"/>
            <w:tcBorders>
              <w:left w:val="single" w:sz="2" w:space="0" w:color="000000"/>
              <w:bottom w:val="single" w:sz="2" w:space="0" w:color="000000"/>
              <w:right w:val="single" w:sz="2"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i w:val="false"/>
                <w:caps w:val="false"/>
                <w:smallCaps w:val="false"/>
                <w:color w:val="222222"/>
                <w:spacing w:val="0"/>
                <w:sz w:val="24"/>
                <w:szCs w:val="24"/>
              </w:rPr>
              <w:t>Облігації зазвичай вимагають особистої гарантії емітента.Чистий капітал емітента важливий для оцінки впливу особистої гарантії та ризику ноти.</w:t>
            </w:r>
          </w:p>
        </w:tc>
      </w:tr>
    </w:tbl>
    <w:p>
      <w:pPr>
        <w:pStyle w:val="TextBody"/>
        <w:spacing w:lineRule="auto" w:line="360" w:before="0" w:after="0"/>
        <w:jc w:val="both"/>
        <w:rPr/>
      </w:pPr>
      <w:r>
        <w:rPr>
          <w:rStyle w:val="StrongEmphasis"/>
          <w:rFonts w:ascii="Times New Roman" w:hAnsi="Times New Roman"/>
          <w:b w:val="false"/>
          <w:bCs w:val="false"/>
          <w:i w:val="false"/>
          <w:caps w:val="false"/>
          <w:smallCaps w:val="false"/>
          <w:color w:val="111111"/>
          <w:spacing w:val="0"/>
          <w:sz w:val="28"/>
          <w:szCs w:val="28"/>
        </w:rPr>
        <w:t xml:space="preserve">3. </w:t>
      </w:r>
      <w:r>
        <w:rPr>
          <w:rStyle w:val="StrongEmphasis"/>
          <w:rFonts w:ascii="Times New Roman" w:hAnsi="Times New Roman"/>
          <w:b w:val="false"/>
          <w:bCs w:val="false"/>
          <w:i w:val="false"/>
          <w:caps w:val="false"/>
          <w:smallCaps w:val="false"/>
          <w:color w:val="111111"/>
          <w:spacing w:val="0"/>
          <w:sz w:val="28"/>
          <w:szCs w:val="28"/>
        </w:rPr>
        <w:t>Ринкова процентна ставка</w:t>
      </w:r>
    </w:p>
    <w:p>
      <w:pPr>
        <w:pStyle w:val="TextBody"/>
        <w:spacing w:lineRule="auto" w:line="360" w:before="0" w:after="0"/>
        <w:jc w:val="both"/>
        <w:rPr/>
      </w:pPr>
      <w:r>
        <w:rPr>
          <w:rFonts w:ascii="Times New Roman" w:hAnsi="Times New Roman"/>
          <w:b w:val="false"/>
          <w:bCs w:val="false"/>
          <w:i w:val="false"/>
          <w:caps w:val="false"/>
          <w:smallCaps w:val="false"/>
          <w:color w:val="111111"/>
          <w:spacing w:val="0"/>
          <w:sz w:val="28"/>
          <w:szCs w:val="28"/>
        </w:rPr>
        <w:tab/>
        <w:t>Як зазначалося раніше, ринкова процентна ставка є сумою базової ставки та премії за конкретний ризик. Однак, оцінюючи міноритарну частку суб’єкта ноти, слід також враховувати відсутність контролю.</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Концепція частки меншості стосується співвідношення між часткою, яка оцінюється, та загальною сумою векселя.Залежно від рівня контролю суб’єкта інтересу, вартість може вимагати коригування на основі неконтрольованих атрибутів.</w:t>
      </w:r>
    </w:p>
    <w:p>
      <w:pPr>
        <w:pStyle w:val="TextBody"/>
        <w:widowControl/>
        <w:pBdr/>
        <w:spacing w:lineRule="auto" w:line="360" w:before="0" w:after="0"/>
        <w:ind w:left="0" w:right="0" w:hanging="0"/>
        <w:jc w:val="both"/>
        <w:rPr/>
      </w:pPr>
      <w:r>
        <w:rPr>
          <w:rStyle w:val="StrongEmphasis"/>
          <w:rFonts w:ascii="Times New Roman" w:hAnsi="Times New Roman"/>
          <w:b w:val="false"/>
          <w:bCs w:val="false"/>
          <w:i w:val="false"/>
          <w:caps w:val="false"/>
          <w:smallCaps w:val="false"/>
          <w:color w:val="111111"/>
          <w:spacing w:val="0"/>
          <w:sz w:val="28"/>
          <w:szCs w:val="28"/>
        </w:rPr>
        <w:tab/>
        <w:t>Розрахунок справедливої ринкової вартості</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Останнім кроком є прогноз майбутніх відсотків і виплат основної суми векселя та визначення теперішньої вартості за допомогою ринкової процентної ставки.</w:t>
      </w:r>
    </w:p>
    <w:p>
      <w:pPr>
        <w:pStyle w:val="TextBody"/>
        <w:widowControl/>
        <w:pBdr/>
        <w:spacing w:lineRule="auto" w:line="360" w:before="0" w:after="0"/>
        <w:ind w:left="0" w:right="0" w:hanging="0"/>
        <w:jc w:val="both"/>
        <w:rPr/>
      </w:pPr>
      <w:r>
        <w:rPr>
          <w:rStyle w:val="StrongEmphasis"/>
          <w:rFonts w:ascii="Times New Roman" w:hAnsi="Times New Roman"/>
          <w:b w:val="false"/>
          <w:bCs w:val="false"/>
          <w:i w:val="false"/>
          <w:caps w:val="false"/>
          <w:smallCaps w:val="false"/>
          <w:color w:val="111111"/>
          <w:spacing w:val="0"/>
          <w:sz w:val="28"/>
          <w:szCs w:val="28"/>
        </w:rPr>
        <w:t xml:space="preserve">4. </w:t>
      </w:r>
      <w:r>
        <w:rPr>
          <w:rStyle w:val="StrongEmphasis"/>
          <w:rFonts w:ascii="Times New Roman" w:hAnsi="Times New Roman"/>
          <w:b w:val="false"/>
          <w:bCs w:val="false"/>
          <w:i w:val="false"/>
          <w:caps w:val="false"/>
          <w:smallCaps w:val="false"/>
          <w:color w:val="111111"/>
          <w:spacing w:val="0"/>
          <w:sz w:val="28"/>
          <w:szCs w:val="28"/>
        </w:rPr>
        <w:t>Вплив на оцінку під час невизначених фінансових часів</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Отже, тепер, коли ми розуміємо механіку моделі оцінки, давайте визначимо ті компоненти, які найбільше постраждали у важкі фінансові часи.</w:t>
      </w:r>
    </w:p>
    <w:p>
      <w:pPr>
        <w:pStyle w:val="TextBody"/>
        <w:widowControl/>
        <w:numPr>
          <w:ilvl w:val="0"/>
          <w:numId w:val="3"/>
        </w:numPr>
        <w:pBdr/>
        <w:tabs>
          <w:tab w:val="clear" w:pos="708"/>
          <w:tab w:val="left" w:pos="0" w:leader="none"/>
        </w:tabs>
        <w:spacing w:lineRule="auto" w:line="360" w:before="0" w:after="206"/>
        <w:ind w:left="720" w:right="0" w:hanging="283"/>
        <w:jc w:val="both"/>
        <w:rPr>
          <w:color w:val="111111"/>
        </w:rPr>
      </w:pPr>
      <w:r>
        <w:rPr>
          <w:rFonts w:ascii="Times New Roman" w:hAnsi="Times New Roman"/>
          <w:b w:val="false"/>
          <w:bCs w:val="false"/>
          <w:i w:val="false"/>
          <w:caps w:val="false"/>
          <w:smallCaps w:val="false"/>
          <w:color w:val="111111"/>
          <w:spacing w:val="0"/>
          <w:sz w:val="28"/>
          <w:szCs w:val="28"/>
        </w:rPr>
        <w:t>Якщо процентні ставки за позиками вищі, поточна вартість векселя, як правило, буде нижчою.</w:t>
      </w:r>
    </w:p>
    <w:p>
      <w:pPr>
        <w:pStyle w:val="TextBody"/>
        <w:widowControl/>
        <w:numPr>
          <w:ilvl w:val="0"/>
          <w:numId w:val="3"/>
        </w:numPr>
        <w:pBdr/>
        <w:tabs>
          <w:tab w:val="clear" w:pos="708"/>
          <w:tab w:val="left" w:pos="0" w:leader="none"/>
        </w:tabs>
        <w:spacing w:lineRule="auto" w:line="360" w:before="0" w:after="206"/>
        <w:ind w:left="720" w:right="0" w:hanging="283"/>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Якщо умови, гарантії та ковенанти позики суворі, тоді може бути використана вища конкретна премія за ризик, що зменшить теперішню вартість облігації.</w:t>
      </w:r>
    </w:p>
    <w:p>
      <w:pPr>
        <w:pStyle w:val="TextBody"/>
        <w:widowControl/>
        <w:numPr>
          <w:ilvl w:val="0"/>
          <w:numId w:val="3"/>
        </w:numPr>
        <w:pBdr/>
        <w:tabs>
          <w:tab w:val="clear" w:pos="708"/>
          <w:tab w:val="left" w:pos="0" w:leader="none"/>
        </w:tabs>
        <w:spacing w:lineRule="auto" w:line="360" w:before="0" w:after="206"/>
        <w:ind w:left="720" w:right="0" w:hanging="283"/>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Якщо вексель погашається протягом більш тривалого часу, теперішня вартість векселя може бути меншою.</w:t>
      </w:r>
    </w:p>
    <w:p>
      <w:pPr>
        <w:pStyle w:val="TextBody"/>
        <w:widowControl/>
        <w:numPr>
          <w:ilvl w:val="0"/>
          <w:numId w:val="3"/>
        </w:numPr>
        <w:pBdr/>
        <w:tabs>
          <w:tab w:val="clear" w:pos="708"/>
          <w:tab w:val="left" w:pos="0" w:leader="none"/>
        </w:tabs>
        <w:spacing w:lineRule="auto" w:line="360" w:before="0" w:after="206"/>
        <w:ind w:left="720" w:right="0" w:hanging="283"/>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Замість стандартної рівної амортизації банкнота може мати видатковий платіж, що може призвести до зменшення поточної вартості банкноти.</w:t>
      </w:r>
    </w:p>
    <w:p>
      <w:pPr>
        <w:pStyle w:val="TextBody"/>
        <w:widowControl/>
        <w:pBdr/>
        <w:spacing w:lineRule="auto" w:line="360" w:before="0" w:after="0"/>
        <w:ind w:left="0" w:right="0" w:hanging="0"/>
        <w:jc w:val="center"/>
        <w:rPr>
          <w:rFonts w:ascii="Times New Roman" w:hAnsi="Times New Roman"/>
        </w:rPr>
      </w:pPr>
      <w:r>
        <w:rPr>
          <w:rFonts w:ascii="Times New Roman" w:hAnsi="Times New Roman"/>
          <w:sz w:val="28"/>
          <w:szCs w:val="28"/>
        </w:rPr>
        <w:t xml:space="preserve">РОЗДІЛ </w:t>
      </w:r>
      <w:r>
        <w:rPr>
          <w:rFonts w:ascii="Times New Roman" w:hAnsi="Times New Roman"/>
          <w:sz w:val="28"/>
          <w:szCs w:val="28"/>
        </w:rPr>
        <w:t>2. Аналіз методів моделювання вексельних операцій</w:t>
      </w:r>
    </w:p>
    <w:p>
      <w:pPr>
        <w:pStyle w:val="Normal"/>
        <w:spacing w:lineRule="auto" w:line="360" w:before="0" w:after="0"/>
        <w:jc w:val="center"/>
        <w:rPr>
          <w:rFonts w:ascii="Times New Roman" w:hAnsi="Times New Roman"/>
          <w:sz w:val="28"/>
          <w:szCs w:val="28"/>
        </w:rPr>
      </w:pPr>
      <w:r>
        <w:rPr>
          <w:rFonts w:ascii="Times New Roman" w:hAnsi="Times New Roman"/>
          <w:sz w:val="28"/>
          <w:szCs w:val="28"/>
        </w:rPr>
        <w:t>2.1 аналіз існуючих математичних методів моделювання</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Для побудови моделей використовуються три основні методи, як показано на малюнку 2. Ці методи не виключають один одного, і модель може бути побудована за допомогою комбінації цих методів. Перші два методи базуються на динамічній математиці, тоді як третій метод базується на статистиці [8] [9].</w:t>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72000" cy="2360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2360295"/>
                    </a:xfrm>
                    <a:prstGeom prst="rect">
                      <a:avLst/>
                    </a:prstGeom>
                  </pic:spPr>
                </pic:pic>
              </a:graphicData>
            </a:graphic>
          </wp:anchor>
        </w:drawing>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Рисунок</w:t>
      </w:r>
      <w:r>
        <w:rPr>
          <w:rFonts w:ascii="Times New Roman" w:hAnsi="Times New Roman"/>
          <w:sz w:val="28"/>
          <w:szCs w:val="28"/>
        </w:rPr>
        <w:t xml:space="preserve"> 2. Три основних етапи створення моделі.</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Математичне представлення моделі залежить від знання системи, від конкретних рішень моделювання (наприклад, просторового масштабу представлення) і від мети процесу моделювання. Дослідник може вибирати з широкого спектру математичних і обчислювальних методів, і правильний метод часто визначається на основі досвіду. На перший погляд вибір відповідного обчислювального підходу здається простим. Багато з цих інтересів зосереджені навколо того, як систему слід описувати з точки зору її компонентів, біологічних і фізичних змінних, простору та часу, типу взаємодії між об’єктами та представлення сам об'єкт. У системній біології органи вважаються окремими системами, оскільки вони виконують різні ролі. Різні варіанти моделювання можуть призвести до однокомпонентних або багатокомпонентних моделей, включаючи перенесення, еволюційні диференціальні рівняння, алгебраїчні або просторові диференціальні рівняння, диференціальні рівняння проти різниць і звичайні диференціальні рівняння (ODE) проти часткових диференціальних рівнянь (PDE) [10]. Фігура 3 представляє моделювання кінетики ферментного субстрату. Ліворуч схематично зображено основні біохімічні види системи та їх взаємодію. Біологічні процеси показані в середині цієї детальної діаграми. Праворуч представлено набір ODE, що характеризує швидкість зміни кожного біологічного виду.</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 xml:space="preserve">Математична модель — це математичний інструмент і лінгвістичне представлення системи. Математичне моделювання - це процес створення математичних моделей. Початкова модель, як правило, зображує лише надзвичайно грубий опис системи, і тому її потрібно вдосконалювати на наступних етапах. Коли структура моделі і кінетичні параметри </w:t>
      </w:r>
      <w:r>
        <w:rPr>
          <w:rFonts w:ascii="Times New Roman" w:hAnsi="Times New Roman"/>
          <w:sz w:val="28"/>
          <w:szCs w:val="28"/>
        </w:rPr>
        <w:t>у</w:t>
      </w:r>
      <w:r>
        <w:rPr>
          <w:rFonts w:ascii="Times New Roman" w:hAnsi="Times New Roman"/>
          <w:sz w:val="28"/>
          <w:szCs w:val="28"/>
        </w:rPr>
        <w:t xml:space="preserve"> порівнянні з експериментальними даними змінюється структура моделі та кінетичні параметри. </w:t>
      </w:r>
    </w:p>
    <w:p>
      <w:pPr>
        <w:pStyle w:val="Normal"/>
        <w:spacing w:lineRule="auto" w:line="360" w:before="0" w:after="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1335" cy="2562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31335" cy="2562860"/>
                    </a:xfrm>
                    <a:prstGeom prst="rect">
                      <a:avLst/>
                    </a:prstGeom>
                  </pic:spPr>
                </pic:pic>
              </a:graphicData>
            </a:graphic>
          </wp:anchor>
        </w:drawing>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t>РИСУНОК 4. Цикл моделювання.</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Дослідження проблем вексельного обігу в Україні, а також створення та розвиток вексельного ринку проводився такими вітчизняними та зарубіжними вченими, як: А.В. Демківський, С.З. Мошенський, П.П. Цитович, А.Б. Аваков, О.І. Барановський, М.О. Бурмака, П.Ю. Бородін, ТОМУ. Гуткевич, Ю.М. Лисенков, В.М. Малюк, М.О. Мозговий, Т.А. Руденко, С.М. Румянцев, Н.М. Фещенко, О.О. Фельдман, В.М. Шелудько, С.М. Барац, І. Фішер, Г.Ф.Шершеневич, А.А. Фельдман, Волтерс Клювер, Майкл Сміт та інші. У своїх працях вони визначали економічну сутність векселя, розглянуто його види та форми, систематизоване законодавство про вексельний обіг, розглянуті особливості вексельного обігу при різн</w:t>
      </w:r>
      <w:r>
        <w:rPr>
          <w:rFonts w:ascii="Times New Roman" w:hAnsi="Times New Roman"/>
          <w:sz w:val="28"/>
          <w:szCs w:val="28"/>
        </w:rPr>
        <w:t>их</w:t>
      </w:r>
      <w:r>
        <w:rPr>
          <w:rFonts w:ascii="Times New Roman" w:hAnsi="Times New Roman"/>
          <w:sz w:val="28"/>
          <w:szCs w:val="28"/>
        </w:rPr>
        <w:t xml:space="preserve"> етап</w:t>
      </w:r>
      <w:r>
        <w:rPr>
          <w:rFonts w:ascii="Times New Roman" w:hAnsi="Times New Roman"/>
          <w:sz w:val="28"/>
          <w:szCs w:val="28"/>
        </w:rPr>
        <w:t>ах</w:t>
      </w:r>
      <w:r>
        <w:rPr>
          <w:rFonts w:ascii="Times New Roman" w:hAnsi="Times New Roman"/>
          <w:sz w:val="28"/>
          <w:szCs w:val="28"/>
        </w:rPr>
        <w:t xml:space="preserve"> його розвитку.</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Не применшуючи ролі і значення в трактатів цих учених, слід відзначити брак комплексні дослідження з питань запобігання та протидії легалізації (відмиванню) одержаних незаконним шляхом доходів при оцінці ризикованості векселів, що використовуються злочинців у схемах легалізації доходів. В більшості випадків, наукові публікації зводяться до аналізу тіньової економіки та висвітлення проблеми відмивання грошей у цьому аспекті або до розгляду питання легалізації «злочинних» доходів злочинним шляхом груп і боротьба державних структур із цією негативне явище, його кримінально-правові аспекти.</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Слід зазначити, що дослідження причин і наслідки використання векселів у схемах для відмивання злочинних активів особливо мало її теоретико-методологічну основу, хоча це є основна складова протидії та боротьби з грошима прання та рекомендований напрямок для розробка процедур протидії легалізації (відмивання) доходів, одержаних злочинною діяльністю</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міжнародні організації, задіяні у зазначеній сфері регулювання та розвитку глобальної економіки.</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Таким чином, дослідження організаційно-правових засад управління ризиками використання векселів у злочинних схемах відмивання доходів, одержаних злочинним шляхом, а також запобігання та протидії відмиванню доходів, одержаних злочинним шляхом, у фінансовому секторі економіки та розробка пропозицій щодо їх удосконалення є актуальними з наукового боку. і практичної точки зору.</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В Україні з моменту прийняття Закону України «Про внесення змін до Податкового кодексу України та деяких інших законів України щодо фінансових векселів» [5] та критики МВФ щодо впровадження електронних казначейських векселів, застосування електронного робочого капітальні виплати не проводяться. Основною причиною такої ситуації є формулювання ст. 5 Закону «Про обіг векселів в Україні» [6], згідно з якою вексель має видаватися лише в документарній формі, а також непрозорість та недосконалість механізму обігу фінансових векселів у згаданому законі.</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Очевидно, що на момент підписання вексельних конвенцій неможливо було уявити обіг будь-яких документів у будь-якому форматі, крім як на папері. З того часу істотно змінилися як способи передачі інформації, так і методи фіксації прав на цінні папери. Настав час внести зміни у виконання букви закону. Наприклад, готівковий обіг за рахунок виставлення рахунків практично скрізь замінено безготівковими розрахунками, що не передбачено Конвенціями.</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В останні десятиліття минулого століття в інших країнах вже була створена інфраструктура для дематеріалізації купюр. Наприклад, у Франції основою безготівкового обігу векселів у цій моделі є випуск паперового документа з бланковим індосаментом з подальшим розміщенням його в депозитарії. Обіг векселів здійснюється у формі руху через рахунки зберігання.</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У 2009 році на основі розробок 1990-х років [8, 9] була запропонована схема міждепозитарного обігу векселів, виходячи з досвіду інфраструктури American Depository Trust Clearing Company (DTCC) [10]. Схема призначена в основному для обслуговування обігу векселів як комерційних паперів (відразу після бланкового індосаменту); однак перші індосаменти можуть бути зроблені спеціальними для забезпечення солідарної відповідальності кількох осіб. При цьому технологічно неважливо, в якому вигляді виставляється рахунок — у вигляді паперового чи електронного документа. Тому дослідження можливості обігу векселів у формі електронного документа без участі депозитаріїв є особливо актуальним.</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В даний час електронний документообіг розвивається швидкими темпами. Використання електронних підписів стало звичним явищем для бізнесу завдяки взаємодії з податковими та державними регуляторами.</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Гармонізуючи національне законодавство з європейським, у 2003 році в Україні було прийнято Закон «Про електронний цифровий підпис» (далі – Закон про ЕЦП), яким у наше правове поле введено поняття електронного підпису та електронного цифрового підпису. Як і в європейському законодавстві, навіть електронний підпис криптографічно захищені, почали набирати популярності в українському бізнес-спільноті.</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У 2016 році було опубліковано Регламент ЄС 2014 щодо електронної ідентифікації, верифікації та довірчих послуг eIDAS, який замінив Європейську директиву [10]. Відповідно до європейських тенденцій, 7 листопада 2018 року втрачає чинність Закон про ЕЦП і набирає чинності Закон «Про електронні довірчі послуги» (далі – Закон про ЕЦП) [11].</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Зрозуміло, що Закон про ЕЦП – це імплементована eIDAS, і низка положень є прямим перекладом. Цей факт слід мати на увазі, оскільки цілком ймовірно, що не лише закон, а й його тлумачення правоохоронними органами буде взято з європейської практики. Розглянемо деякі основні пункти Закону про ЕЦП та почати з електронного підпису.</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Закон вводить поняття електронного підпису, вдосконаленого електронного підпису та кваліфікованого електронного підпису. У найпростішому вигляді електронний підпис — це електронні дані, які підписувач додає до інших електронних даних або пов’язує з ними та використовує його як підпис. Удосконалений електронний підпис (AES) — це електрон підпис, який відповідає таким додатковим критеріям:</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 формується шляхом криптографічного перетворення даних, з якими пов’язана за допомогою спеціального обладнання або програмного забезпечення;</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 використовується персональний ключ, який асоціюється з підписувачем та ідентифікує його в електронному вигляді;</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 у разі втручання в цілісність даних, збережених разом таким підписом, таке втручання може бути чітко виявлено.</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Кваліфікований електронний підпис (КЕП) — це підпис, який відповідає всім критеріям АЕП і, крім того, таким критеріям:</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до обладнання та/або програмного забезпечення, за допомогою якого він генерується, висуваються додаткові вимоги (наразі законодавством не визначено, які); — базується на кваліфікованому сертифікаті відкритого ключа.</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Окрім електронного підпису Закон вводить поняття електронної печатки. Електронна печатка також може бути вдосконаленою та кваліфікованою — критерії для цих класів аналогічні відповідним критеріям для класів підписів. Відмінність полягає в тому, що електронний підпис може використовувати як юридична, так і фізична особа, а електронну печатку – тільки юридичні особи. Суттєвої функціональної різниці між електронним підписом та електронною печаткою немає.</w:t>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t>2.2 інформатизація вексельних операцій</w:t>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2.3 Оцінка ефективності здійснення вексельних операцій (Аудиторська оцінка ефективності здійснення вексельних операцій)</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sz w:val="28"/>
          <w:szCs w:val="28"/>
        </w:rPr>
      </w:pPr>
      <w:r>
        <w:rPr>
          <w:rFonts w:cs="Times New Roman" w:ascii="Times New Roman" w:hAnsi="Times New Roman"/>
          <w:color w:val="333333"/>
          <w:sz w:val="28"/>
          <w:szCs w:val="28"/>
          <w:shd w:fill="auto" w:val="clear"/>
        </w:rPr>
        <w:t>ВИСНОВКИ</w:t>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sz w:val="28"/>
          <w:szCs w:val="28"/>
        </w:rPr>
      </w:pPr>
      <w:r>
        <w:rPr>
          <w:rFonts w:cs="Times New Roman" w:ascii="Times New Roman" w:hAnsi="Times New Roman"/>
          <w:color w:val="333333"/>
          <w:sz w:val="28"/>
          <w:szCs w:val="28"/>
          <w:shd w:fill="auto" w:val="clear"/>
        </w:rPr>
        <w:t xml:space="preserve"> </w:t>
      </w:r>
      <w:r>
        <w:rPr>
          <w:rFonts w:cs="Times New Roman" w:ascii="Times New Roman" w:hAnsi="Times New Roman"/>
          <w:color w:val="333333"/>
          <w:sz w:val="28"/>
          <w:szCs w:val="28"/>
        </w:rPr>
        <w:br/>
      </w:r>
      <w:r>
        <w:rPr>
          <w:rFonts w:cs="Times New Roman" w:ascii="Times New Roman" w:hAnsi="Times New Roman"/>
          <w:color w:val="333333"/>
          <w:sz w:val="28"/>
          <w:szCs w:val="28"/>
          <w:shd w:fill="auto" w:val="clear"/>
        </w:rPr>
        <w:t>СПИСОК ВИКОРИСТАНИХ ДЖЕРЕЛ</w:t>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rFonts w:ascii="Times New Roman" w:hAnsi="Times New Roman" w:cs="Times New Roman"/>
          <w:color w:val="333333"/>
        </w:rPr>
      </w:pPr>
      <w:r>
        <w:rPr>
          <w:sz w:val="28"/>
          <w:szCs w:val="28"/>
        </w:rPr>
      </w:r>
    </w:p>
    <w:p>
      <w:pPr>
        <w:pStyle w:val="Normal"/>
        <w:spacing w:lineRule="auto" w:line="360" w:before="0" w:after="0"/>
        <w:jc w:val="center"/>
        <w:rPr>
          <w:sz w:val="28"/>
          <w:szCs w:val="28"/>
        </w:rPr>
      </w:pPr>
      <w:r>
        <w:rPr>
          <w:rFonts w:cs="Times New Roman" w:ascii="Times New Roman" w:hAnsi="Times New Roman"/>
          <w:color w:val="333333"/>
          <w:sz w:val="28"/>
          <w:szCs w:val="28"/>
          <w:shd w:fill="auto" w:val="clear"/>
        </w:rPr>
        <w:t>ДОДАТКИ</w:t>
      </w:r>
    </w:p>
    <w:p>
      <w:pPr>
        <w:pStyle w:val="Normal"/>
        <w:spacing w:lineRule="auto" w:line="360" w:before="0" w:after="0"/>
        <w:jc w:val="center"/>
        <w:rPr>
          <w:sz w:val="28"/>
          <w:szCs w:val="28"/>
        </w:rPr>
      </w:pPr>
      <w:r>
        <w:rPr>
          <w:sz w:val="28"/>
          <w:szCs w:val="28"/>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Neue Helvetica W01">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decimal"/>
      <w:suff w:val="nothing"/>
      <w:lvlText w:val="%1."/>
      <w:lvlJc w:val="left"/>
      <w:pPr>
        <w:tabs>
          <w:tab w:val="num" w:pos="360"/>
        </w:tabs>
        <w:ind w:left="360" w:hanging="0"/>
      </w:pPr>
      <w:rPr/>
    </w:lvl>
    <w:lvl w:ilvl="1">
      <w:start w:val="1"/>
      <w:numFmt w:val="decimal"/>
      <w:lvlText w:val="%2."/>
      <w:lvlJc w:val="left"/>
      <w:pPr>
        <w:tabs>
          <w:tab w:val="num" w:pos="1774"/>
        </w:tabs>
        <w:ind w:left="1774" w:hanging="283"/>
      </w:pPr>
      <w:rPr/>
    </w:lvl>
    <w:lvl w:ilvl="2">
      <w:start w:val="1"/>
      <w:numFmt w:val="decimal"/>
      <w:lvlText w:val="%3."/>
      <w:lvlJc w:val="left"/>
      <w:pPr>
        <w:tabs>
          <w:tab w:val="num" w:pos="2481"/>
        </w:tabs>
        <w:ind w:left="2481" w:hanging="283"/>
      </w:pPr>
      <w:rPr/>
    </w:lvl>
    <w:lvl w:ilvl="3">
      <w:start w:val="1"/>
      <w:numFmt w:val="decimal"/>
      <w:lvlText w:val="%4."/>
      <w:lvlJc w:val="left"/>
      <w:pPr>
        <w:tabs>
          <w:tab w:val="num" w:pos="3188"/>
        </w:tabs>
        <w:ind w:left="3188" w:hanging="283"/>
      </w:pPr>
      <w:rPr/>
    </w:lvl>
    <w:lvl w:ilvl="4">
      <w:start w:val="1"/>
      <w:numFmt w:val="decimal"/>
      <w:lvlText w:val="%5."/>
      <w:lvlJc w:val="left"/>
      <w:pPr>
        <w:tabs>
          <w:tab w:val="num" w:pos="3895"/>
        </w:tabs>
        <w:ind w:left="3895" w:hanging="283"/>
      </w:pPr>
      <w:rPr/>
    </w:lvl>
    <w:lvl w:ilvl="5">
      <w:start w:val="1"/>
      <w:numFmt w:val="decimal"/>
      <w:lvlText w:val="%6."/>
      <w:lvlJc w:val="left"/>
      <w:pPr>
        <w:tabs>
          <w:tab w:val="num" w:pos="4602"/>
        </w:tabs>
        <w:ind w:left="4602" w:hanging="283"/>
      </w:pPr>
      <w:rPr/>
    </w:lvl>
    <w:lvl w:ilvl="6">
      <w:start w:val="1"/>
      <w:numFmt w:val="decimal"/>
      <w:lvlText w:val="%7."/>
      <w:lvlJc w:val="left"/>
      <w:pPr>
        <w:tabs>
          <w:tab w:val="num" w:pos="5309"/>
        </w:tabs>
        <w:ind w:left="5309" w:hanging="283"/>
      </w:pPr>
      <w:rPr/>
    </w:lvl>
    <w:lvl w:ilvl="7">
      <w:start w:val="1"/>
      <w:numFmt w:val="decimal"/>
      <w:lvlText w:val="%8."/>
      <w:lvlJc w:val="left"/>
      <w:pPr>
        <w:tabs>
          <w:tab w:val="num" w:pos="6016"/>
        </w:tabs>
        <w:ind w:left="6016" w:hanging="283"/>
      </w:pPr>
      <w:rPr/>
    </w:lvl>
    <w:lvl w:ilvl="8">
      <w:start w:val="1"/>
      <w:numFmt w:val="decimal"/>
      <w:lvlText w:val="%9."/>
      <w:lvlJc w:val="left"/>
      <w:pPr>
        <w:tabs>
          <w:tab w:val="num" w:pos="6723"/>
        </w:tabs>
        <w:ind w:left="6723" w:hanging="283"/>
      </w:pPr>
      <w:rPr/>
    </w:lvl>
  </w:abstractNum>
  <w:abstractNum w:abstractNumId="3">
    <w:lvl w:ilvl="0">
      <w:start w:val="1"/>
      <w:numFmt w:val="decimal"/>
      <w:lvlText w:val="%1."/>
      <w:lvlJc w:val="left"/>
      <w:pPr>
        <w:tabs>
          <w:tab w:val="num" w:pos="720"/>
        </w:tabs>
        <w:ind w:left="720" w:hanging="283"/>
      </w:pPr>
      <w:rPr/>
    </w:lvl>
    <w:lvl w:ilvl="1">
      <w:start w:val="1"/>
      <w:numFmt w:val="decimal"/>
      <w:lvlText w:val="%2."/>
      <w:lvlJc w:val="left"/>
      <w:pPr>
        <w:tabs>
          <w:tab w:val="num" w:pos="2134"/>
        </w:tabs>
        <w:ind w:left="2134" w:hanging="283"/>
      </w:pPr>
      <w:rPr/>
    </w:lvl>
    <w:lvl w:ilvl="2">
      <w:start w:val="1"/>
      <w:numFmt w:val="decimal"/>
      <w:lvlText w:val="%3."/>
      <w:lvlJc w:val="left"/>
      <w:pPr>
        <w:tabs>
          <w:tab w:val="num" w:pos="2841"/>
        </w:tabs>
        <w:ind w:left="2841" w:hanging="283"/>
      </w:pPr>
      <w:rPr/>
    </w:lvl>
    <w:lvl w:ilvl="3">
      <w:start w:val="1"/>
      <w:numFmt w:val="decimal"/>
      <w:lvlText w:val="%4."/>
      <w:lvlJc w:val="left"/>
      <w:pPr>
        <w:tabs>
          <w:tab w:val="num" w:pos="3548"/>
        </w:tabs>
        <w:ind w:left="3548" w:hanging="283"/>
      </w:pPr>
      <w:rPr/>
    </w:lvl>
    <w:lvl w:ilvl="4">
      <w:start w:val="1"/>
      <w:numFmt w:val="decimal"/>
      <w:lvlText w:val="%5."/>
      <w:lvlJc w:val="left"/>
      <w:pPr>
        <w:tabs>
          <w:tab w:val="num" w:pos="4255"/>
        </w:tabs>
        <w:ind w:left="4255" w:hanging="283"/>
      </w:pPr>
      <w:rPr/>
    </w:lvl>
    <w:lvl w:ilvl="5">
      <w:start w:val="1"/>
      <w:numFmt w:val="decimal"/>
      <w:lvlText w:val="%6."/>
      <w:lvlJc w:val="left"/>
      <w:pPr>
        <w:tabs>
          <w:tab w:val="num" w:pos="4962"/>
        </w:tabs>
        <w:ind w:left="4962" w:hanging="283"/>
      </w:pPr>
      <w:rPr/>
    </w:lvl>
    <w:lvl w:ilvl="6">
      <w:start w:val="1"/>
      <w:numFmt w:val="decimal"/>
      <w:lvlText w:val="%7."/>
      <w:lvlJc w:val="left"/>
      <w:pPr>
        <w:tabs>
          <w:tab w:val="num" w:pos="5669"/>
        </w:tabs>
        <w:ind w:left="5669" w:hanging="283"/>
      </w:pPr>
      <w:rPr/>
    </w:lvl>
    <w:lvl w:ilvl="7">
      <w:start w:val="1"/>
      <w:numFmt w:val="decimal"/>
      <w:lvlText w:val="%8."/>
      <w:lvlJc w:val="left"/>
      <w:pPr>
        <w:tabs>
          <w:tab w:val="num" w:pos="6376"/>
        </w:tabs>
        <w:ind w:left="6376" w:hanging="283"/>
      </w:pPr>
      <w:rPr/>
    </w:lvl>
    <w:lvl w:ilvl="8">
      <w:start w:val="1"/>
      <w:numFmt w:val="decimal"/>
      <w:lvlText w:val="%9."/>
      <w:lvlJc w:val="left"/>
      <w:pPr>
        <w:tabs>
          <w:tab w:val="num" w:pos="7083"/>
        </w:tabs>
        <w:ind w:left="7083" w:hanging="283"/>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a4435"/>
    <w:pPr>
      <w:spacing w:lineRule="auto" w:line="240" w:beforeAutospacing="1" w:afterAutospacing="1"/>
    </w:pPr>
    <w:rPr>
      <w:rFonts w:ascii="Times New Roman" w:hAnsi="Times New Roman" w:eastAsia="Times New Roman" w:cs="Times New Roman"/>
      <w:sz w:val="24"/>
      <w:szCs w:val="24"/>
      <w:lang w:eastAsia="uk-U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21</Pages>
  <Words>3749</Words>
  <Characters>25093</Characters>
  <CharactersWithSpaces>28776</CharactersWithSpaces>
  <Paragraphs>152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2022-06-21T13:23:00Z</dcterms:created>
  <dc:creator>Катя</dc:creator>
  <dc:description/>
  <dc:language>uk-UA</dc:language>
  <cp:lastModifiedBy/>
  <dcterms:modified xsi:type="dcterms:W3CDTF">2022-07-19T12:44:39Z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