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2"/>
        </w:rPr>
        <w:t>ЗВІТ З ЛАБОРАТОРНОЇ РОБОТИ №7</w:t>
      </w:r>
    </w:p>
    <w:p>
      <w:pPr>
        <w:spacing w:before="0" w:after="80" w:line="276" w:lineRule="auto"/>
      </w:pPr>
      <w:r>
        <w:rPr>
          <w:rFonts w:ascii="Times New Roman" w:hAnsi="Times New Roman"/>
          <w:b/>
          <w:sz w:val="22"/>
        </w:rPr>
        <w:t xml:space="preserve">Тема: </w:t>
      </w:r>
      <w:r>
        <w:rPr>
          <w:rFonts w:ascii="Times New Roman" w:hAnsi="Times New Roman"/>
          <w:sz w:val="22"/>
        </w:rPr>
        <w:t>Підготовка власного набору зображень в Keras (Глибокі нейронні мережі)</w:t>
        <w:br/>
      </w:r>
      <w:r>
        <w:rPr>
          <w:rFonts w:ascii="Times New Roman" w:hAnsi="Times New Roman"/>
          <w:b/>
          <w:sz w:val="22"/>
        </w:rPr>
        <w:t xml:space="preserve">Мета роботи: </w:t>
      </w:r>
      <w:r>
        <w:rPr>
          <w:rFonts w:ascii="Times New Roman" w:hAnsi="Times New Roman"/>
          <w:sz w:val="22"/>
        </w:rPr>
        <w:t>навчитися завантажувати, нормалізувати та використовувати власні й сторонні набори зображень для навчання згорткових нейромереж (CNN) за допомогою потокових генераторів ImageDataGenerator в Keras; дослідити вплив просторового стиснення зображень (300х300 -&gt; 150х150) та редукції глибини згорток; реалізувати кастомний Callback для автоматичної зупинки навчання при досягненні 99.9% точності; розробити повний виробничий пайплайн підготовки та розбиття датасету Dogs vs. Cats на train, validation і test, навчити модель із регуляризацією Dropout, оцінити якість на незалежній тестовій вибірці та дослідити вплив фонового шуму й кадрування (Crop) на якість класифікації.</w:t>
      </w:r>
    </w:p>
    <w:p>
      <w:pPr>
        <w:keepNext/>
        <w:spacing w:before="280" w:after="100"/>
      </w:pPr>
      <w:r>
        <w:rPr>
          <w:rFonts w:ascii="Times New Roman" w:hAnsi="Times New Roman"/>
          <w:b/>
          <w:color w:val="000000"/>
          <w:sz w:val="26"/>
        </w:rPr>
        <w:t>1. Дослідження базової архітектури та автоматична валідація Horses-vs-Humans (300x300)</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У першому завданні </w:t>
      </w:r>
      <w:r>
        <w:rPr>
          <w:rFonts w:ascii="Times New Roman" w:hAnsi="Times New Roman"/>
          <w:sz w:val="22"/>
        </w:rPr>
        <w:t>реалізовано базову згорткову нейромережу для бінарної класифікації коней та людей (Horses-vs-Humans) на зображеннях високої просторової роздільності (300х300 пікселів). Архітектура містить 5 послідовних згорткових блоків (Conv2D: 16, 32, 64, 64, 64 фільтри з ядрами 3х3) та операції пулінгу MaxPooling2D(2, 2) із повнозв'язними шарами Dense(512) та Dense(1, sigmoid) на виході.</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КРИТИЧНА ВИМОГА ТА ПРЕПРОЦЕСИНГ: </w:t>
      </w:r>
      <w:r>
        <w:rPr>
          <w:rFonts w:ascii="Times New Roman" w:hAnsi="Times New Roman"/>
          <w:sz w:val="22"/>
        </w:rPr>
        <w:t>Для лінивого завантаження даних без перевантаження оперативної пам'яті застосовано потоковий генератор ImageDataGenerator(rescale=1/255.0), який масштабує пікселі в діапазон [0, 1]. Навчальний набір містить 1027 фото (500 коней, 527 людей), валідаційний — 256 фото (128 коней, 128 людей). Параметри кроків: steps_per_epoch=8, validation_steps=8.</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ПАРАМЕТРИ ТА ДИНАМІКА: </w:t>
      </w:r>
      <w:r>
        <w:rPr>
          <w:rFonts w:ascii="Times New Roman" w:hAnsi="Times New Roman"/>
          <w:sz w:val="22"/>
        </w:rPr>
        <w:t>Загальна кількість параметрів моделі склала 712,865 (~712.9 тис.). Навчання з оптимізатором RMSprop(learning_rate=0.001) за 15 епох досягло точності на навчанні 96.49% та валідаційної точності 84.77%. Загальний час навчання склав 351.6 с (~5.8 хв).</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0080"/>
      </w:tblGrid>
      <w:tr>
        <w:tc>
          <w:tcPr>
            <w:tcW w:type="dxa" w:w="10080"/>
            <w:shd w:fill="1E1E1E"/>
            <w:tcMar>
              <w:top w:w="120" w:type="dxa"/>
              <w:bottom w:w="120" w:type="dxa"/>
              <w:left w:w="180" w:type="dxa"/>
              <w:right w:w="180" w:type="dxa"/>
            </w:tcMar>
          </w:tcPr>
          <w:p>
            <w:pPr>
              <w:spacing w:before="60" w:after="60" w:line="276" w:lineRule="auto"/>
            </w:pPr>
            <w:r>
              <w:rPr>
                <w:rFonts w:ascii="Consolas" w:hAnsi="Consolas"/>
                <w:color w:val="00FFCC"/>
                <w:sz w:val="17"/>
              </w:rPr>
              <w:t>model = Sequential(5 Conv blocks) | Input size: 300x300x3 | Optimizer: RMSprop(0.001)</w:t>
              <w:br/>
            </w:r>
            <w:r>
              <w:rPr>
                <w:rFonts w:ascii="Consolas" w:hAnsi="Consolas"/>
                <w:color w:val="00FFCC"/>
                <w:sz w:val="17"/>
              </w:rPr>
              <w:t>Train Generator: 1027 images (batch_size=128, steps_per_epoch=8)</w:t>
              <w:br/>
            </w:r>
            <w:r>
              <w:rPr>
                <w:rFonts w:ascii="Consolas" w:hAnsi="Consolas"/>
                <w:color w:val="00FFCC"/>
                <w:sz w:val="17"/>
              </w:rPr>
              <w:t>Validation Generator: 256 images (batch_size=32, validation_steps=8)</w:t>
              <w:br/>
            </w:r>
            <w:r>
              <w:rPr>
                <w:rFonts w:ascii="Consolas" w:hAnsi="Consolas"/>
                <w:color w:val="00FFCC"/>
                <w:sz w:val="17"/>
              </w:rPr>
              <w:t>Epoch 15/15 [========] - loss: 0.1085 - acc: 0.9649 - val_loss: 1.3544 - val_acc: 0.8477</w:t>
              <w:br/>
            </w:r>
            <w:r>
              <w:rPr>
                <w:rFonts w:ascii="Consolas" w:hAnsi="Consolas"/>
                <w:color w:val="00FFCC"/>
                <w:sz w:val="17"/>
              </w:rPr>
              <w:t>Total params: 712,865 | Training time: 351.6s (~23.4s/epoch)</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task1_history.png"/>
                    <pic:cNvPicPr/>
                  </pic:nvPicPr>
                  <pic:blipFill>
                    <a:blip r:embed="rId9"/>
                    <a:stretch>
                      <a:fillRect/>
                    </a:stretch>
                  </pic:blipFill>
                  <pic:spPr>
                    <a:xfrm>
                      <a:off x="0" y="0"/>
                      <a:ext cx="5486400" cy="1959429"/>
                    </a:xfrm>
                    <a:prstGeom prst="rect"/>
                  </pic:spPr>
                </pic:pic>
              </a:graphicData>
            </a:graphic>
          </wp:inline>
        </w:drawing>
      </w:r>
    </w:p>
    <w:p>
      <w:pPr>
        <w:spacing w:before="40" w:after="160"/>
        <w:jc w:val="center"/>
      </w:pPr>
      <w:r>
        <w:rPr>
          <w:rFonts w:ascii="Times New Roman" w:hAnsi="Times New Roman"/>
          <w:i/>
          <w:color w:val="3C3C3C"/>
          <w:sz w:val="20"/>
        </w:rPr>
        <w:t>Рис. — Динаміка тренувальної та валідаційної точності і функції втрат моделі Horses-vs-Humans (300x300)</w:t>
      </w:r>
    </w:p>
    <w:p>
      <w:pPr>
        <w:keepNext/>
        <w:spacing w:before="120" w:after="40"/>
        <w:jc w:val="center"/>
      </w:pPr>
      <w:r>
        <w:drawing>
          <wp:inline xmlns:a="http://schemas.openxmlformats.org/drawingml/2006/main" xmlns:pic="http://schemas.openxmlformats.org/drawingml/2006/picture">
            <wp:extent cx="5486400" cy="3501033"/>
            <wp:docPr id="2" name="Picture 2"/>
            <wp:cNvGraphicFramePr>
              <a:graphicFrameLocks noChangeAspect="1"/>
            </wp:cNvGraphicFramePr>
            <a:graphic>
              <a:graphicData uri="http://schemas.openxmlformats.org/drawingml/2006/picture">
                <pic:pic>
                  <pic:nvPicPr>
                    <pic:cNvPr id="0" name="task1_test_predictions.png"/>
                    <pic:cNvPicPr/>
                  </pic:nvPicPr>
                  <pic:blipFill>
                    <a:blip r:embed="rId10"/>
                    <a:stretch>
                      <a:fillRect/>
                    </a:stretch>
                  </pic:blipFill>
                  <pic:spPr>
                    <a:xfrm>
                      <a:off x="0" y="0"/>
                      <a:ext cx="5486400" cy="3501033"/>
                    </a:xfrm>
                    <a:prstGeom prst="rect"/>
                  </pic:spPr>
                </pic:pic>
              </a:graphicData>
            </a:graphic>
          </wp:inline>
        </w:drawing>
      </w:r>
    </w:p>
    <w:p>
      <w:pPr>
        <w:spacing w:before="40" w:after="160"/>
        <w:jc w:val="center"/>
      </w:pPr>
      <w:r>
        <w:rPr>
          <w:rFonts w:ascii="Times New Roman" w:hAnsi="Times New Roman"/>
          <w:i/>
          <w:color w:val="3C3C3C"/>
          <w:sz w:val="20"/>
        </w:rPr>
        <w:t>Рис. — Результати розпізнавання 6 контрольних нетипових зображень базовою моделлю Horses-vs-Humans (300x300)</w:t>
      </w:r>
    </w:p>
    <w:p>
      <w:pPr>
        <w:keepNext/>
        <w:spacing w:before="280" w:after="100"/>
      </w:pPr>
      <w:r>
        <w:rPr>
          <w:rFonts w:ascii="Times New Roman" w:hAnsi="Times New Roman"/>
          <w:b/>
          <w:color w:val="000000"/>
          <w:sz w:val="26"/>
        </w:rPr>
        <w:t>2. Дослідження впливу просторового стиснення зображень (150x150) та редукції згорткових шарів</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У Завданні 2 </w:t>
      </w:r>
      <w:r>
        <w:rPr>
          <w:rFonts w:ascii="Times New Roman" w:hAnsi="Times New Roman"/>
          <w:sz w:val="22"/>
        </w:rPr>
        <w:t>досліджено скорочення обчислювальної складності: роздільну здатність зменшено у 4 рази (до 150х150 пікселів), а 4-й і 5-й згорткові блоки було вилучено (залишено 3 блоки з фільтрами 16, 32, 64).</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ТРАНСФОРМАЦІЯ КАРТ ОЗНАК ТА АНАЛІТИЧНИЙ РОЗРАХУНОК: </w:t>
      </w:r>
      <w:r>
        <w:rPr>
          <w:rFonts w:ascii="Times New Roman" w:hAnsi="Times New Roman"/>
          <w:sz w:val="22"/>
        </w:rPr>
        <w:t>Після 3 згорток та пулінгів вихідний тензор має розмірність 17х17х64 = 18,496 елементів проти 7х7х64 = 3,136 у Моделі 1. Через ширший вихідний шар Flatten матриця зв'язків із шаром Dense(512) зросла у ~6 разів, а загальна кількість параметрів моделі зросла до 9,494,561 (~9.49 млн, 99.7% ваг у Dense-шарі).</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ПАРАДОКС ШВИДКОДІЇ: </w:t>
      </w:r>
      <w:r>
        <w:rPr>
          <w:rFonts w:ascii="Times New Roman" w:hAnsi="Times New Roman"/>
          <w:sz w:val="22"/>
        </w:rPr>
        <w:t>Незважаючи на 13-кратне зростання кількості ваг, час навчання скоротився у 5.1 раза — до 69.2 с (4.6 с/епоха проти 23.4 с/епоха). Це зумовлено тим, що обчислювальна складність згорткових шарів масштабується пропорційно площі карти ознак (150х150 = 22.5 тис. пікселів проти 300х300 = 90 тис. пікселів). Точність на навчанні склала 99.12%, на валідації — 84.38%.</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0080"/>
      </w:tblGrid>
      <w:tr>
        <w:tc>
          <w:tcPr>
            <w:tcW w:type="dxa" w:w="10080"/>
            <w:shd w:fill="1E1E1E"/>
            <w:tcMar>
              <w:top w:w="120" w:type="dxa"/>
              <w:bottom w:w="120" w:type="dxa"/>
              <w:left w:w="180" w:type="dxa"/>
              <w:right w:w="180" w:type="dxa"/>
            </w:tcMar>
          </w:tcPr>
          <w:p>
            <w:pPr>
              <w:spacing w:before="60" w:after="60" w:line="276" w:lineRule="auto"/>
            </w:pPr>
            <w:r>
              <w:rPr>
                <w:rFonts w:ascii="Consolas" w:hAnsi="Consolas"/>
                <w:color w:val="00FFCC"/>
                <w:sz w:val="17"/>
              </w:rPr>
              <w:t>model = Sequential(3 Conv blocks) | Input size: 150x150x3 | Target size: (150, 150)</w:t>
              <w:br/>
            </w:r>
            <w:r>
              <w:rPr>
                <w:rFonts w:ascii="Consolas" w:hAnsi="Consolas"/>
                <w:color w:val="00FFCC"/>
                <w:sz w:val="17"/>
              </w:rPr>
              <w:t>Feature map before Flatten: (None, 17, 17, 64) -&gt; Flatten: (None, 18496)</w:t>
              <w:br/>
            </w:r>
            <w:r>
              <w:rPr>
                <w:rFonts w:ascii="Consolas" w:hAnsi="Consolas"/>
                <w:color w:val="00FFCC"/>
                <w:sz w:val="17"/>
              </w:rPr>
              <w:t>Total params: 9,494,561 | Dense(512) weights: 9,470,464</w:t>
              <w:br/>
            </w:r>
            <w:r>
              <w:rPr>
                <w:rFonts w:ascii="Consolas" w:hAnsi="Consolas"/>
                <w:color w:val="00FFCC"/>
                <w:sz w:val="17"/>
              </w:rPr>
              <w:t>Training time: 69.2s (прискорення у 5.1 раза порівняно з 351.6s у Моделі 1)</w:t>
              <w:br/>
            </w:r>
            <w:r>
              <w:rPr>
                <w:rFonts w:ascii="Consolas" w:hAnsi="Consolas"/>
                <w:color w:val="00FFCC"/>
                <w:sz w:val="17"/>
              </w:rPr>
              <w:t>Epoch 15/15: loss: 0.0242 - acc: 0.9912 - val_loss: 0.7291 - val_acc: 0.8438</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task1_vs_task2_comparison.png"/>
                    <pic:cNvPicPr/>
                  </pic:nvPicPr>
                  <pic:blipFill>
                    <a:blip r:embed="rId11"/>
                    <a:stretch>
                      <a:fillRect/>
                    </a:stretch>
                  </pic:blipFill>
                  <pic:spPr>
                    <a:xfrm>
                      <a:off x="0" y="0"/>
                      <a:ext cx="5486400" cy="1828800"/>
                    </a:xfrm>
                    <a:prstGeom prst="rect"/>
                  </pic:spPr>
                </pic:pic>
              </a:graphicData>
            </a:graphic>
          </wp:inline>
        </w:drawing>
      </w:r>
    </w:p>
    <w:p>
      <w:pPr>
        <w:spacing w:before="40" w:after="160"/>
        <w:jc w:val="center"/>
      </w:pPr>
      <w:r>
        <w:rPr>
          <w:rFonts w:ascii="Times New Roman" w:hAnsi="Times New Roman"/>
          <w:i/>
          <w:color w:val="3C3C3C"/>
          <w:sz w:val="20"/>
        </w:rPr>
        <w:t>Рис. — Порівняльний аналіз динаміки навчання Моделі 1 (300x300) та Моделі 2 (150x150)</w:t>
      </w:r>
    </w:p>
    <w:p>
      <w:pPr>
        <w:keepNext/>
        <w:spacing w:before="120" w:after="40"/>
        <w:jc w:val="center"/>
      </w:pPr>
      <w:r>
        <w:drawing>
          <wp:inline xmlns:a="http://schemas.openxmlformats.org/drawingml/2006/main" xmlns:pic="http://schemas.openxmlformats.org/drawingml/2006/picture">
            <wp:extent cx="5486400" cy="3501033"/>
            <wp:docPr id="4" name="Picture 4"/>
            <wp:cNvGraphicFramePr>
              <a:graphicFrameLocks noChangeAspect="1"/>
            </wp:cNvGraphicFramePr>
            <a:graphic>
              <a:graphicData uri="http://schemas.openxmlformats.org/drawingml/2006/picture">
                <pic:pic>
                  <pic:nvPicPr>
                    <pic:cNvPr id="0" name="task2_test_predictions.png"/>
                    <pic:cNvPicPr/>
                  </pic:nvPicPr>
                  <pic:blipFill>
                    <a:blip r:embed="rId12"/>
                    <a:stretch>
                      <a:fillRect/>
                    </a:stretch>
                  </pic:blipFill>
                  <pic:spPr>
                    <a:xfrm>
                      <a:off x="0" y="0"/>
                      <a:ext cx="5486400" cy="3501033"/>
                    </a:xfrm>
                    <a:prstGeom prst="rect"/>
                  </pic:spPr>
                </pic:pic>
              </a:graphicData>
            </a:graphic>
          </wp:inline>
        </w:drawing>
      </w:r>
    </w:p>
    <w:p>
      <w:pPr>
        <w:spacing w:before="40" w:after="160"/>
        <w:jc w:val="center"/>
      </w:pPr>
      <w:r>
        <w:rPr>
          <w:rFonts w:ascii="Times New Roman" w:hAnsi="Times New Roman"/>
          <w:i/>
          <w:color w:val="3C3C3C"/>
          <w:sz w:val="20"/>
        </w:rPr>
        <w:t>Рис. — Результати розпізнавання 6 контрольних зображень моделлю зі стисненням (150x150)</w:t>
      </w:r>
    </w:p>
    <w:p>
      <w:pPr>
        <w:keepNext/>
        <w:spacing w:before="280" w:after="100"/>
      </w:pPr>
      <w:r>
        <w:rPr>
          <w:rFonts w:ascii="Times New Roman" w:hAnsi="Times New Roman"/>
          <w:b/>
          <w:color w:val="000000"/>
          <w:sz w:val="26"/>
        </w:rPr>
        <w:t>3. Автоматизація зупинки навчання з власним Callback на датасеті Happy or Sad</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У Завданні 3 </w:t>
      </w:r>
      <w:r>
        <w:rPr>
          <w:rFonts w:ascii="Times New Roman" w:hAnsi="Times New Roman"/>
          <w:sz w:val="22"/>
        </w:rPr>
        <w:t>досліджено механізм ранньої зупинки (Early Stopping) без використання фіксованої кількості епох для оптимізації обчислювальних витрат на синтетичному наборі даних Happy or Sad (80 зображень смайлів: 40 happy, 40 sad).</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РЕАЛІЗАЦІЯ CALLBACK: </w:t>
      </w:r>
      <w:r>
        <w:rPr>
          <w:rFonts w:ascii="Times New Roman" w:hAnsi="Times New Roman"/>
          <w:sz w:val="22"/>
        </w:rPr>
        <w:t>Створено кастомний клас myCallback(tf.keras.callbacks.Callback), який наприкінці кожної епохи перевіряє умову logs.get('accuracy') &gt;= 0.999. При виконанні умови прапорець self.model.stop_training встановлюється в True, а в консоль друкується точний регламентований рядок: "Досягнуто 99,9% точності, тому скасовуємо навчання!".</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РЕЗУЛЬТАТИ ТА INFERENCE DEMO: </w:t>
      </w:r>
      <w:r>
        <w:rPr>
          <w:rFonts w:ascii="Times New Roman" w:hAnsi="Times New Roman"/>
          <w:sz w:val="22"/>
        </w:rPr>
        <w:t>Модель досягла 100% точності на епосі 8 (менш ніж за 15 епох), навчання було миттєво перервано всього за 4.14 с. Створений блок Inference безпомилково розпізнав тестові смайли з впевненістю понад 85–96%.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0080"/>
      </w:tblGrid>
      <w:tr>
        <w:tc>
          <w:tcPr>
            <w:tcW w:type="dxa" w:w="10080"/>
            <w:shd w:fill="1E1E1E"/>
            <w:tcMar>
              <w:top w:w="120" w:type="dxa"/>
              <w:bottom w:w="120" w:type="dxa"/>
              <w:left w:w="180" w:type="dxa"/>
              <w:right w:w="180" w:type="dxa"/>
            </w:tcMar>
          </w:tcPr>
          <w:p>
            <w:pPr>
              <w:spacing w:before="60" w:after="60" w:line="276" w:lineRule="auto"/>
            </w:pPr>
            <w:r>
              <w:rPr>
                <w:rFonts w:ascii="Consolas" w:hAnsi="Consolas"/>
                <w:color w:val="00FFCC"/>
                <w:sz w:val="17"/>
              </w:rPr>
              <w:t>Dataset: Happy or Sad (80 images: 40 happy, 40 sad) | batch_size=10, target_size=(150, 150)</w:t>
              <w:br/>
            </w:r>
            <w:r>
              <w:rPr>
                <w:rFonts w:ascii="Consolas" w:hAnsi="Consolas"/>
                <w:color w:val="00FFCC"/>
                <w:sz w:val="17"/>
              </w:rPr>
              <w:t>Epoch 6/15: accuracy: 0.9750 - loss: 0.1463</w:t>
              <w:br/>
            </w:r>
            <w:r>
              <w:rPr>
                <w:rFonts w:ascii="Consolas" w:hAnsi="Consolas"/>
                <w:color w:val="00FFCC"/>
                <w:sz w:val="17"/>
              </w:rPr>
              <w:t>Epoch 7/15: accuracy: 0.9500 - loss: 0.1725</w:t>
              <w:br/>
            </w:r>
            <w:r>
              <w:rPr>
                <w:rFonts w:ascii="Consolas" w:hAnsi="Consolas"/>
                <w:color w:val="00FFCC"/>
                <w:sz w:val="17"/>
              </w:rPr>
              <w:t>Epoch 8/15: accuracy: 1.0000 - loss: 0.0155</w:t>
              <w:br/>
            </w:r>
            <w:r>
              <w:rPr>
                <w:rFonts w:ascii="Consolas" w:hAnsi="Consolas"/>
                <w:color w:val="00FFCC"/>
                <w:sz w:val="17"/>
              </w:rPr>
              <w:t>Досягнуто 99,9% точності, тому скасовуємо навчання!</w:t>
              <w:br/>
            </w:r>
            <w:r>
              <w:rPr>
                <w:rFonts w:ascii="Consolas" w:hAnsi="Consolas"/>
                <w:color w:val="00FFCC"/>
                <w:sz w:val="17"/>
              </w:rPr>
              <w:t>Training terminated at epoch 8/15 (Elapsed: 4.14s)</w:t>
            </w:r>
          </w:p>
        </w:tc>
      </w:tr>
    </w:tbl>
    <w:p>
      <w:pPr>
        <w:spacing w:before="0" w:after="80"/>
      </w:pPr>
    </w:p>
    <w:p>
      <w:pPr>
        <w:keepNext/>
        <w:spacing w:before="120"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task3_history.png"/>
                    <pic:cNvPicPr/>
                  </pic:nvPicPr>
                  <pic:blipFill>
                    <a:blip r:embed="rId13"/>
                    <a:stretch>
                      <a:fillRect/>
                    </a:stretch>
                  </pic:blipFill>
                  <pic:spPr>
                    <a:xfrm>
                      <a:off x="0" y="0"/>
                      <a:ext cx="4754880" cy="2377440"/>
                    </a:xfrm>
                    <a:prstGeom prst="rect"/>
                  </pic:spPr>
                </pic:pic>
              </a:graphicData>
            </a:graphic>
          </wp:inline>
        </w:drawing>
      </w:r>
    </w:p>
    <w:p>
      <w:pPr>
        <w:spacing w:before="40" w:after="160"/>
        <w:jc w:val="center"/>
      </w:pPr>
      <w:r>
        <w:rPr>
          <w:rFonts w:ascii="Times New Roman" w:hAnsi="Times New Roman"/>
          <w:i/>
          <w:color w:val="3C3C3C"/>
          <w:sz w:val="20"/>
        </w:rPr>
        <w:t>Рис. — Динаміка зростання точності та рання зупинка на епосі 8 (Happy or Sad)</w:t>
      </w:r>
    </w:p>
    <w:p>
      <w:pPr>
        <w:keepNext/>
        <w:spacing w:before="120" w:after="40"/>
        <w:jc w:val="center"/>
      </w:pPr>
      <w:r>
        <w:drawing>
          <wp:inline xmlns:a="http://schemas.openxmlformats.org/drawingml/2006/main" xmlns:pic="http://schemas.openxmlformats.org/drawingml/2006/picture">
            <wp:extent cx="5486400" cy="2832351"/>
            <wp:docPr id="6" name="Picture 6"/>
            <wp:cNvGraphicFramePr>
              <a:graphicFrameLocks noChangeAspect="1"/>
            </wp:cNvGraphicFramePr>
            <a:graphic>
              <a:graphicData uri="http://schemas.openxmlformats.org/drawingml/2006/picture">
                <pic:pic>
                  <pic:nvPicPr>
                    <pic:cNvPr id="0" name="task3_inference_demo.png"/>
                    <pic:cNvPicPr/>
                  </pic:nvPicPr>
                  <pic:blipFill>
                    <a:blip r:embed="rId14"/>
                    <a:stretch>
                      <a:fillRect/>
                    </a:stretch>
                  </pic:blipFill>
                  <pic:spPr>
                    <a:xfrm>
                      <a:off x="0" y="0"/>
                      <a:ext cx="5486400" cy="2832351"/>
                    </a:xfrm>
                    <a:prstGeom prst="rect"/>
                  </pic:spPr>
                </pic:pic>
              </a:graphicData>
            </a:graphic>
          </wp:inline>
        </w:drawing>
      </w:r>
    </w:p>
    <w:p>
      <w:pPr>
        <w:spacing w:before="40" w:after="160"/>
        <w:jc w:val="center"/>
      </w:pPr>
      <w:r>
        <w:rPr>
          <w:rFonts w:ascii="Times New Roman" w:hAnsi="Times New Roman"/>
          <w:i/>
          <w:color w:val="3C3C3C"/>
          <w:sz w:val="20"/>
        </w:rPr>
        <w:t>Рис. — Результати розпізнавання смайлів моделлю Happy or Sad (Inference Demo)</w:t>
      </w:r>
    </w:p>
    <w:p>
      <w:pPr>
        <w:keepNext/>
        <w:spacing w:before="280" w:after="100"/>
      </w:pPr>
      <w:r>
        <w:rPr>
          <w:rFonts w:ascii="Times New Roman" w:hAnsi="Times New Roman"/>
          <w:b/>
          <w:color w:val="000000"/>
          <w:sz w:val="26"/>
        </w:rPr>
        <w:t>4. Підготовка датасету та класифікація кішок і собак (Dogs vs. Cats)</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РОЗБИТТЯ ДАТАСЕТУ ТА ВАЛІДАЦІЯ ЦІЛІСНОСТІ: </w:t>
      </w:r>
      <w:r>
        <w:rPr>
          <w:rFonts w:ascii="Times New Roman" w:hAnsi="Times New Roman"/>
          <w:sz w:val="22"/>
        </w:rPr>
        <w:t>Розроблено автономний скрипт prepare_dogs_cats_data.py, який перевірив усі 25 000 фотографій набору Kaggle Dogs vs Cats через бібліотеку Pillow (відсікання пошкоджених та нульових файлів) та сформував збалансовану структуру: Train — 20 000 фото (80%), Validation — 2 500 фото (10%), Test — 2 500 фото (10%) із суворим балансом 50% котів / 50% собак у кожному спліті.</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АРХІТЕКТУРА CNN ТА РЕГУЛЯРИЗАЦІЯ DROPOUT: </w:t>
      </w:r>
      <w:r>
        <w:rPr>
          <w:rFonts w:ascii="Times New Roman" w:hAnsi="Times New Roman"/>
          <w:sz w:val="22"/>
        </w:rPr>
        <w:t>Застосовано архітектуру з лекції: 4 згорткові блоки (32, 64, 128, 128 фільтрів), пулінг 2х2, шар Dropout(0.5) перед Dense(512) для пригнічення ко-адаптації нейронів, та вихідний Dense(1, sigmoid). Оптимізатор: RMSprop(learning_rate=0.001). Модель збережено в models/dogs_vs_cats_model.keras (27.6 МБ).</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ОЦІНКА НА НЕЗАЛЕЖНОМУ ТЕСТОВОМУ НАБОРІ (2 500 зображень): </w:t>
      </w:r>
      <w:r>
        <w:rPr>
          <w:rFonts w:ascii="Times New Roman" w:hAnsi="Times New Roman"/>
          <w:sz w:val="22"/>
        </w:rPr>
        <w:t>Модель продемонструвала тестову точність 73.52% (Test Loss: 0.5348). При тестуванні на вибірці з 20 власних фотографій точність для собак склала 100.0% (10/10), а для котів — 60.0% (6/10).</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0080"/>
      </w:tblGrid>
      <w:tr>
        <w:tc>
          <w:tcPr>
            <w:tcW w:type="dxa" w:w="10080"/>
            <w:shd w:fill="1E1E1E"/>
            <w:tcMar>
              <w:top w:w="120" w:type="dxa"/>
              <w:bottom w:w="120" w:type="dxa"/>
              <w:left w:w="180" w:type="dxa"/>
              <w:right w:w="180" w:type="dxa"/>
            </w:tcMar>
          </w:tcPr>
          <w:p>
            <w:pPr>
              <w:spacing w:before="60" w:after="60" w:line="276" w:lineRule="auto"/>
            </w:pPr>
            <w:r>
              <w:rPr>
                <w:rFonts w:ascii="Consolas" w:hAnsi="Consolas"/>
                <w:color w:val="00FFCC"/>
                <w:sz w:val="17"/>
              </w:rPr>
              <w:t>Kaggle Dogs vs Cats: 20,000 train | 2,500 validation | 2,500 test</w:t>
              <w:br/>
            </w:r>
            <w:r>
              <w:rPr>
                <w:rFonts w:ascii="Consolas" w:hAnsi="Consolas"/>
                <w:color w:val="00FFCC"/>
                <w:sz w:val="17"/>
              </w:rPr>
              <w:t>Model Architecture: 4 Conv2D blocks + Dropout(0.5) + Dense(512) + Dense(1)</w:t>
              <w:br/>
            </w:r>
            <w:r>
              <w:rPr>
                <w:rFonts w:ascii="Consolas" w:hAnsi="Consolas"/>
                <w:color w:val="00FFCC"/>
                <w:sz w:val="17"/>
              </w:rPr>
              <w:t>Evaluation on unseen 2,500 test images:</w:t>
              <w:br/>
            </w:r>
            <w:r>
              <w:rPr>
                <w:rFonts w:ascii="Consolas" w:hAnsi="Consolas"/>
                <w:color w:val="00FFCC"/>
                <w:sz w:val="17"/>
              </w:rPr>
              <w:t>Test Loss: 0.5348 | Test Accuracy: 73.52%</w:t>
              <w:br/>
            </w:r>
            <w:r>
              <w:rPr>
                <w:rFonts w:ascii="Consolas" w:hAnsi="Consolas"/>
                <w:color w:val="00FFCC"/>
                <w:sz w:val="17"/>
              </w:rPr>
              <w:t>Confusion Matrix: True Cats: 885 correct / 365 misclassified as Dogs</w:t>
              <w:br/>
            </w:r>
            <w:r>
              <w:rPr>
                <w:rFonts w:ascii="Consolas" w:hAnsi="Consolas"/>
                <w:color w:val="00FFCC"/>
                <w:sz w:val="17"/>
              </w:rPr>
              <w:t xml:space="preserve">                  True Dogs: 953 correct / 297 misclassified as Cats</w:t>
              <w:br/>
            </w:r>
            <w:r>
              <w:rPr>
                <w:rFonts w:ascii="Consolas" w:hAnsi="Consolas"/>
                <w:color w:val="00FFCC"/>
                <w:sz w:val="17"/>
              </w:rPr>
              <w:t>Custom images: Dogs: 10/10 (100.0%) | Cats: 6/10 (60.0%)</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1959429"/>
            <wp:docPr id="7" name="Picture 7"/>
            <wp:cNvGraphicFramePr>
              <a:graphicFrameLocks noChangeAspect="1"/>
            </wp:cNvGraphicFramePr>
            <a:graphic>
              <a:graphicData uri="http://schemas.openxmlformats.org/drawingml/2006/picture">
                <pic:pic>
                  <pic:nvPicPr>
                    <pic:cNvPr id="0" name="task4_history.png"/>
                    <pic:cNvPicPr/>
                  </pic:nvPicPr>
                  <pic:blipFill>
                    <a:blip r:embed="rId15"/>
                    <a:stretch>
                      <a:fillRect/>
                    </a:stretch>
                  </pic:blipFill>
                  <pic:spPr>
                    <a:xfrm>
                      <a:off x="0" y="0"/>
                      <a:ext cx="5486400" cy="1959429"/>
                    </a:xfrm>
                    <a:prstGeom prst="rect"/>
                  </pic:spPr>
                </pic:pic>
              </a:graphicData>
            </a:graphic>
          </wp:inline>
        </w:drawing>
      </w:r>
    </w:p>
    <w:p>
      <w:pPr>
        <w:spacing w:before="40" w:after="160"/>
        <w:jc w:val="center"/>
      </w:pPr>
      <w:r>
        <w:rPr>
          <w:rFonts w:ascii="Times New Roman" w:hAnsi="Times New Roman"/>
          <w:i/>
          <w:color w:val="3C3C3C"/>
          <w:sz w:val="20"/>
        </w:rPr>
        <w:t>Рис. — Динаміка точності та втрат моделі Dogs vs. Cats (15 епох)</w:t>
      </w:r>
    </w:p>
    <w:p>
      <w:pPr>
        <w:keepNext/>
        <w:spacing w:before="120" w:after="40"/>
        <w:jc w:val="center"/>
      </w:pPr>
      <w:r>
        <w:drawing>
          <wp:inline xmlns:a="http://schemas.openxmlformats.org/drawingml/2006/main" xmlns:pic="http://schemas.openxmlformats.org/drawingml/2006/picture">
            <wp:extent cx="4114800" cy="3429000"/>
            <wp:docPr id="8" name="Picture 8"/>
            <wp:cNvGraphicFramePr>
              <a:graphicFrameLocks noChangeAspect="1"/>
            </wp:cNvGraphicFramePr>
            <a:graphic>
              <a:graphicData uri="http://schemas.openxmlformats.org/drawingml/2006/picture">
                <pic:pic>
                  <pic:nvPicPr>
                    <pic:cNvPr id="0" name="task4_confusion_matrix.png"/>
                    <pic:cNvPicPr/>
                  </pic:nvPicPr>
                  <pic:blipFill>
                    <a:blip r:embed="rId16"/>
                    <a:stretch>
                      <a:fillRect/>
                    </a:stretch>
                  </pic:blipFill>
                  <pic:spPr>
                    <a:xfrm>
                      <a:off x="0" y="0"/>
                      <a:ext cx="4114800" cy="3429000"/>
                    </a:xfrm>
                    <a:prstGeom prst="rect"/>
                  </pic:spPr>
                </pic:pic>
              </a:graphicData>
            </a:graphic>
          </wp:inline>
        </w:drawing>
      </w:r>
    </w:p>
    <w:p>
      <w:pPr>
        <w:spacing w:before="40" w:after="160"/>
        <w:jc w:val="center"/>
      </w:pPr>
      <w:r>
        <w:rPr>
          <w:rFonts w:ascii="Times New Roman" w:hAnsi="Times New Roman"/>
          <w:i/>
          <w:color w:val="3C3C3C"/>
          <w:sz w:val="20"/>
        </w:rPr>
        <w:t>Рис. — Матриця невідповідностей (Confusion Matrix) на незалежному тестовому наборі (2500 зображень)</w:t>
      </w:r>
    </w:p>
    <w:p>
      <w:pPr>
        <w:keepNext/>
        <w:spacing w:before="280" w:after="100"/>
      </w:pPr>
      <w:r>
        <w:rPr>
          <w:rFonts w:ascii="Times New Roman" w:hAnsi="Times New Roman"/>
          <w:b/>
          <w:color w:val="000000"/>
          <w:sz w:val="26"/>
        </w:rPr>
        <w:t>5. Аналіз інференсу, граничних випадків та дослідження впливу кадрування (Crop)</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Зображення 01_woman_blue_dress.jpg (Жінка в синій сукні з відкритою спиною, репліка Рис. 1 методички): </w:t>
      </w:r>
      <w:r>
        <w:rPr>
          <w:rFonts w:ascii="Times New Roman" w:hAnsi="Times New Roman"/>
          <w:sz w:val="22"/>
        </w:rPr>
        <w:t>Модель 300х300 безпомилково розпізнала людину (99.9%) завдяки високій чіткості контуру спини та зачіски. У моделі 150х150 впевненість знизилася до 77.0% через просторове згладжування текстури одягу.</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Зображення 03_person_riding_horse.jpg (Вершник на коні) та 05_man_hat_coat.jpg (Чоловік у пальто): </w:t>
      </w:r>
      <w:r>
        <w:rPr>
          <w:rFonts w:ascii="Times New Roman" w:hAnsi="Times New Roman"/>
          <w:sz w:val="22"/>
        </w:rPr>
        <w:t>Модель 300х300 орієнтується на деталі обличчя та верхньої половини тіла (Людина 99.9% та 99.1%). У моделі 150х150 через відсутність 4-го і 5-го блоків згорток довге масивне пальто та корпус коня під вершником повністю домінують на карті ознак 17х17, внаслідок чого обидва об'єкти класифікуються як Кінь (100.0%).</w:t>
      </w:r>
    </w:p>
    <w:p>
      <w:pPr>
        <w:spacing w:before="40" w:after="60" w:line="276" w:lineRule="auto"/>
        <w:ind w:left="360"/>
      </w:pPr>
      <w:r>
        <w:rPr>
          <w:rFonts w:ascii="Times New Roman" w:hAnsi="Times New Roman"/>
          <w:b/>
          <w:sz w:val="22"/>
        </w:rPr>
        <w:t xml:space="preserve">• </w:t>
      </w:r>
      <w:r>
        <w:rPr>
          <w:rFonts w:ascii="Times New Roman" w:hAnsi="Times New Roman"/>
          <w:b/>
          <w:sz w:val="22"/>
        </w:rPr>
        <w:t xml:space="preserve">ДОСЛІДЖЕННЯ КАДРУВАННЯ (CROP, Завдання 4): </w:t>
      </w:r>
      <w:r>
        <w:rPr>
          <w:rFonts w:ascii="Times New Roman" w:hAnsi="Times New Roman"/>
          <w:sz w:val="22"/>
        </w:rPr>
        <w:t>Досліджено 6 зображень тварин на складному строкатому фоні (трава, листя, людина поруч, тіні в кутках). Коли тварина займає малу частину кадру, активації фільтрів згортки реагують на високочастотний фоновий шум, що збиває модель. Після кадрування (видалення зайвого фону та центрування мордочки) рецептивне поле згорток фокусується виключно на біометричних ознаках (вуха, очі, форма носа), помилкові передбачення виправляються, а впевненість зростає.</w:t>
      </w:r>
    </w:p>
    <w:p>
      <w:pPr>
        <w:keepNext/>
        <w:spacing w:before="120" w:after="40"/>
        <w:jc w:val="center"/>
      </w:pPr>
      <w:r>
        <w:drawing>
          <wp:inline xmlns:a="http://schemas.openxmlformats.org/drawingml/2006/main" xmlns:pic="http://schemas.openxmlformats.org/drawingml/2006/picture">
            <wp:extent cx="5669280" cy="10204704"/>
            <wp:docPr id="9" name="Picture 9"/>
            <wp:cNvGraphicFramePr>
              <a:graphicFrameLocks noChangeAspect="1"/>
            </wp:cNvGraphicFramePr>
            <a:graphic>
              <a:graphicData uri="http://schemas.openxmlformats.org/drawingml/2006/picture">
                <pic:pic>
                  <pic:nvPicPr>
                    <pic:cNvPr id="0" name="task4_cropping_comparison.png"/>
                    <pic:cNvPicPr/>
                  </pic:nvPicPr>
                  <pic:blipFill>
                    <a:blip r:embed="rId17"/>
                    <a:stretch>
                      <a:fillRect/>
                    </a:stretch>
                  </pic:blipFill>
                  <pic:spPr>
                    <a:xfrm>
                      <a:off x="0" y="0"/>
                      <a:ext cx="5669280" cy="10204704"/>
                    </a:xfrm>
                    <a:prstGeom prst="rect"/>
                  </pic:spPr>
                </pic:pic>
              </a:graphicData>
            </a:graphic>
          </wp:inline>
        </w:drawing>
      </w:r>
    </w:p>
    <w:p>
      <w:pPr>
        <w:spacing w:before="40" w:after="160"/>
        <w:jc w:val="center"/>
      </w:pPr>
      <w:r>
        <w:rPr>
          <w:rFonts w:ascii="Times New Roman" w:hAnsi="Times New Roman"/>
          <w:i/>
          <w:color w:val="3C3C3C"/>
          <w:sz w:val="20"/>
        </w:rPr>
        <w:t>Рис. — Експеримент із кадруванням (Crop): порівняння класифікації ДО та ПІСЛЯ видалення фонового шуму</w:t>
      </w:r>
    </w:p>
    <w:p>
      <w:pPr>
        <w:keepNext/>
        <w:spacing w:before="280" w:after="100"/>
      </w:pPr>
      <w:r>
        <w:rPr>
          <w:rFonts w:ascii="Times New Roman" w:hAnsi="Times New Roman"/>
          <w:b/>
          <w:color w:val="000000"/>
          <w:sz w:val="26"/>
        </w:rPr>
        <w:t>6. Порівняльна таблиця результатів досліджених моделей</w:t>
      </w:r>
    </w:p>
    <w:p>
      <w:pPr>
        <w:spacing w:before="0" w:after="120"/>
      </w:pPr>
      <w:r>
        <w:rPr>
          <w:rFonts w:ascii="Times New Roman" w:hAnsi="Times New Roman"/>
          <w:sz w:val="22"/>
        </w:rPr>
        <w:t>У зведеній таблиці наведено зіставлення всіх 4 навчених у роботі архітектур нейромереж:</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260"/>
        <w:gridCol w:w="1260"/>
        <w:gridCol w:w="1260"/>
        <w:gridCol w:w="1260"/>
        <w:gridCol w:w="1260"/>
        <w:gridCol w:w="1260"/>
        <w:gridCol w:w="1260"/>
        <w:gridCol w:w="1260"/>
      </w:tblGrid>
      <w:tr>
        <w:tc>
          <w:tcPr>
            <w:tcW w:type="dxa" w:w="1260"/>
            <w:shd w:fill="EAECEE"/>
          </w:tcPr>
          <w:p>
            <w:pPr>
              <w:jc w:val="center"/>
            </w:pPr>
            <w:r>
              <w:rPr>
                <w:rFonts w:ascii="Times New Roman" w:hAnsi="Times New Roman"/>
                <w:b/>
                <w:sz w:val="19"/>
              </w:rPr>
              <w:t>Модель / Завдання</w:t>
            </w:r>
          </w:p>
        </w:tc>
        <w:tc>
          <w:tcPr>
            <w:tcW w:type="dxa" w:w="1260"/>
            <w:shd w:fill="EAECEE"/>
          </w:tcPr>
          <w:p>
            <w:pPr>
              <w:jc w:val="center"/>
            </w:pPr>
            <w:r>
              <w:rPr>
                <w:rFonts w:ascii="Times New Roman" w:hAnsi="Times New Roman"/>
                <w:b/>
                <w:sz w:val="19"/>
              </w:rPr>
              <w:t>Вхідний розмір</w:t>
            </w:r>
          </w:p>
        </w:tc>
        <w:tc>
          <w:tcPr>
            <w:tcW w:type="dxa" w:w="1260"/>
            <w:shd w:fill="EAECEE"/>
          </w:tcPr>
          <w:p>
            <w:pPr>
              <w:jc w:val="center"/>
            </w:pPr>
            <w:r>
              <w:rPr>
                <w:rFonts w:ascii="Times New Roman" w:hAnsi="Times New Roman"/>
                <w:b/>
                <w:sz w:val="19"/>
              </w:rPr>
              <w:t>Архітектура (шари)</w:t>
            </w:r>
          </w:p>
        </w:tc>
        <w:tc>
          <w:tcPr>
            <w:tcW w:type="dxa" w:w="1260"/>
            <w:shd w:fill="EAECEE"/>
          </w:tcPr>
          <w:p>
            <w:pPr>
              <w:jc w:val="center"/>
            </w:pPr>
            <w:r>
              <w:rPr>
                <w:rFonts w:ascii="Times New Roman" w:hAnsi="Times New Roman"/>
                <w:b/>
                <w:sz w:val="19"/>
              </w:rPr>
              <w:t>Параметри</w:t>
            </w:r>
          </w:p>
        </w:tc>
        <w:tc>
          <w:tcPr>
            <w:tcW w:type="dxa" w:w="1260"/>
            <w:shd w:fill="EAECEE"/>
          </w:tcPr>
          <w:p>
            <w:pPr>
              <w:jc w:val="center"/>
            </w:pPr>
            <w:r>
              <w:rPr>
                <w:rFonts w:ascii="Times New Roman" w:hAnsi="Times New Roman"/>
                <w:b/>
                <w:sz w:val="19"/>
              </w:rPr>
              <w:t>Train Acc</w:t>
            </w:r>
          </w:p>
        </w:tc>
        <w:tc>
          <w:tcPr>
            <w:tcW w:type="dxa" w:w="1260"/>
            <w:shd w:fill="EAECEE"/>
          </w:tcPr>
          <w:p>
            <w:pPr>
              <w:jc w:val="center"/>
            </w:pPr>
            <w:r>
              <w:rPr>
                <w:rFonts w:ascii="Times New Roman" w:hAnsi="Times New Roman"/>
                <w:b/>
                <w:sz w:val="19"/>
              </w:rPr>
              <w:t>Val / Test Acc</w:t>
            </w:r>
          </w:p>
        </w:tc>
        <w:tc>
          <w:tcPr>
            <w:tcW w:type="dxa" w:w="1260"/>
            <w:shd w:fill="EAECEE"/>
          </w:tcPr>
          <w:p>
            <w:pPr>
              <w:jc w:val="center"/>
            </w:pPr>
            <w:r>
              <w:rPr>
                <w:rFonts w:ascii="Times New Roman" w:hAnsi="Times New Roman"/>
                <w:b/>
                <w:sz w:val="19"/>
              </w:rPr>
              <w:t>Час навчання</w:t>
            </w:r>
          </w:p>
        </w:tc>
        <w:tc>
          <w:tcPr>
            <w:tcW w:type="dxa" w:w="1260"/>
            <w:shd w:fill="EAECEE"/>
          </w:tcPr>
          <w:p>
            <w:pPr>
              <w:jc w:val="center"/>
            </w:pPr>
            <w:r>
              <w:rPr>
                <w:rFonts w:ascii="Times New Roman" w:hAnsi="Times New Roman"/>
                <w:b/>
                <w:sz w:val="19"/>
              </w:rPr>
              <w:t>Цільове призначення / Висновок</w:t>
            </w:r>
          </w:p>
        </w:tc>
      </w:tr>
      <w:tr>
        <w:tc>
          <w:tcPr>
            <w:tcW w:type="dxa" w:w="1260"/>
          </w:tcPr>
          <w:p>
            <w:pPr>
              <w:jc w:val="left"/>
            </w:pPr>
            <w:r>
              <w:rPr>
                <w:rFonts w:ascii="Times New Roman" w:hAnsi="Times New Roman"/>
                <w:sz w:val="17"/>
              </w:rPr>
              <w:t>Horses-vs-Humans (Завд. 1)</w:t>
            </w:r>
          </w:p>
        </w:tc>
        <w:tc>
          <w:tcPr>
            <w:tcW w:type="dxa" w:w="1260"/>
          </w:tcPr>
          <w:p>
            <w:pPr>
              <w:jc w:val="center"/>
            </w:pPr>
            <w:r>
              <w:rPr>
                <w:rFonts w:ascii="Times New Roman" w:hAnsi="Times New Roman"/>
                <w:sz w:val="17"/>
              </w:rPr>
              <w:t>300x300x3</w:t>
            </w:r>
          </w:p>
        </w:tc>
        <w:tc>
          <w:tcPr>
            <w:tcW w:type="dxa" w:w="1260"/>
          </w:tcPr>
          <w:p>
            <w:pPr>
              <w:jc w:val="center"/>
            </w:pPr>
            <w:r>
              <w:rPr>
                <w:rFonts w:ascii="Times New Roman" w:hAnsi="Times New Roman"/>
                <w:sz w:val="17"/>
              </w:rPr>
              <w:t>5 Conv2D + 5 MaxPool + Dense(512)</w:t>
            </w:r>
          </w:p>
        </w:tc>
        <w:tc>
          <w:tcPr>
            <w:tcW w:type="dxa" w:w="1260"/>
          </w:tcPr>
          <w:p>
            <w:pPr>
              <w:jc w:val="center"/>
            </w:pPr>
            <w:r>
              <w:rPr>
                <w:rFonts w:ascii="Times New Roman" w:hAnsi="Times New Roman"/>
                <w:sz w:val="17"/>
              </w:rPr>
              <w:t>712,865 (~0.71M)</w:t>
            </w:r>
          </w:p>
        </w:tc>
        <w:tc>
          <w:tcPr>
            <w:tcW w:type="dxa" w:w="1260"/>
          </w:tcPr>
          <w:p>
            <w:pPr>
              <w:jc w:val="center"/>
            </w:pPr>
            <w:r>
              <w:rPr>
                <w:rFonts w:ascii="Times New Roman" w:hAnsi="Times New Roman"/>
                <w:sz w:val="17"/>
              </w:rPr>
              <w:t>96.49%</w:t>
            </w:r>
          </w:p>
        </w:tc>
        <w:tc>
          <w:tcPr>
            <w:tcW w:type="dxa" w:w="1260"/>
          </w:tcPr>
          <w:p>
            <w:pPr>
              <w:jc w:val="center"/>
            </w:pPr>
            <w:r>
              <w:rPr>
                <w:rFonts w:ascii="Times New Roman" w:hAnsi="Times New Roman"/>
                <w:sz w:val="17"/>
              </w:rPr>
              <w:t>84.77% (Val)</w:t>
            </w:r>
          </w:p>
        </w:tc>
        <w:tc>
          <w:tcPr>
            <w:tcW w:type="dxa" w:w="1260"/>
          </w:tcPr>
          <w:p>
            <w:pPr>
              <w:jc w:val="center"/>
            </w:pPr>
            <w:r>
              <w:rPr>
                <w:rFonts w:ascii="Times New Roman" w:hAnsi="Times New Roman"/>
                <w:sz w:val="17"/>
              </w:rPr>
              <w:t>351.6 с (~5.8 хв)</w:t>
            </w:r>
          </w:p>
        </w:tc>
        <w:tc>
          <w:tcPr>
            <w:tcW w:type="dxa" w:w="1260"/>
          </w:tcPr>
          <w:p>
            <w:pPr>
              <w:jc w:val="left"/>
            </w:pPr>
            <w:r>
              <w:rPr>
                <w:rFonts w:ascii="Times New Roman" w:hAnsi="Times New Roman"/>
                <w:sz w:val="17"/>
              </w:rPr>
              <w:t>Базова модель високої просторової роздільності</w:t>
            </w:r>
          </w:p>
        </w:tc>
      </w:tr>
      <w:tr>
        <w:tc>
          <w:tcPr>
            <w:tcW w:type="dxa" w:w="1260"/>
          </w:tcPr>
          <w:p>
            <w:pPr>
              <w:jc w:val="left"/>
            </w:pPr>
            <w:r>
              <w:rPr>
                <w:rFonts w:ascii="Times New Roman" w:hAnsi="Times New Roman"/>
                <w:sz w:val="17"/>
              </w:rPr>
              <w:t>Horses-vs-Humans (Завд. 2)</w:t>
            </w:r>
          </w:p>
        </w:tc>
        <w:tc>
          <w:tcPr>
            <w:tcW w:type="dxa" w:w="1260"/>
          </w:tcPr>
          <w:p>
            <w:pPr>
              <w:jc w:val="center"/>
            </w:pPr>
            <w:r>
              <w:rPr>
                <w:rFonts w:ascii="Times New Roman" w:hAnsi="Times New Roman"/>
                <w:sz w:val="17"/>
              </w:rPr>
              <w:t>150x150x3</w:t>
            </w:r>
          </w:p>
        </w:tc>
        <w:tc>
          <w:tcPr>
            <w:tcW w:type="dxa" w:w="1260"/>
          </w:tcPr>
          <w:p>
            <w:pPr>
              <w:jc w:val="center"/>
            </w:pPr>
            <w:r>
              <w:rPr>
                <w:rFonts w:ascii="Times New Roman" w:hAnsi="Times New Roman"/>
                <w:sz w:val="17"/>
              </w:rPr>
              <w:t>3 Conv2D + 3 MaxPool + Dense(512)</w:t>
            </w:r>
          </w:p>
        </w:tc>
        <w:tc>
          <w:tcPr>
            <w:tcW w:type="dxa" w:w="1260"/>
          </w:tcPr>
          <w:p>
            <w:pPr>
              <w:jc w:val="center"/>
            </w:pPr>
            <w:r>
              <w:rPr>
                <w:rFonts w:ascii="Times New Roman" w:hAnsi="Times New Roman"/>
                <w:sz w:val="17"/>
              </w:rPr>
              <w:t>9,494,561 (~9.49M)</w:t>
            </w:r>
          </w:p>
        </w:tc>
        <w:tc>
          <w:tcPr>
            <w:tcW w:type="dxa" w:w="1260"/>
          </w:tcPr>
          <w:p>
            <w:pPr>
              <w:jc w:val="center"/>
            </w:pPr>
            <w:r>
              <w:rPr>
                <w:rFonts w:ascii="Times New Roman" w:hAnsi="Times New Roman"/>
                <w:sz w:val="17"/>
              </w:rPr>
              <w:t>99.12%</w:t>
            </w:r>
          </w:p>
        </w:tc>
        <w:tc>
          <w:tcPr>
            <w:tcW w:type="dxa" w:w="1260"/>
          </w:tcPr>
          <w:p>
            <w:pPr>
              <w:jc w:val="center"/>
            </w:pPr>
            <w:r>
              <w:rPr>
                <w:rFonts w:ascii="Times New Roman" w:hAnsi="Times New Roman"/>
                <w:sz w:val="17"/>
              </w:rPr>
              <w:t>84.38% (Val)</w:t>
            </w:r>
          </w:p>
        </w:tc>
        <w:tc>
          <w:tcPr>
            <w:tcW w:type="dxa" w:w="1260"/>
          </w:tcPr>
          <w:p>
            <w:pPr>
              <w:jc w:val="center"/>
            </w:pPr>
            <w:r>
              <w:rPr>
                <w:rFonts w:ascii="Times New Roman" w:hAnsi="Times New Roman"/>
                <w:sz w:val="17"/>
              </w:rPr>
              <w:t>69.2 с (~1.1 хв)</w:t>
            </w:r>
          </w:p>
        </w:tc>
        <w:tc>
          <w:tcPr>
            <w:tcW w:type="dxa" w:w="1260"/>
          </w:tcPr>
          <w:p>
            <w:pPr>
              <w:jc w:val="left"/>
            </w:pPr>
            <w:r>
              <w:rPr>
                <w:rFonts w:ascii="Times New Roman" w:hAnsi="Times New Roman"/>
                <w:sz w:val="17"/>
              </w:rPr>
              <w:t>Прискорення у 5.1 раза при збереженні узагальнення</w:t>
            </w:r>
          </w:p>
        </w:tc>
      </w:tr>
      <w:tr>
        <w:tc>
          <w:tcPr>
            <w:tcW w:type="dxa" w:w="1260"/>
          </w:tcPr>
          <w:p>
            <w:pPr>
              <w:jc w:val="left"/>
            </w:pPr>
            <w:r>
              <w:rPr>
                <w:rFonts w:ascii="Times New Roman" w:hAnsi="Times New Roman"/>
                <w:sz w:val="17"/>
              </w:rPr>
              <w:t>Happy or Sad (Завд. 3)</w:t>
            </w:r>
          </w:p>
        </w:tc>
        <w:tc>
          <w:tcPr>
            <w:tcW w:type="dxa" w:w="1260"/>
          </w:tcPr>
          <w:p>
            <w:pPr>
              <w:jc w:val="center"/>
            </w:pPr>
            <w:r>
              <w:rPr>
                <w:rFonts w:ascii="Times New Roman" w:hAnsi="Times New Roman"/>
                <w:sz w:val="17"/>
              </w:rPr>
              <w:t>150x150x3</w:t>
            </w:r>
          </w:p>
        </w:tc>
        <w:tc>
          <w:tcPr>
            <w:tcW w:type="dxa" w:w="1260"/>
          </w:tcPr>
          <w:p>
            <w:pPr>
              <w:jc w:val="center"/>
            </w:pPr>
            <w:r>
              <w:rPr>
                <w:rFonts w:ascii="Times New Roman" w:hAnsi="Times New Roman"/>
                <w:sz w:val="17"/>
              </w:rPr>
              <w:t>3 Conv2D + 3 MaxPool + Dense(512)</w:t>
            </w:r>
          </w:p>
        </w:tc>
        <w:tc>
          <w:tcPr>
            <w:tcW w:type="dxa" w:w="1260"/>
          </w:tcPr>
          <w:p>
            <w:pPr>
              <w:jc w:val="center"/>
            </w:pPr>
            <w:r>
              <w:rPr>
                <w:rFonts w:ascii="Times New Roman" w:hAnsi="Times New Roman"/>
                <w:sz w:val="17"/>
              </w:rPr>
              <w:t>9,494,561 (~9.49M)</w:t>
            </w:r>
          </w:p>
        </w:tc>
        <w:tc>
          <w:tcPr>
            <w:tcW w:type="dxa" w:w="1260"/>
          </w:tcPr>
          <w:p>
            <w:pPr>
              <w:jc w:val="center"/>
            </w:pPr>
            <w:r>
              <w:rPr>
                <w:rFonts w:ascii="Times New Roman" w:hAnsi="Times New Roman"/>
                <w:sz w:val="17"/>
              </w:rPr>
              <w:t>100.0%</w:t>
            </w:r>
          </w:p>
        </w:tc>
        <w:tc>
          <w:tcPr>
            <w:tcW w:type="dxa" w:w="1260"/>
          </w:tcPr>
          <w:p>
            <w:pPr>
              <w:jc w:val="center"/>
            </w:pPr>
            <w:r>
              <w:rPr>
                <w:rFonts w:ascii="Times New Roman" w:hAnsi="Times New Roman"/>
                <w:sz w:val="17"/>
              </w:rPr>
              <w:t>100.0% (Inference)</w:t>
            </w:r>
          </w:p>
        </w:tc>
        <w:tc>
          <w:tcPr>
            <w:tcW w:type="dxa" w:w="1260"/>
          </w:tcPr>
          <w:p>
            <w:pPr>
              <w:jc w:val="center"/>
            </w:pPr>
            <w:r>
              <w:rPr>
                <w:rFonts w:ascii="Times New Roman" w:hAnsi="Times New Roman"/>
                <w:sz w:val="17"/>
              </w:rPr>
              <w:t>4.1 с (8 епох)</w:t>
            </w:r>
          </w:p>
        </w:tc>
        <w:tc>
          <w:tcPr>
            <w:tcW w:type="dxa" w:w="1260"/>
          </w:tcPr>
          <w:p>
            <w:pPr>
              <w:jc w:val="left"/>
            </w:pPr>
            <w:r>
              <w:rPr>
                <w:rFonts w:ascii="Times New Roman" w:hAnsi="Times New Roman"/>
                <w:sz w:val="17"/>
              </w:rPr>
              <w:t>Рання зупинка за Callback при точності &gt;= 99.9%</w:t>
            </w:r>
          </w:p>
        </w:tc>
      </w:tr>
      <w:tr>
        <w:tc>
          <w:tcPr>
            <w:tcW w:type="dxa" w:w="1260"/>
          </w:tcPr>
          <w:p>
            <w:pPr>
              <w:jc w:val="left"/>
            </w:pPr>
            <w:r>
              <w:rPr>
                <w:rFonts w:ascii="Times New Roman" w:hAnsi="Times New Roman"/>
                <w:sz w:val="17"/>
              </w:rPr>
              <w:t>Dogs vs. Cats (Завд. 4)</w:t>
            </w:r>
          </w:p>
        </w:tc>
        <w:tc>
          <w:tcPr>
            <w:tcW w:type="dxa" w:w="1260"/>
          </w:tcPr>
          <w:p>
            <w:pPr>
              <w:jc w:val="center"/>
            </w:pPr>
            <w:r>
              <w:rPr>
                <w:rFonts w:ascii="Times New Roman" w:hAnsi="Times New Roman"/>
                <w:sz w:val="17"/>
              </w:rPr>
              <w:t>150x150x3</w:t>
            </w:r>
          </w:p>
        </w:tc>
        <w:tc>
          <w:tcPr>
            <w:tcW w:type="dxa" w:w="1260"/>
          </w:tcPr>
          <w:p>
            <w:pPr>
              <w:jc w:val="center"/>
            </w:pPr>
            <w:r>
              <w:rPr>
                <w:rFonts w:ascii="Times New Roman" w:hAnsi="Times New Roman"/>
                <w:sz w:val="17"/>
              </w:rPr>
              <w:t>4 Conv2D + 4 MaxPool + Dropout(0.5)</w:t>
            </w:r>
          </w:p>
        </w:tc>
        <w:tc>
          <w:tcPr>
            <w:tcW w:type="dxa" w:w="1260"/>
          </w:tcPr>
          <w:p>
            <w:pPr>
              <w:jc w:val="center"/>
            </w:pPr>
            <w:r>
              <w:rPr>
                <w:rFonts w:ascii="Times New Roman" w:hAnsi="Times New Roman"/>
                <w:sz w:val="17"/>
              </w:rPr>
              <w:t>3,453,121 (~3.45M)</w:t>
            </w:r>
          </w:p>
        </w:tc>
        <w:tc>
          <w:tcPr>
            <w:tcW w:type="dxa" w:w="1260"/>
          </w:tcPr>
          <w:p>
            <w:pPr>
              <w:jc w:val="center"/>
            </w:pPr>
            <w:r>
              <w:rPr>
                <w:rFonts w:ascii="Times New Roman" w:hAnsi="Times New Roman"/>
                <w:sz w:val="17"/>
              </w:rPr>
              <w:t>82.40%</w:t>
            </w:r>
          </w:p>
        </w:tc>
        <w:tc>
          <w:tcPr>
            <w:tcW w:type="dxa" w:w="1260"/>
          </w:tcPr>
          <w:p>
            <w:pPr>
              <w:jc w:val="center"/>
            </w:pPr>
            <w:r>
              <w:rPr>
                <w:rFonts w:ascii="Times New Roman" w:hAnsi="Times New Roman"/>
                <w:sz w:val="17"/>
              </w:rPr>
              <w:t>73.52% (Test)</w:t>
            </w:r>
          </w:p>
        </w:tc>
        <w:tc>
          <w:tcPr>
            <w:tcW w:type="dxa" w:w="1260"/>
          </w:tcPr>
          <w:p>
            <w:pPr>
              <w:jc w:val="center"/>
            </w:pPr>
            <w:r>
              <w:rPr>
                <w:rFonts w:ascii="Times New Roman" w:hAnsi="Times New Roman"/>
                <w:sz w:val="17"/>
              </w:rPr>
              <w:t>~410 с (~6.8 хв)</w:t>
            </w:r>
          </w:p>
        </w:tc>
        <w:tc>
          <w:tcPr>
            <w:tcW w:type="dxa" w:w="1260"/>
          </w:tcPr>
          <w:p>
            <w:pPr>
              <w:jc w:val="left"/>
            </w:pPr>
            <w:r>
              <w:rPr>
                <w:rFonts w:ascii="Times New Roman" w:hAnsi="Times New Roman"/>
                <w:sz w:val="17"/>
              </w:rPr>
              <w:t>Повномасштабний пайплайн із регуляризацією</w:t>
            </w:r>
          </w:p>
        </w:tc>
      </w:tr>
    </w:tbl>
    <w:p>
      <w:pPr>
        <w:spacing w:before="80" w:after="80"/>
      </w:pPr>
    </w:p>
    <w:p>
      <w:pPr>
        <w:keepNext/>
        <w:spacing w:before="120" w:after="40"/>
        <w:jc w:val="center"/>
      </w:pPr>
      <w:r>
        <w:drawing>
          <wp:inline xmlns:a="http://schemas.openxmlformats.org/drawingml/2006/main" xmlns:pic="http://schemas.openxmlformats.org/drawingml/2006/picture">
            <wp:extent cx="5669280" cy="1757638"/>
            <wp:docPr id="10" name="Picture 10"/>
            <wp:cNvGraphicFramePr>
              <a:graphicFrameLocks noChangeAspect="1"/>
            </wp:cNvGraphicFramePr>
            <a:graphic>
              <a:graphicData uri="http://schemas.openxmlformats.org/drawingml/2006/picture">
                <pic:pic>
                  <pic:nvPicPr>
                    <pic:cNvPr id="0" name="models_comparison_barchart.png"/>
                    <pic:cNvPicPr/>
                  </pic:nvPicPr>
                  <pic:blipFill>
                    <a:blip r:embed="rId18"/>
                    <a:stretch>
                      <a:fillRect/>
                    </a:stretch>
                  </pic:blipFill>
                  <pic:spPr>
                    <a:xfrm>
                      <a:off x="0" y="0"/>
                      <a:ext cx="5669280" cy="1757638"/>
                    </a:xfrm>
                    <a:prstGeom prst="rect"/>
                  </pic:spPr>
                </pic:pic>
              </a:graphicData>
            </a:graphic>
          </wp:inline>
        </w:drawing>
      </w:r>
    </w:p>
    <w:p>
      <w:pPr>
        <w:spacing w:before="40" w:after="160"/>
        <w:jc w:val="center"/>
      </w:pPr>
      <w:r>
        <w:rPr>
          <w:rFonts w:ascii="Times New Roman" w:hAnsi="Times New Roman"/>
          <w:i/>
          <w:color w:val="3C3C3C"/>
          <w:sz w:val="20"/>
        </w:rPr>
        <w:t>Рис. — Порівняння точності (Train vs Val/Test), кількості параметрів та часу навчання досліджених моделей</w:t>
      </w:r>
    </w:p>
    <w:p>
      <w:pPr>
        <w:keepNext/>
        <w:spacing w:before="280" w:after="100"/>
      </w:pPr>
      <w:r>
        <w:rPr>
          <w:rFonts w:ascii="Times New Roman" w:hAnsi="Times New Roman"/>
          <w:b/>
          <w:color w:val="000000"/>
          <w:sz w:val="26"/>
        </w:rPr>
        <w:t>Висновки:</w:t>
      </w:r>
    </w:p>
    <w:p>
      <w:pPr>
        <w:spacing w:before="0" w:after="80"/>
      </w:pPr>
      <w:r>
        <w:rPr>
          <w:rFonts w:ascii="Times New Roman" w:hAnsi="Times New Roman"/>
          <w:sz w:val="22"/>
        </w:rPr>
        <w:t>Під час виконання лабораторної роботи було практично засвоєно використання потокових генераторів ImageDataGenerator у бібліотеці Keras для завантаження, нормалізації та підготовки власних наборів зображень із диска без перевантаження RAM. Досліджено вплив просторового стиснення зображень, реалізовано автоматичну зупинку за Callback та побудовано повний end-to-end пайплайн класифікації Dogs vs. Cats. На основі проведених експериментів зроблено такі ключові висновки:</w:t>
      </w:r>
    </w:p>
    <w:p>
      <w:pPr>
        <w:spacing w:before="60" w:after="80" w:line="276" w:lineRule="auto"/>
        <w:ind w:left="288"/>
      </w:pPr>
      <w:r>
        <w:rPr>
          <w:rFonts w:ascii="Times New Roman" w:hAnsi="Times New Roman"/>
          <w:b/>
          <w:sz w:val="22"/>
        </w:rPr>
        <w:t xml:space="preserve">1. Потокова обробка даних є обов'язковим стандартом: </w:t>
      </w:r>
      <w:r>
        <w:rPr>
          <w:rFonts w:ascii="Times New Roman" w:hAnsi="Times New Roman"/>
          <w:sz w:val="22"/>
        </w:rPr>
        <w:t>Завантаження 25 000 повноколірних фотографій у форматі float32 безпосередньо в оперативну пам'ять вимагало б понад 10 ГБ RAM. Генератор ImageDataGenerator(rescale=1/255.0) з методом flow_from_directory() забезпечує потокове ліниве зчитування пакетами (batch_size) та паралельну нормалізацію пікселів у фоновому потоці, повністю усуваючи ризик помилки Out-Of-Memory (OOM).</w:t>
      </w:r>
    </w:p>
    <w:p>
      <w:pPr>
        <w:spacing w:before="60" w:after="80" w:line="276" w:lineRule="auto"/>
        <w:ind w:left="288"/>
      </w:pPr>
      <w:r>
        <w:rPr>
          <w:rFonts w:ascii="Times New Roman" w:hAnsi="Times New Roman"/>
          <w:b/>
          <w:sz w:val="22"/>
        </w:rPr>
        <w:t xml:space="preserve">2. Ефект просторового стиснення та парадокс параметрів: </w:t>
      </w:r>
      <w:r>
        <w:rPr>
          <w:rFonts w:ascii="Times New Roman" w:hAnsi="Times New Roman"/>
          <w:sz w:val="22"/>
        </w:rPr>
        <w:t>Зменшення вхідного розміру з 300х300 до 150х150 та вилучення двох згорткових блоків прискорило навчання у 5.1 раза (з 351.6 с до 69.2 с) зі збереженням валідаційної точності на рівні 84.4%. Водночас через ширшу вихідну карту ознак перед Flatten (17х17х64 = 18 496 проти 7х7х64 = 3 136) кількість параметрів повнозв'язного шару Dense зросла у 13 разів (до 9.49 млн вагів), що підтверджує критичну необхідність пулінгу для контролю розміру FC-шарів.</w:t>
      </w:r>
    </w:p>
    <w:p>
      <w:pPr>
        <w:spacing w:before="60" w:after="80" w:line="276" w:lineRule="auto"/>
        <w:ind w:left="288"/>
      </w:pPr>
      <w:r>
        <w:rPr>
          <w:rFonts w:ascii="Times New Roman" w:hAnsi="Times New Roman"/>
          <w:b/>
          <w:sz w:val="22"/>
        </w:rPr>
        <w:t xml:space="preserve">3. Ефективність автоматичної зупинки (Early Stopping): </w:t>
      </w:r>
      <w:r>
        <w:rPr>
          <w:rFonts w:ascii="Times New Roman" w:hAnsi="Times New Roman"/>
          <w:sz w:val="22"/>
        </w:rPr>
        <w:t>Реалізація власного класу Callback (myCallback) на базі tf.keras.callbacks.Callback дозволила припинити навчання рівно в момент досягнення регламентованого порогу точності 99.9% (на епосі 8 із 15). Це запобігає зайвим обчисленням та перенавчанню моделі.</w:t>
      </w:r>
    </w:p>
    <w:p>
      <w:pPr>
        <w:spacing w:before="60" w:after="80" w:line="276" w:lineRule="auto"/>
        <w:ind w:left="288"/>
      </w:pPr>
      <w:r>
        <w:rPr>
          <w:rFonts w:ascii="Times New Roman" w:hAnsi="Times New Roman"/>
          <w:b/>
          <w:sz w:val="22"/>
        </w:rPr>
        <w:t xml:space="preserve">4. Важливість регуляризації Dropout у глибоких CNN: </w:t>
      </w:r>
      <w:r>
        <w:rPr>
          <w:rFonts w:ascii="Times New Roman" w:hAnsi="Times New Roman"/>
          <w:sz w:val="22"/>
        </w:rPr>
        <w:t>У Завданні 4 для набору Dogs vs Cats застосування шару Dropout(0.5) перед шаром Dense(512) забезпечило стабільність градієнтів та дозволило досягти 73.52% точності на незалежній тестовій вибірці з 2 500 зображень без критичного розриву узагальнення.</w:t>
      </w:r>
    </w:p>
    <w:p>
      <w:pPr>
        <w:spacing w:before="60" w:after="80" w:line="276" w:lineRule="auto"/>
        <w:ind w:left="288"/>
      </w:pPr>
      <w:r>
        <w:rPr>
          <w:rFonts w:ascii="Times New Roman" w:hAnsi="Times New Roman"/>
          <w:b/>
          <w:sz w:val="22"/>
        </w:rPr>
        <w:t xml:space="preserve">5. Вплив фонового шуму та вирішальна роль кадрування (Crop): </w:t>
      </w:r>
      <w:r>
        <w:rPr>
          <w:rFonts w:ascii="Times New Roman" w:hAnsi="Times New Roman"/>
          <w:sz w:val="22"/>
        </w:rPr>
        <w:t>Експериментально доведено, що коли тварина займає малу площу кадру на строкатому фоні (трава, людина, каміння), рецептивне поле фільтрів згортки концентрується на сторонніх високочастотних текстурах фону, що веде до хибної класифікації. Кадрування (Crop) вилучає фоновий шум і фокусує нейромережу на ключових біометричних ознаках (вуха, мордочка, очі), виправляючи помилкові класифікації та підвищуючи впевненість моделі до 80–98%.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