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pPr/>
      <w:r>
        <w:rPr>
          <w:b w:val="0"/>
          <w:i w:val="0"/>
        </w:rPr>
        <w:t>Fecha de presentación: [completar según el reglamento vigente]</w:t>
      </w:r>
    </w:p>
    <w:p>
      <w:pPr/>
      <w:r>
        <w:rPr>
          <w:b w:val="0"/>
          <w:i w:val="0"/>
        </w:rPr>
        <w:t>Tribunal evaluador: [completar con la composición designada]</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así como la actualización en tiempo real del tablero.</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as well as the real-time updating of the dashboard.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i w:val="0"/>
        </w:rPr>
        <w:t>6.3 Incidente de seguridad abierto</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entidad-relación del modelo de datos (§4.4)</w:t>
      </w:r>
    </w:p>
    <w:p>
      <w:pPr>
        <w:pStyle w:val="TDC1"/>
      </w:pPr>
      <w:r>
        <w:rPr>
          <w:b w:val="0"/>
          <w:i w:val="0"/>
        </w:rPr>
        <w:t>Figura 3. Máquinas de estados del lead y del trabajo (§4.4)</w:t>
      </w:r>
    </w:p>
    <w:p>
      <w:pPr>
        <w:pStyle w:val="TDC1"/>
      </w:pPr>
      <w:r>
        <w:rPr>
          <w:b w:val="0"/>
          <w:i w:val="0"/>
        </w:rPr>
        <w:t>Figura 4. Diagrama de secuencia del flujo de aceptación y facturación (§4.3.2)</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y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lo que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demostrando la viabilidad técnica de delegar en el sistema las tareas administrativas que hoy se ejecutan de forma manual.</w:t>
      </w:r>
    </w:p>
    <w:p>
      <w:pPr/>
      <w:r>
        <w:rPr>
          <w:b/>
          <w:i w:val="0"/>
        </w:rPr>
        <w:t>Delimitación del objetivo general.</w:t>
      </w:r>
      <w:r>
        <w:rPr>
          <w:b w:val="0"/>
          <w:i w:val="0"/>
        </w:rPr>
        <w:t xml:space="preserve"> Una formulación anterior de este objetivo incorporaba el resultado «reduciendo la carga administrativa manual». Se la reemplazó porque ningún objetivo específico operacionaliza esa variable y ningún escenario de validación la mide: el trabajo no define «carga administrativa» en términos medibles, no establece una línea de base previa y no toma una medición posterior. Mantener la promesa habría dejado al trabajo concluyendo sobre algo que su estrategia de validación no puede acreditar.</w:t>
      </w:r>
    </w:p>
    <w:p>
      <w:pPr/>
      <w:r>
        <w:rPr>
          <w:b w:val="0"/>
          <w:i w:val="0"/>
        </w:rPr>
        <w:t xml:space="preserve">Se propone, para el trabajo futuro que sí la mida,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entendiendo por acción manual toda interacción del profesional con una herramienta (redactar un correo, copiar datos entre sistemas, generar un documento, actualizar una planilla). La comparación exigiría medir una muestra de leads gestionados manualmente y otra gestionada por el sistema. El Capítulo 8 recoge esta línea.</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w:t>
      </w:r>
      <w:r>
        <w:rPr>
          <w:b w:val="0"/>
          <w:i w:val="0"/>
        </w:rPr>
        <w:t xml:space="preserve"> No se define operacionalmente ni se mide (§1.5). El trabajo acredita que los flujos funcionan,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i w:val="0"/>
        </w:rPr>
        <w:t>Pasarela de pago real.</w:t>
      </w:r>
      <w:r>
        <w:rPr>
          <w:b w:val="0"/>
          <w:i w:val="0"/>
        </w:rPr>
        <w:t xml:space="preserve"> La integración con MercadoPago (§4.3.3) no se validó con una operación en producción: las pruebas se ejecutaron con credenciales de prueba, y cuando no hay credenciales reales configuradas el sistema cae a un modo de desarrollo que confirma el cobro sin depender del proveedor.</w:t>
      </w:r>
    </w:p>
    <w:p>
      <w:pPr>
        <w:pStyle w:val="Prrafodelista"/>
      </w:pPr>
      <w:r>
        <w:rPr>
          <w:b/>
          <w:i w:val="0"/>
        </w:rPr>
        <w:t>Validez fiscal de los comprobantes.</w:t>
      </w:r>
      <w:r>
        <w:rPr>
          <w:b w:val="0"/>
          <w:i w:val="0"/>
        </w:rPr>
        <w:t xml:space="preserve"> El documento que el sistema genera y titula «FACTURA» es un </w:t>
      </w:r>
      <w:r>
        <w:rPr>
          <w:b w:val="0"/>
          <w:i/>
        </w:rPr>
        <w:t>comprobante interno sin valor fiscal</w:t>
      </w:r>
      <w:r>
        <w:rPr>
          <w:b w:val="0"/>
          <w:i w:val="0"/>
        </w:rPr>
        <w:t>: no contempla los requisitos del régimen de facturación electrónica argentino —CUIT del emisor, condición frente al IVA, tipo de comprobante ni código de autorización electrónica—. Su incorporación se plantea como trabajo futuro (Capítulo 8).</w:t>
      </w:r>
    </w:p>
    <w:p>
      <w:pPr>
        <w:pStyle w:val="Prrafodelista"/>
      </w:pPr>
      <w:r>
        <w:rPr>
          <w:b/>
          <w:i w:val="0"/>
        </w:rPr>
        <w:t>Tratamiento de datos personales.</w:t>
      </w:r>
      <w:r>
        <w:rPr>
          <w:b w:val="0"/>
          <w:i w:val="0"/>
        </w:rPr>
        <w:t xml:space="preserve"> El sistema capta, almacena y transfiere a terceros (Supabase, Gmail, Telegram y Notion) datos de contacto de personas físicas identificables. No se implementan aviso de privacidad, consentimiento informado, política de retención ni registro de la base conforme a la Ley 25.326 de Protección de Datos Personales. La dimensión se discute en el Capítulo 6 y se difiere al Capítulo 8.</w:t>
      </w:r>
    </w:p>
    <w:p>
      <w:pPr>
        <w:pStyle w:val="Prrafodelista"/>
      </w:pPr>
      <w:r>
        <w:rPr>
          <w:b/>
          <w:i w:val="0"/>
        </w:rPr>
        <w:t>Autenticación de origen de los webhooks. Siete de los doce webhooks no verifican la identidad de quien los invoca; los cuatro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la que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n8n es una plataforma de automatización de flujos de trabajo que permite integrar aplicaciones y servicios mediante nodos configurables conectados en un lienzo visual (n8n.io,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roofErr w:type="spellStart"/>
      <w:r/>
      <w:proofErr w:type="spellEnd"/>
      <w:r/>
      <w:proofErr w:type="spellStart"/>
      <w:r/>
      <w:proofErr w:type="spellEnd"/>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frente a alternativas basadas en aprendizaje automático que exigen volúmenes históricos de los que este trabajo no dispone (Wu, Andreev y Benyoucef, 2023).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lo que motiva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2023), pero esa literatura no trata específicamente la adopción de plataformas iPaaS —una búsqueda dirigida a ese tema no encontró resultados arbitrados sólidos posteriores a 2020, laguna que se reconoce en vez de forzar una cita débil—, ni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que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b w:val="0"/>
          <w:i w:val="0"/>
        </w:rPr>
        <w:t>La Tabla 2 presenta los requisitos no funcionales (RNF), organizados según las características de calidad de la norma ISO/IEC 25010:2023, segunda edición del modelo de calidad del producto de software, que cancela y reemplaza a la edición 2011 empleada en una versión anterior de este trabajo. Dos características cambiaron de nombre en la edición vigente: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b w:val="0"/>
                <w:i w:val="0"/>
                <w:sz w:val="14"/>
              </w:rPr>
              <w:t xml:space="preserve">20 altas consecutivas con el tablero abierto, midiendo el intervalo entre </w:t>
            </w:r>
            <w:r>
              <w:rPr>
                <w:b w:val="0"/>
                <w:i w:val="0"/>
                <w:sz w:val="14"/>
                <w:rFonts w:ascii="Consolas" w:hAnsi="Consolas" w:cs="Consolas"/>
              </w:rPr>
              <w:t>fecha_ingreso</w:t>
            </w:r>
            <w:r>
              <w:rPr>
                <w:b w:val="0"/>
                <w:i w:val="0"/>
                <w:sz w:val="14"/>
              </w:rPr>
              <w:t xml:space="preserve"> y el repintado de la fila.</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Se recomienda levantar el sistema una vez con esta versión y confirmar que el flujo se importa sin errores antes de dar el punto por cerrado.</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i w:val="0"/>
                <w:sz w:val="14"/>
              </w:rPr>
              <w:t>[completar con la versión del proyecto de Supabase]</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sz w:val="15"/>
              </w:rPr>
              <w:t xml:space="preserve">Frontend en el despliegue de Vercel; n8n y Gotenberg en contenedores locales levantados con </w:t>
            </w:r>
            <w:r>
              <w:rPr>
                <w:b w:val="0"/>
                <w:i w:val="0"/>
                <w:sz w:val="15"/>
                <w:rFonts w:ascii="Consolas" w:hAnsi="Consolas" w:cs="Consolas"/>
              </w:rPr>
              <w:t>docker compose up -d</w:t>
            </w:r>
            <w:r>
              <w:rPr>
                <w:b w:val="0"/>
                <w:i w:val="0"/>
                <w:sz w:val="15"/>
              </w:rPr>
              <w:t xml:space="preserve"> (Anexo G); base de datos en el proyecto gestionado de Supabase. [Completar: sistema operativo y versión de Docker de la máquina de ejecución.]</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141 nodos funcionales —157 en total, incluidas 16 notas de documentación— organizados en doce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doce webhooks, tres procesos programados y 141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y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rPr>
          <w:b w:val="0"/>
          <w:i w:val="0"/>
        </w:rPr>
        <w:t xml:space="preserve">El componente </w:t>
      </w:r>
      <w:r>
        <w:rPr>
          <w:rFonts w:ascii="Consolas" w:hAnsi="Consolas" w:cs="Consolas"/>
          <w:b w:val="0"/>
          <w:i w:val="0"/>
        </w:rPr>
        <w:t>lead-form.tsx</w:t>
      </w:r>
      <w:r>
        <w:rPr>
          <w:b w:val="0"/>
          <w:i w:val="0"/>
        </w:rPr>
        <w:t xml:space="preserve"> presenta el formulario de captación con los campos nombre, correo, teléfono (opcional), tipo de servicio, urgencia, presupuesto —seleccionado mediante un control deslizante entre 100 y 5000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cs="Consolas"/>
          <w:b w:val="0"/>
          <w:i w:val="0"/>
        </w:rPr>
        <w:t>NEXT_PUBLIC_N8N_BASE</w:t>
      </w:r>
      <w:r>
        <w:rPr>
          <w:b w:val="0"/>
          <w:i w:val="0"/>
        </w:rPr>
        <w:t>. Ante una respuesta satisfactoria se muestra una confirmación; ante un error, un mensaje de alerta. Con esto se satisface el OE1 (Figura 5, véase Anexo A). En §4.3.1 se analizan dos consecuencias de este diseño que el trabajo no había discutido: el desajuste entre el rango del control deslizante y los tramos de puntaje, y el hecho de que tres de los nueve valores ponderados del scoring no puedan originarse en este formulario.</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rPr>
          <w:b w:val="0"/>
          <w:i w:val="0"/>
        </w:rPr>
        <w:t>Conviene precisar la naturaleza de esa capa, porque una formulación anterior de este apartado la describía como ejecutada «en el borde» y como el lugar donde «se implementa la protección». Ambas afirmaciones son incorrectas.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El segundo nivel —y el único que constituye un control de acceso efectivo— es el componente de servidor de la ruta protegida. </w:t>
      </w:r>
      <w:r>
        <w:rPr>
          <w:rFonts w:ascii="Consolas" w:hAnsi="Consolas" w:cs="Consolas"/>
          <w:b w:val="0"/>
          <w:i w:val="0"/>
        </w:rPr>
        <w:t>dashboard/page.tsx</w:t>
      </w:r>
      <w:r>
        <w:rPr>
          <w:b w:val="0"/>
          <w:i w:val="0"/>
        </w:rPr>
        <w:t xml:space="preserve"> vuelve a resolver </w:t>
      </w:r>
      <w:r>
        <w:rPr>
          <w:rFonts w:ascii="Consolas" w:hAnsi="Consolas" w:cs="Consolas"/>
          <w:b w:val="0"/>
          <w:i w:val="0"/>
        </w:rPr>
        <w:t>getUser</w:t>
      </w:r>
      <w:r>
        <w:rPr>
          <w:b w:val="0"/>
          <w:i w:val="0"/>
        </w:rPr>
        <w:t xml:space="preserve"> y, además, consulta la tabla </w:t>
      </w:r>
      <w:r>
        <w:rPr>
          <w:rFonts w:ascii="Consolas" w:hAnsi="Consolas" w:cs="Consolas"/>
          <w:b w:val="0"/>
          <w:i w:val="0"/>
        </w:rPr>
        <w:t>profiles</w:t>
      </w:r>
      <w:r>
        <w:rPr>
          <w:b w:val="0"/>
          <w:i w:val="0"/>
        </w:rPr>
        <w:t xml:space="preserve"> y redirige a la raíz a todo usuario cuyo </w:t>
      </w:r>
      <w:r>
        <w:rPr>
          <w:rFonts w:ascii="Consolas" w:hAnsi="Consolas" w:cs="Consolas"/>
          <w:b w:val="0"/>
          <w:i w:val="0"/>
        </w:rPr>
        <w:t>role</w:t>
      </w:r>
      <w:r>
        <w:rPr>
          <w:b w:val="0"/>
          <w:i w:val="0"/>
        </w:rPr>
        <w:t xml:space="preserve"> no sea </w:t>
      </w:r>
      <w:r>
        <w:rPr>
          <w:rFonts w:ascii="Consolas" w:hAnsi="Consolas" w:cs="Consolas"/>
          <w:b w:val="0"/>
          <w:i w:val="0"/>
        </w:rPr>
        <w:t>admin</w:t>
      </w:r>
      <w:r>
        <w:rPr>
          <w:b w:val="0"/>
          <w:i w:val="0"/>
        </w:rPr>
        <w:t>. No alcanza, por tanto, con estar autenticado: el tablero exige rol de administrador. Esta compuerta de rol no figuraba en versiones anteriores de este apartado, que describían únicamente la validación de sesión y presentaban así un control de acceso más débil que el efectivamente implementado.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cuatro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y las facturas pendientes desde la vista </w:t>
      </w:r>
      <w:r>
        <w:rPr>
          <w:rFonts w:ascii="Consolas" w:hAnsi="Consolas" w:cs="Consolas"/>
          <w:b w:val="0"/>
          <w:i w:val="0"/>
        </w:rPr>
        <w:t>facturas_pendientes</w:t>
      </w:r>
      <w:r>
        <w:rPr>
          <w:b w:val="0"/>
          <w:i w:val="0"/>
        </w:rPr>
        <w:t xml:space="preserve">. Presenta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141 nodos funcionales (157 en total, incluidas 16 notas adhesivas de documentación) y organiza la lógica de negocio en varios procesos: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avanzan a la generación y el envío de la propuesta por correo, mientras que los COLD solo generan una notificación por </w:t>
      </w:r>
      <w:proofErr w:type="spellStart"/>
      <w:r>
        <w:t>Telegram</w:t>
      </w:r>
      <w:proofErr w:type="spellEnd"/>
      <w:r>
        <w:t>, evitando invertir esfuerzo comercial en oportunidades de baja prioridad (OE2).</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t xml:space="preserve">  (incluye la opción «Otro» del formulario)</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no puede originarse desde el formulario y se documenta por completitud del modelo.</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w:t>
      </w:r>
    </w:p>
    <w:p>
      <w:pPr/>
      <w:r>
        <w:rPr>
          <w:b w:val="0"/>
          <w:i w:val="0"/>
        </w:rPr>
        <w:t>El mapeo de servicios merece una precisión, porque una versión anterior de este apartado declaraba dos valores por omisión distintos para el mismo campo. Se trata de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soporte</w:t>
      </w:r>
      <w:r>
        <w:rPr>
          <w:b w:val="0"/>
          <w:i w:val="0"/>
        </w:rPr>
        <w:t xml:space="preserve">. Es decir, «Otro» no cae en un valor por omisión: tiene una traducción declarada, que es </w:t>
      </w:r>
      <w:r>
        <w:rPr>
          <w:rFonts w:ascii="Consolas" w:hAnsi="Consolas" w:cs="Consolas"/>
          <w:b w:val="0"/>
          <w:i w:val="0"/>
        </w:rPr>
        <w:t>soporte</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desarrollo_web</w:t>
      </w:r>
      <w:r>
        <w:rPr>
          <w:b w:val="0"/>
          <w:i w:val="0"/>
        </w:rPr>
        <w:t>. Este valor no se aplica nunca a una selección hecha en el formulario.</w:t>
      </w:r>
    </w:p>
    <w:p>
      <w:pPr/>
      <w:r>
        <w:rPr>
          <w:b w:val="0"/>
          <w:i w:val="0"/>
        </w:rPr>
        <w:t>De este modo, toda selección del formulario recibe una ponderación de servicio determinada y trazable. Corresponde, no obstante, señalar tres consecuencias del diseño que el trabajo no había discutido y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recibe la ponderación mínima.</w:t>
      </w:r>
      <w:r>
        <w:rPr>
          <w:b w:val="0"/>
          <w:i w:val="0"/>
        </w:rPr>
        <w:t xml:space="preserve"> Al traducirse a </w:t>
      </w:r>
      <w:r>
        <w:rPr>
          <w:rFonts w:ascii="Consolas" w:hAnsi="Consolas" w:cs="Consolas"/>
          <w:b w:val="0"/>
          <w:i w:val="0"/>
        </w:rPr>
        <w:t>soporte</w:t>
      </w:r>
      <w:r>
        <w:rPr>
          <w:b w:val="0"/>
          <w:i w:val="0"/>
        </w:rPr>
        <w:t>, todo proyecto atípico obtiene 5 puntos por tipo de servicio: la penalización máxima. El sesgo empuja hacia COLD, precisamente, las oportunidades que el sistema no supo clasificar, incluidas las de alto valor. Un presupuesto de 5000 dólares con urgencia alta y «Otro» alcanza 85 puntos y sigue siendo HOT, pero uno de 1000 dólares con urgencia media pasa de WARM a COLD por esta única razón. Una asignación neutra —o dejar el lead pendiente de revisión manual— sería preferible; se registra como mejora en el Capítulo 8.</w:t>
      </w:r>
    </w:p>
    <w:p>
      <w:pPr>
        <w:pStyle w:val="Prrafodelista"/>
      </w:pPr>
      <w:r>
        <w:rPr>
          <w:b/>
          <w:i w:val="0"/>
        </w:rPr>
        <w:t>El control de entrada y los tramos de puntaje no fueron alineados.</w:t>
      </w:r>
      <w:r>
        <w:rPr>
          <w:b w:val="0"/>
          <w:i w:val="0"/>
        </w:rPr>
        <w:t xml:space="preserve"> El deslizante abarca de 100 a 5000 dólares y la Tabla 5 asigna 0 puntos por debajo de 300, de modo que el tramo inferior del propio control no puntúa; en el extremo opuesto, los 40 puntos solo se alcanzan en el valor máximo exacto del deslizante.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t xml:space="preserve">cliente y, en paralelo, produce la factura en HTML, la convierte a PDF mediante el servicio </w:t>
      </w:r>
      <w:proofErr w:type="spellStart"/>
      <w:r>
        <w:t>Gotenberg</w:t>
      </w:r>
      <w:proofErr w:type="spellEnd"/>
      <w:r>
        <w:t xml:space="preserve"> (Figura 13,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9, véase Anexo A)</w:t>
      </w:r>
      <w:r>
        <w:t>.</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4 representa la secuencia completa y delimita el alcance de la transacción.</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4.</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—a diferencia de la confirmación en sí, que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el mismo endpoint que documentaban versiones anteriores de este apartado (Figura 10, véase Anexo A).</w:t>
      </w:r>
      <w:r>
        <w:rPr>
          <w:rFonts w:ascii="Consolas" w:hAnsi="Consolas" w:cs="Consolas"/>
          <w:b w:val="0"/>
          <w:i w:val="0"/>
        </w:rPr>
      </w:r>
      <w:r>
        <w:rPr>
          <w:b w:val="0"/>
          <w:i w:val="0"/>
        </w:rPr>
      </w:r>
      <w:r>
        <w:rPr>
          <w:b w:val="0"/>
          <w:i/>
        </w:rPr>
      </w:r>
      <w:r>
        <w:rPr>
          <w:b w:val="0"/>
          <w:i w:val="0"/>
        </w:rPr>
      </w:r>
      <w:r>
        <w:rPr>
          <w:b w:val="0"/>
          <w:i/>
        </w:rPr>
      </w:r>
      <w:r>
        <w:rPr>
          <w:b w:val="0"/>
          <w:i w:val="0"/>
        </w:rPr>
      </w:r>
    </w:p>
    <w:p>
      <w:pPr/>
      <w:r>
        <w:rPr>
          <w:b/>
          <w:i w:val="0"/>
        </w:rPr>
        <w:t>Modelo de confianza del modo de desarrollo. El endpoint GET /webhook/pago-confirmado —vigente solo cuando no hay credenciales reales configuradas— conserva el defecto que señalaba una versión anterior de este apartado: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r>
        <w:rPr>
          <w:b w:val="0"/>
          <w:i w:val="0"/>
        </w:rPr>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A diferencia de los demás webhooks, este no se invoca desde ninguna ruta del frontend ni desde un proceso programado: en el estado actual del sistema lo dispara manualmente el profesional, mediante una petición directa. Incorporar la acción de cierre al tablero interno es una tarea pendiente que se registra en el Capítulo 8; mientras tanto, la Tabla 10 consigna el origen real de cada invocación.</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prepara uno de tres mensajes según el número de seguimiento,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a 3 días, aviso el día del vencimiento, aviso de vencida hasta 3 días y aviso urgente a partir de allí—, envía el correo correspondiente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rPr>
          <w:b w:val="0"/>
          <w:i w:val="0"/>
        </w:rPr>
        <w:t>El modelo relacional se compone de cinco tablas y dos vistas: cuatro tablas de negocio —</w:t>
      </w:r>
      <w:r>
        <w:rPr>
          <w:rFonts w:ascii="Consolas" w:hAnsi="Consolas" w:cs="Consolas"/>
          <w:b w:val="0"/>
          <w:i w:val="0"/>
        </w:rPr>
        <w:t>leads</w:t>
      </w:r>
      <w:r>
        <w:rPr>
          <w:b w:val="0"/>
          <w:i w:val="0"/>
        </w:rPr>
        <w:t xml:space="preserve">, </w:t>
      </w:r>
      <w:r>
        <w:rPr>
          <w:rFonts w:ascii="Consolas" w:hAnsi="Consolas" w:cs="Consolas"/>
          <w:b w:val="0"/>
          <w:i w:val="0"/>
        </w:rPr>
        <w:t>facturas</w:t>
      </w:r>
      <w:r>
        <w:rPr>
          <w:b w:val="0"/>
          <w:i w:val="0"/>
        </w:rPr>
        <w:t xml:space="preserve">, </w:t>
      </w:r>
      <w:r>
        <w:rPr>
          <w:rFonts w:ascii="Consolas" w:hAnsi="Consolas" w:cs="Consolas"/>
          <w:b w:val="0"/>
          <w:i w:val="0"/>
        </w:rPr>
        <w:t>seguimientos</w:t>
      </w:r>
      <w:r>
        <w:rPr>
          <w:b w:val="0"/>
          <w:i w:val="0"/>
        </w:rPr>
        <w:t xml:space="preserve"> y </w:t>
      </w:r>
      <w:r>
        <w:rPr>
          <w:rFonts w:ascii="Consolas" w:hAnsi="Consolas" w:cs="Consolas"/>
          <w:b w:val="0"/>
          <w:i w:val="0"/>
        </w:rPr>
        <w:t>logs</w:t>
      </w:r>
      <w:r>
        <w:rPr>
          <w:b w:val="0"/>
          <w:i w:val="0"/>
        </w:rPr>
        <w:t xml:space="preserve">— y la tabla </w:t>
      </w:r>
      <w:r>
        <w:rPr>
          <w:rFonts w:ascii="Consolas" w:hAnsi="Consolas" w:cs="Consolas"/>
          <w:b w:val="0"/>
          <w:i w:val="0"/>
        </w:rPr>
        <w:t>profiles</w:t>
      </w:r>
      <w:r>
        <w:rPr>
          <w:b w:val="0"/>
          <w:i w:val="0"/>
        </w:rPr>
        <w:t xml:space="preserve">, que asigna a cada usuario un rol de aplicación (§4.6). La Figura 2 presenta el diagrama entidad-relación completo, con los tipos de dato, las claves, las restricciones de integridad y los valores por defecto tomados del archivo </w:t>
      </w:r>
      <w:r>
        <w:rPr>
          <w:rFonts w:ascii="Consolas" w:hAnsi="Consolas" w:cs="Consolas"/>
          <w:b w:val="0"/>
          <w:i w:val="0"/>
        </w:rPr>
        <w:t>db/schema.sql</w:t>
      </w:r>
      <w:r>
        <w:rPr>
          <w:b w:val="0"/>
          <w:i w:val="0"/>
        </w:rPr>
        <w:t xml:space="preserve"> del repositorio; la Tabla 6 describe la tabla </w:t>
      </w:r>
      <w:r>
        <w:rPr>
          <w:rFonts w:ascii="Consolas" w:hAnsi="Consolas" w:cs="Consolas"/>
          <w:b w:val="0"/>
          <w:i w:val="0"/>
        </w:rPr>
        <w:t>leads</w:t>
      </w:r>
      <w:r>
        <w:rPr>
          <w:b w:val="0"/>
          <w:i w:val="0"/>
        </w:rPr>
        <w:t>, núcleo del sistema, y la Tabla 7 resume las restantes. El esquema declara siete tipos enumerados, integridad referencial con borrado en cascada, seis índices y un disparador que mantiene actualizada la marca temporal de modificación: elementos que versiones anteriores de este apartado no documentaban y que conviene consignar, porque el trabajo perdía crédito por ingeniería efectivamente realizada.</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2.</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en dólares.</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mp_preference_id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 la preferencia de checkout creada en MercadoPago; nulo si la factura se generó en modo de desarrollo.</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mp_payment_id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del pago aprobado, tomado de GET /v1/payments/{id}; nulo hasta la confirmación.</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comision_plataforma</w:t>
            </w:r>
          </w:p>
        </w:tc>
        <w:tc>
          <w:tcPr>
            <w:tcW w:type="dxa" w:w="3175"/>
          </w:tcPr>
          <w:p>
            <w:pPr>
              <w:spacing w:after="40" w:before="40"/>
              <w:jc w:val="left"/>
            </w:pPr>
            <w:r>
              <w:rPr>
                <w:b w:val="0"/>
                <w:i w:val="0"/>
                <w:sz w:val="14"/>
                <w:rFonts w:ascii="Consolas" w:hAnsi="Consolas" w:cs="Consolas"/>
              </w:rPr>
              <w:t>NUMERIC(12,2)</w:t>
            </w:r>
          </w:p>
        </w:tc>
        <w:tc>
          <w:tcPr>
            <w:tcW w:type="dxa" w:w="3685"/>
          </w:tcPr>
          <w:p>
            <w:pPr>
              <w:spacing w:after="40" w:before="40"/>
              <w:jc w:val="left"/>
            </w:pPr>
            <w:r>
              <w:rPr>
                <w:b w:val="0"/>
                <w:i w:val="0"/>
                <w:sz w:val="14"/>
              </w:rPr>
              <w:t>monto × MP_COMISION_PORCENTAJE / 100 (1 % por defecto). Es un valor contable, no una transferencia real: MercadoPago no divide el cobro entre cuentas.</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bl>
    <w:p>
      <w:pPr/>
      <w:r>
        <w:rPr>
          <w:b w:val="0"/>
          <w:i/>
          <w:sz w:val="15"/>
        </w:rPr>
        <w:t>Nota. Elaboración propia a partir de db/schema.sql. Índices: leads(estado), leads(tier) y leads(fecha_ingreso).</w:t>
      </w:r>
    </w:p>
    <w:p w:rsidR="00D60FC7" w:rsidRDefault="00D60FC7"/>
    <w:p w:rsidR="00D60FC7" w:rsidRDefault="00000000">
      <w:pPr>
        <w:spacing w:after="120" w:line="240" w:lineRule="auto"/>
        <w:jc w:val="center"/>
      </w:pPr>
      <w:r>
        <w:rPr>
          <w:sz w:val="20"/>
          <w:szCs w:val="20"/>
        </w:rPr>
        <w:t>Tabla 7. Esquema de las tablas facturas, seguimientos y logs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y seguimientos(lead_id).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sz w:val="15"/>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 que hasta esta revisión no estaban documentados.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3.</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recién ingresado y normalizado, con score cero.</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Score ≥ 40 (niveles HOT y WARM) tras el cálculo del puntaje.</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rPr>
          <w:b w:val="0"/>
          <w:i w:val="0"/>
        </w:rPr>
        <w:t>La comunicación entre el frontend y n8n se realiza mediante los doce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dos columnas que versiones anteriores de este apartado no consignaban: el origen real de cada invocación y el control de origen aplicado. La segunda de ellas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No se invoca desde el frontend</w:t>
            </w:r>
            <w:r>
              <w:rPr>
                <w:b w:val="0"/>
                <w:i w:val="0"/>
                <w:sz w:val="13"/>
              </w:rPr>
              <w:t>: petición manual del profesional (§4.3.4)</w:t>
            </w:r>
          </w:p>
        </w:tc>
        <w:tc>
          <w:tcPr>
            <w:tcW w:type="dxa" w:w="2608"/>
          </w:tcPr>
          <w:p>
            <w:pPr>
              <w:spacing w:after="40" w:before="40"/>
              <w:jc w:val="left"/>
            </w:pPr>
            <w:r>
              <w:rPr>
                <w:b/>
                <w:i w:val="0"/>
                <w:sz w:val="13"/>
              </w:rPr>
              <w:t>Ninguna.</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agrava por el incidente de credenciales descrito en el Capítulo 6.</w:t>
      </w:r>
      <w:r>
        <w:rPr>
          <w:b/>
          <w:i w:val="0"/>
        </w:rPr>
      </w:r>
      <w:r>
        <w:rPr>
          <w:b w:val="0"/>
          <w:i w:val="0"/>
        </w:rPr>
      </w:r>
    </w:p>
    <w:p>
      <w:pPr/>
      <w:r>
        <w:rPr>
          <w:b/>
          <w:i w:val="0"/>
        </w:rPr>
        <w:t>Deudas de seguridad declaradas. El apartado quedaría incompleto si se limitara a describir los mecanismos implementados y omitiera los que faltan. La Tabla 11 las enumera. La más relevante es que siete de los doce webhooks no verifican la identidad de quien los invoca: no hay firma HMAC, ni secreto compartido, ni lista blanca de direcciones, ni mTLS. Los cuatro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puede inyectar leads, cerrar proyectos, alterar el estado de un trabajo o cancelar oportunidades.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Siete de los doce webhooks no autentican el origen de la invocación (§4.5): lead/nuevo, lead-acepta, pago-confirmado (modo desarrollo), proyecto-cerrado, lead-propuesta, lead-rechaza y lead-modifica. Los cuatro invocados desde el tablero interno (trabajo-estado, lead-cancelar, cambio-aceptar, cambio-rechazar)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siete URL sin protección puede inyectar leads, marcar un pago o cerrar un proyecto sin autorización.</w:t>
            </w:r>
          </w:p>
        </w:tc>
        <w:tc>
          <w:tcPr>
            <w:tcW w:type="dxa" w:w="2494"/>
          </w:tcPr>
          <w:p>
            <w:pPr>
              <w:spacing w:after="40" w:before="40"/>
              <w:jc w:val="left"/>
            </w:pPr>
            <w:r>
              <w:rPr>
                <w:b w:val="0"/>
                <w:i w:val="0"/>
                <w:sz w:val="13"/>
              </w:rPr>
              <w:t>Secreto compartido en cabecera o firma HMAC del cuerpo para los siete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El propio cliente —o cualquier reenvío, registro intermedio o rastreador de enlaces— puede marcar una factura como COBRADO sin haber pagado.</w:t>
            </w:r>
          </w:p>
        </w:tc>
        <w:tc>
          <w:tcPr>
            <w:tcW w:type="dxa" w:w="2494"/>
          </w:tcPr>
          <w:p>
            <w:pPr>
              <w:spacing w:after="40" w:before="40"/>
              <w:jc w:val="left"/>
            </w:pPr>
            <w:r>
              <w:rPr>
                <w:b w:val="0"/>
                <w:i w:val="0"/>
                <w:sz w:val="13"/>
              </w:rPr>
              <w:t>Convertir a POST con firma; establecer que COBRADO solo puede originarse en el proveedor de pagos.</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i w:val="0"/>
                <w:sz w:val="13"/>
              </w:rPr>
              <w:t>La confidencialidad y la integridad de los datos no están garantizadas mientras las claves no se roten.</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i w:val="0"/>
                <w:sz w:val="13"/>
              </w:rPr>
              <w:t>Incidente abierto</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borde,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i w:val="0"/>
        </w:rPr>
        <w:t>El desarrollo de este capítulo identificó siete riesgos de diseño que el sistema no resuelve en su estado actual y que conviene reunir para que la discusión (Capítulo 6) y los trabajos futuros (Capítulo 8) los retomen sin dispersión. Cinco son de seguridad y están consignados en la Tabla 11 (S1 a S5, más S7 como incidente abierto).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advertencia sobre el estado de este capítulo. La columna «Resultado esperado» de la Tabla 12 consigna valores derivados aritméticamente de las reglas declaradas en la Tabla 5, de modo que puede verificarse sin ejecutar el sistema. La columna «Resultado observado», en cambio, exige registrar el valor efectivamente producido en cada corrida —el score numérico, el identificador del lead, el estado persistido y la marca temporal— y no admite una paráfrasis del resultado esperado: un resultado observado que reformula al esperado no constituye evidencia. Las celdas marcadas «[registrar]» corresponden a ejecuciones cuyos valores deben consignarse tras reejecutar los escenarios conforme al protocolo. Se optó por dejarlas explícitas antes que completarlas con afirmaciones no respaldadas por una corrida documentada.</w:t>
      </w:r>
    </w:p>
    <w:p>
      <w:pPr/>
      <w:r>
        <w:rPr>
          <w:b w:val="0"/>
          <w:i w:val="0"/>
        </w:rPr>
        <w:t>Alcance de la cobertura: los escenarios E1 a E4 verifican la normalización, la validación y el scoring (OE1 y OE2); E5 y E6, la aceptación, la facturación y la protección por token (OE3); E7, la actualización en tiempo real del tablero (OE4); E8 a E10, los caminos alternativos de la gestión posterior a la propuesta (OE3); y E11 a E13, los tres procesos programados (OE5). Los trece escenarios se trazan en la matriz del Anexo E, que en versiones anteriores omitía E8, E9 y E10.</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 xml:space="preserve">score = 40 + 30 + 20 + 5 + 5 = </w:t>
            </w:r>
            <w:r>
              <w:rPr>
                <w:b/>
                <w:i w:val="0"/>
                <w:sz w:val="13"/>
              </w:rPr>
              <w:t>100</w:t>
            </w:r>
            <w:r>
              <w:rPr>
                <w:b w:val="0"/>
                <w:i w:val="0"/>
                <w:sz w:val="13"/>
              </w:rPr>
              <w:t xml:space="preserve">; nivel HOT; propuesta generada y enviada; estado PROPUESTA_ENVIADA; una fila en </w:t>
            </w:r>
            <w:r>
              <w:rPr>
                <w:b w:val="0"/>
                <w:i w:val="0"/>
                <w:sz w:val="13"/>
                <w:rFonts w:ascii="Consolas" w:hAnsi="Consolas" w:cs="Consolas"/>
              </w:rPr>
              <w:t>leads</w:t>
            </w:r>
            <w:r>
              <w:rPr>
                <w:b w:val="0"/>
                <w:i w:val="0"/>
                <w:sz w:val="13"/>
              </w:rPr>
              <w:t>.</w:t>
            </w:r>
          </w:p>
        </w:tc>
        <w:tc>
          <w:tcPr>
            <w:tcW w:type="dxa" w:w="2041"/>
          </w:tcPr>
          <w:p>
            <w:pPr>
              <w:spacing w:after="40" w:before="40"/>
              <w:jc w:val="left"/>
            </w:pPr>
            <w:r>
              <w:rPr>
                <w:b w:val="0"/>
                <w:i w:val="0"/>
                <w:sz w:val="13"/>
              </w:rPr>
              <w:t>score = [registrar] · lead_id = [registrar] · tier = [registrar] · estado = [registrar] · fecha y hora = [registrar]</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[registrar] · lead_id = [registrar] · tier = [registrar] · estado = [registrar] · fecha y hora = [registrar]</w:t>
            </w:r>
          </w:p>
        </w:tc>
        <w:tc>
          <w:tcPr>
            <w:tcW w:type="dxa" w:w="1928"/>
          </w:tcPr>
          <w:p>
            <w:pPr>
              <w:spacing w:after="40" w:before="40"/>
              <w:jc w:val="left"/>
            </w:pPr>
            <w:r>
              <w:rPr>
                <w:b/>
                <w:i w:val="0"/>
                <w:sz w:val="13"/>
              </w:rPr>
              <w:t>Pendiente:</w:t>
            </w:r>
            <w:r>
              <w:rPr>
                <w:b w:val="0"/>
                <w:i w:val="0"/>
                <w:sz w:val="13"/>
              </w:rPr>
              <w:t xml:space="preserve"> la Figura 16 documenta un caso de </w:t>
            </w:r>
            <w:r>
              <w:rPr>
                <w:b w:val="0"/>
                <w:i w:val="0"/>
                <w:sz w:val="13"/>
                <w:rFonts w:ascii="Consolas" w:hAnsi="Consolas" w:cs="Consolas"/>
              </w:rPr>
              <w:t>diseno_ui</w:t>
            </w:r>
            <w:r>
              <w:rPr>
                <w:b w:val="0"/>
                <w:i w:val="0"/>
                <w:sz w:val="13"/>
              </w:rPr>
              <w:t xml:space="preserve"> por USD 1000 (score 50), que no es el declarado en este escenario. Debe reejecutarse E2 con la entrada declarada y capturarse la fila resultante, o bien redeclararse el escenario conforme al caso efectivamente ejecutado.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[registrar] · lead_id = [registrar] · tier = [registrar] · estado = [registrar] · fecha y hora = [registrar]</w:t>
            </w:r>
          </w:p>
        </w:tc>
        <w:tc>
          <w:tcPr>
            <w:tcW w:type="dxa" w:w="1928"/>
          </w:tcPr>
          <w:p>
            <w:pPr>
              <w:spacing w:after="40" w:before="40"/>
              <w:jc w:val="left"/>
            </w:pPr>
            <w:r>
              <w:rPr>
                <w:b/>
                <w:i w:val="0"/>
                <w:sz w:val="13"/>
              </w:rPr>
              <w:t>Pendiente:</w:t>
            </w:r>
            <w:r>
              <w:rPr>
                <w:b w:val="0"/>
                <w:i w:val="0"/>
                <w:sz w:val="13"/>
              </w:rPr>
              <w:t xml:space="preserve"> la Figura 16 documenta un caso de </w:t>
            </w:r>
            <w:r>
              <w:rPr>
                <w:b w:val="0"/>
                <w:i w:val="0"/>
                <w:sz w:val="13"/>
                <w:rFonts w:ascii="Consolas" w:hAnsi="Consolas" w:cs="Consolas"/>
              </w:rPr>
              <w:t>soporte</w:t>
            </w:r>
            <w:r>
              <w:rPr>
                <w:b w:val="0"/>
                <w:i w:val="0"/>
                <w:sz w:val="13"/>
              </w:rPr>
              <w:t xml:space="preserve"> por USD 100 (score 10), que no es el declarado en este escenario. Debe reejecutarse E3 con la entrada declarada y capturarse la fila resultante, o bien redeclararse el escenario conforme al caso efectivamente ejecutado.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[registrar] · fila de logs = [registrar] · mensaje devuelto = [registrar]</w:t>
            </w:r>
          </w:p>
        </w:tc>
        <w:tc>
          <w:tcPr>
            <w:tcW w:type="dxa" w:w="1928"/>
          </w:tcPr>
          <w:p>
            <w:pPr>
              <w:spacing w:after="40" w:before="40"/>
              <w:jc w:val="left"/>
            </w:pPr>
            <w:r>
              <w:rPr>
                <w:b w:val="0"/>
                <w:i w:val="0"/>
                <w:sz w:val="13"/>
              </w:rPr>
              <w:t xml:space="preserve">Figura 17. </w:t>
            </w:r>
            <w:r>
              <w:rPr>
                <w:b/>
                <w:i w:val="0"/>
                <w:sz w:val="13"/>
              </w:rPr>
              <w:t>Pendiente:</w:t>
            </w:r>
            <w:r>
              <w:rPr>
                <w:b w:val="0"/>
                <w:i w:val="0"/>
                <w:sz w:val="13"/>
              </w:rPr>
              <w:t xml:space="preserve"> la captura actual muestra un único mensaje de error (el del nombre) y no las tres condiciones inválidas simultáneas que declara el escenario.</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lead_id = [registrar] · factura_id = [registrar] · fecha_emision = [registrar] · fecha_vencimiento = [registrar] · estado = [registrar]</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filas en facturas = [registrar] · respuestas devueltas = [registrar] · fecha y hora de cada invocación = [registrar]</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b w:val="0"/>
                <w:i w:val="0"/>
                <w:sz w:val="13"/>
              </w:rPr>
              <w:t>latencia p95 medida = [registrar] s · número de altas = [registrar]</w:t>
            </w:r>
          </w:p>
        </w:tc>
        <w:tc>
          <w:tcPr>
            <w:tcW w:type="dxa" w:w="1928"/>
          </w:tcPr>
          <w:p>
            <w:pPr>
              <w:spacing w:after="40" w:before="40"/>
              <w:jc w:val="left"/>
            </w:pPr>
            <w:r>
              <w:rPr>
                <w:b/>
                <w:i w:val="0"/>
                <w:sz w:val="13"/>
              </w:rPr>
              <w:t>Pendiente:</w:t>
            </w:r>
            <w:r>
              <w:rPr>
                <w:b w:val="0"/>
                <w:i w:val="0"/>
                <w:sz w:val="13"/>
              </w:rPr>
              <w:t xml:space="preserve"> captura del tablero inmediatamente antes y después del alta. La evidencia actual consigna una afirmación («se observa en vivo») y no un artefacto.</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[registrar] · filas en facturas = [registrar] · fecha y hora = [registrar]</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[registrar] · mensaje persistido = [registrar] · fecha y hora = [registrar]</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antes/después = [registrar] · respuesta de la API de Notion = [registrar]</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enviado = [registrar] · fila de seguimientos = [registrar] · contador antes/después = [registrar]</w:t>
            </w:r>
          </w:p>
        </w:tc>
        <w:tc>
          <w:tcPr>
            <w:tcW w:type="dxa" w:w="1928"/>
          </w:tcPr>
          <w:p>
            <w:pPr>
              <w:spacing w:after="40" w:before="40"/>
              <w:jc w:val="left"/>
            </w:pPr>
            <w:r>
              <w:rPr>
                <w:b/>
                <w:i w:val="0"/>
                <w:sz w:val="13"/>
              </w:rPr>
              <w:t>Pendiente:</w:t>
            </w:r>
            <w:r>
              <w:rPr>
                <w:b w:val="0"/>
                <w:i w:val="0"/>
                <w:sz w:val="13"/>
              </w:rPr>
              <w:t xml:space="preserve"> captura del correo recibido y de la fila insertada.</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[registrar] · correo enviado = [registrar] · notificación de Telegram = [registrar]</w:t>
            </w:r>
          </w:p>
        </w:tc>
        <w:tc>
          <w:tcPr>
            <w:tcW w:type="dxa" w:w="1928"/>
          </w:tcPr>
          <w:p>
            <w:pPr>
              <w:spacing w:after="40" w:before="40"/>
              <w:jc w:val="left"/>
            </w:pPr>
            <w:r>
              <w:rPr>
                <w:b/>
                <w:i w:val="0"/>
                <w:sz w:val="13"/>
              </w:rPr>
              <w:t>Pendiente:</w:t>
            </w:r>
            <w:r>
              <w:rPr>
                <w:b w:val="0"/>
                <w:i w:val="0"/>
                <w:sz w:val="13"/>
              </w:rPr>
              <w:t xml:space="preserve"> captura del correo y de la notificación.</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contenido del mensaje = [registrar] · coincidencia con el tablero = [registrar]</w:t>
            </w:r>
          </w:p>
        </w:tc>
        <w:tc>
          <w:tcPr>
            <w:tcW w:type="dxa" w:w="1928"/>
          </w:tcPr>
          <w:p>
            <w:pPr>
              <w:spacing w:after="40" w:before="40"/>
              <w:jc w:val="left"/>
            </w:pPr>
            <w:r>
              <w:rPr>
                <w:b/>
                <w:i w:val="0"/>
                <w:sz w:val="13"/>
              </w:rPr>
              <w:t>Pendiente:</w:t>
            </w:r>
            <w:r>
              <w:rPr>
                <w:b w:val="0"/>
                <w:i w:val="0"/>
                <w:sz w:val="13"/>
              </w:rPr>
              <w:t xml:space="preserve"> captura del mensaje de Telegram. Es la única evidencia que acredita OE5 y hoy no existe en el Anexo A.</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estado_pago antes/después = [registrar] · mp_payment_id persistido = [registrar] · notificación duplicada aplicada una sola vez = [registrar]</w:t>
            </w:r>
          </w:p>
        </w:tc>
        <w:tc>
          <w:tcPr>
            <w:tcW w:type="dxa" w:w="1928"/>
          </w:tcPr>
          <w:p>
            <w:pPr>
              <w:spacing w:after="40" w:before="40"/>
              <w:jc w:val="left"/>
            </w:pPr>
            <w:r>
              <w:rPr>
                <w:b/>
                <w:i w:val="0"/>
                <w:sz w:val="13"/>
              </w:rPr>
              <w:t>Pendiente: requiere credenciales de prueba de MercadoPago y el sistema levantado con MP_ACCESS_TOKEN configurado.</w:t>
            </w:r>
            <w:r>
              <w:rPr>
                <w:b w:val="0"/>
                <w:i w:val="0"/>
                <w:sz w:val="13"/>
              </w:rPr>
            </w:r>
          </w:p>
        </w:tc>
      </w:tr>
    </w:tbl>
    <w:p>
      <w:pPr/>
      <w:r>
        <w:rPr>
          <w:b w:val="0"/>
          <w:i/>
          <w:sz w:val="15"/>
        </w:rPr>
        <w:t>Nota. Elaboración propia. Los valores de la columna «Resultado esperado» se derivan de las reglas de la Tabla 5 y son verificables por cálculo. Las celdas «[registrar]» y las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Durante el desarrollo se ejecutaron de forma informal los trece escenarios, sin registro documentado del momento ni de los valores obtenidos; esa ejecución no constituye evidencia y no se invoca como tal. Lo que este capítulo no puede acreditar todavía, y por ello se consigna con precisión, son los valores asociados a cada corrida: los escenarios se ejecutaron una sola vez cada uno, sin registrar el score numérico, el identificador del lead ni la marca temporal, de modo que no puede establecerse repetibilidad. Reejecutarlos conforme al protocolo de la Tabla 4 es la tarea pendiente de mayor rendimiento de todo el capítulo, y no exige modificar el sistema.</w:t>
      </w:r>
      <w:r>
        <w:rPr>
          <w:b w:val="0"/>
          <w:i/>
        </w:rPr>
      </w:r>
      <w:r>
        <w:rPr>
          <w:b w:val="0"/>
          <w:i w:val="0"/>
        </w:rPr>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 xml:space="preserve">De esa delimitación se sigue una carencia que corresponde declarar: </w:t>
      </w:r>
      <w:r>
        <w:rPr>
          <w:b w:val="0"/>
          <w:i/>
        </w:rPr>
        <w:t>el trabajo no dispone de pruebas funcionales automatizadas</w:t>
      </w:r>
      <w:r>
        <w:rPr>
          <w:b w:val="0"/>
          <w:i w:val="0"/>
        </w:rPr>
        <w:t>. No existe una sola aserción sobre el valor del score, sobre los umbrales de clasificación en niveles ni sobre las transiciones de estado, que son precisamente las reglas que constituyen el aporte declarado. Un conjunto mínimo de aserciones sobre los casos de la Tabla 5 y sobre las transiciones de la Tabla 9 —comprobar, por ejemplo, que la entrada de E1 produce 100 y que la de E2 produce 47— cerraría la brecha con un esfuerzo acotado, y protegería frente a regresiones el componente más sensible del sistema. Se registra en el Capítulo 8.</w:t>
      </w:r>
    </w:p>
    <w:p>
      <w:pPr/>
      <w:r>
        <w:rPr>
          <w:b w:val="0"/>
          <w:i w:val="0"/>
        </w:rPr>
        <w:t>Ninguno de los once requisitos funcionales ni de los siete requisitos no funcionales se verifica hoy de forma individual. La Tabla 2 los enuncia con umbral y método de verificación precisamente para hacerlo posible; el Anexo E incorpora las columnas que trazan cada requisito contra el escenario que lo ejercita, con las celdas de resultado pendientes de completar.</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tres de los nueve valores de servicio ponderados no pueden originarse desde el formulario, y la opción «Otro» recibe la ponderación mínima, lo que sesga hacia COLD precisamente las oportunidades que el sistema no supo clasificar.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p>
      <w:pPr>
        <w:keepNext/>
      </w:pPr>
      <w:r>
        <w:rPr>
          <w:b w:val="0"/>
          <w:i w:val="0"/>
        </w:rPr>
        <w:t>Tabla 14. Comparación funcional frente a las alternativas revisadas en §2.7</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a cambio de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Las celdas monetarias quedan expresamente sin completar porque este trabajo no operó en producción ni verificó tarifas vigentes: consignar cifras no comprobadas reproduciría el defecto que esta tabla viene a corregir. Deben completarse con las tarifas publicadas en la fecha de presentación, indicando esa fecha de consulta.</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lo que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i w:val="0"/>
        </w:rPr>
        <w:t>La arquitectura es híbrida, no autoalojada.</w:t>
      </w:r>
      <w:r>
        <w:rPr>
          <w:b w:val="0"/>
          <w:i w:val="0"/>
        </w:rPr>
        <w:t xml:space="preserve"> El sistema depende de cinco servicios gestionados por terceros: Supabase, Vercel, Gmail, Telegram y Notion. Solo n8n es efectivamente autoalojado, y en un equipo local. La «propiedad total del dato» que §2.8 invocaba como razón para construir no se verifica en el artefacto y así quedó reformulada.</w:t>
      </w:r>
    </w:p>
    <w:p>
      <w:pPr>
        <w:pStyle w:val="Prrafodelista"/>
      </w:pPr>
      <w:r>
        <w:rPr>
          <w:b/>
          <w:i w:val="0"/>
        </w:rPr>
        <w:t>El sistema tiene deudas de seguridad conocidas y no resueltas. La Tabla 11 las enumera. La más grave, por su consecuencia de negocio, es que el modo de desarrollo del webhook de pago sigue siendo alcanzable desde el enlace que recibe el propio deudor cuando no hay credenciales de MercadoPago configuradas. La más amplia es que siete de los doce webhooks no autentican el origen de la invocación. Ninguna de las dos impide la demostración de viabilidad técnica, pero ambas impiden el uso con clientes reales.</w:t>
      </w:r>
      <w:r>
        <w:rPr>
          <w:b w:val="0"/>
          <w:i w:val="0"/>
        </w:rPr>
      </w:r>
    </w:p>
    <w:p>
      <w:pPr>
        <w:pStyle w:val="Prrafodelista"/>
      </w:pPr>
      <w:r>
        <w:rPr>
          <w:b/>
          <w:i w:val="0"/>
        </w:rPr>
        <w:t>El sistema opera fuera de dos marcos normativos aplicables.</w:t>
      </w:r>
      <w:r>
        <w:rPr>
          <w:b w:val="0"/>
          <w:i w:val="0"/>
        </w:rPr>
        <w:t xml:space="preserve"> El comprobante que genera no cumple los requisitos del régimen de facturación electrónica argentino y el tratamiento de datos de contacto de personas identificables no contempla la Ley 25.326 (§1.7). Ambas dimensiones son directamente aplicables al artefacto y su omisión es una limitación del trabajo, no una decisión de alcance neutra.</w:t>
      </w:r>
    </w:p>
    <w:p>
      <w:pPr>
        <w:pStyle w:val="Ttulo2"/>
      </w:pPr>
      <w:r>
        <w:rPr>
          <w:b w:val="0"/>
          <w:i w:val="0"/>
        </w:rPr>
        <w:t>6.3 Incidente de seguridad abierto</w:t>
      </w:r>
    </w:p>
    <w:p>
      <w:pPr/>
      <w:r>
        <w:rPr>
          <w:b w:val="0"/>
          <w:i w:val="0"/>
        </w:rPr>
        <w:t>Durante la configuración inicial del proyecto de Supabase, la secret key y la service_role key se compartieron por un canal de mensajería no seguro. Ninguna de las dos se utilizó en el código ni se almacenó en el repositorio: el frontend emplea únicamente la clave pública, y el motor de automatización guarda la service_role key en sus credenciales internas. Pese a eso, la exposición ocurrió y no ha sido revertida. El proyecto de Supabase pertenece a un tercero, y la regeneración de esas claves requiere un rol de administrador del que el equipo no dispone.</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Esto no es una línea de trabajo futuro sino un incidente de seguridad abierto, y como tal se consigna aquí y en la Tabla 11 (S7). Su relevancia es directa: según §4.6, la </w:t>
      </w:r>
      <w:r>
        <w:rPr>
          <w:rFonts w:ascii="Consolas" w:hAnsi="Consolas" w:cs="Consolas"/>
          <w:b w:val="0"/>
          <w:i w:val="0"/>
        </w:rPr>
        <w:t>service_role key</w:t>
      </w:r>
      <w:r>
        <w:rPr>
          <w:b w:val="0"/>
          <w:i w:val="0"/>
        </w:rPr>
        <w:t xml:space="preserve"> evade por diseño la seguridad a nivel de fila y es la única credencial con permiso de escritura sobre las cinco tablas. Mientras no se rote, la integridad de los datos no está garantizada. La resolución —gestionar el acceso con el titular del proyecto o migrar a un proyecto propio— debe completarse antes de cualquier uso real y, preferentemente, antes de la defensa.</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E5–E6).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en tiempo real (escenario E7). </w:t>
      </w:r>
      <w:r>
        <w:rPr>
          <w:b/>
        </w:rPr>
        <w:t>Cumplido.</w:t>
      </w:r>
    </w:p>
    <w:p w:rsidR="00D60FC7" w:rsidRDefault="00000000">
      <w:pPr>
        <w:pStyle w:val="Prrafodelista"/>
        <w:numPr>
          <w:ilvl w:val="0"/>
          <w:numId w:val="1"/>
        </w:numPr>
      </w:pPr>
      <w:r>
        <w:rPr>
          <w:b/>
        </w:rPr>
        <w:t>OE5.</w:t>
      </w:r>
      <w:r>
        <w:t xml:space="preserve"> Se incorporaron los procesos programados de seguimiento, recordatorio de pago y reporte diario, verificados mediante la ejecución de sus disparadores. </w:t>
      </w:r>
      <w:r>
        <w:rPr>
          <w:b/>
        </w:rPr>
        <w:t>Cumplido.</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La trazabilidad, segundo término de la pregunta de investigación,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Quedan igualmente sugeridos, pero no demostrados, la mejora de indicadores comerciales reales y el menor costo operativo frente a las alternativas comerciales: el primero dependería de una operación en producción y el segundo, de completar la estimación de la Tabla 13 con tarifas verificadas.</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i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Se excluye deliberadamente de esta lista la rotación de credenciales comprometidas: no es una línea de trabajo futuro sino un incidente de seguridad abierto y se trata como tal en §6.3.</w:t>
      </w:r>
    </w:p>
    <w:p>
      <w:pPr/>
      <w:r>
        <w:rPr>
          <w:b/>
          <w:i w:val="0"/>
        </w:rPr>
        <w:t>1. Cerrar las deudas de seguridad declaradas en la Tabla 11. Implementar autenticación de origen en los siete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que es el síntoma de un fallo del nodo de scoring (§4.3.1).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i w:val="0"/>
        </w:rPr>
        <w:t>5. Completar el cumplimiento normativo.</w:t>
      </w:r>
      <w:r>
        <w:rPr>
          <w:b w:val="0"/>
          <w:i w:val="0"/>
        </w:rPr>
        <w:t xml:space="preserve"> Incorporar los requisitos del régimen de facturación electrónica argentino para que el comprobante tenga validez fiscal, y el tratamiento de datos personales conforme a la Ley 25.326: aviso de privacidad en el formulario, consentimiento informado, política de retención y registro de la base.</w:t>
      </w:r>
    </w:p>
    <w:p>
      <w:pPr/>
      <w:r>
        <w:rPr>
          <w:b/>
          <w:i w:val="0"/>
        </w:rPr>
        <w:t>6. Cerrar lo que queda de la integración de pagos. La pasarela de pago real ya está integrada (MercadoPago, §4.3.3): la confirmación depende de la API del proveedor, no de una acción del cliente, y la actualización es idempotente. Quedan dos tareas: habilitar por defecto la validación de firma del webhook (MP_WEBHOOK_SECRET), hoy opcional, y evaluar el split de pagos vía la API de Marketplace de MercadoPago cuando el sistema pase a operar con más de un profesional cobrando a cuentas distintas (§4.5).</w:t>
      </w:r>
      <w:r>
        <w:rPr>
          <w:b w:val="0"/>
          <w:i w:val="0"/>
        </w:rPr>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asignada a la opción «Otro»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Incorporar la acción de cierre al tablero interno.</w:t>
      </w:r>
      <w:r>
        <w:rPr>
          <w:b w:val="0"/>
          <w:i w:val="0"/>
        </w:rPr>
        <w:t xml:space="preserve"> Hoy </w:t>
      </w:r>
      <w:r>
        <w:rPr>
          <w:rFonts w:ascii="Consolas" w:hAnsi="Consolas" w:cs="Consolas"/>
          <w:b w:val="0"/>
          <w:i w:val="0"/>
        </w:rPr>
        <w:t>/proyecto-cerrado</w:t>
      </w:r>
      <w:r>
        <w:rPr>
          <w:b w:val="0"/>
          <w:i w:val="0"/>
        </w:rPr>
        <w:t xml:space="preserve"> se dispara manualmente y no tiene origen en la interfaz (§4.3.4). Unificar además la nomenclatura de las rutas, hoy dividida entre barra y guion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t>Bucaioni, A., Cicchetti, A., &amp; Ciccozzi, F. (2022). Modelling in low-code development: A multi-vocal systematic review. Software and Systems Modeling, 21(5), 1959–1981. https://doi.org/10.1007/s10270-021-00964-0</w:t>
      </w:r>
      <w:r>
        <w:rPr>
          <w:i/>
        </w:rPr>
      </w:r>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Fielding, R. T. (2000). Architectural styles and the design of network-based software architectures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b w:val="0"/>
          <w:i w:val="0"/>
        </w:rPr>
        <w:t>HubSpot. (2024). HubSpot pricing.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ISO/IEC. (2023). ISO/IEC 25010:2023. Systems and software engineering — Systems and software Quality Requirements and Evaluation (SQuaRE) — Product quality model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Järvinen, J., &amp; Taiminen, H. (2016). Harnessing marketing automation for B2B content marketing. Industrial Marketing Management, 54,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Make. (2024). Make help center.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t>Moreira, S., Mamede, H. S., &amp; Santos, A. (2025). Methodology for business process automation in SMEs: From requirements analysis to practical demonstration. Emerging Science Journal, 9(3), 1561–1590. https://doi.org/10.28991/ESJ-2025-09-03-022</w:t>
      </w:r>
      <w:r>
        <w:rPr>
          <w:i/>
        </w:rPr>
      </w:r>
      <w:r/>
    </w:p>
    <w:p w:rsidR="00D60FC7" w:rsidRDefault="00000000">
      <w:pPr>
        <w:spacing w:after="120"/>
        <w:ind w:left="720" w:hanging="720"/>
      </w:pPr>
      <w:proofErr w:type="spellStart"/>
      <w:proofErr w:type="spellEnd"/>
      <w:r>
        <w:rPr>
          <w:b w:val="0"/>
          <w:i w:val="0"/>
        </w:rPr>
        <w:t>n8n. (2024). n8n documentation.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b w:val="0"/>
          <w:i w:val="0"/>
        </w:rPr>
        <w:t>OWASP Foundation. (2025). OWASP Top 10:2025.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Pipedrive. (2024). Pipedrive pricing.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PostgreSQL Global Development Group. (2024). PostgreSQL documentation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Supabase. (2024). Supabase documentation. Recuperado el 17 de agosto de 2026, de https://supabase.com/docs</w:t>
      </w:r>
    </w:p>
    <w:p w:rsidR="00D60FC7" w:rsidRDefault="00000000">
      <w:pPr>
        <w:spacing w:after="120"/>
        <w:ind w:left="720" w:hanging="720"/>
      </w:pPr>
      <w:proofErr w:type="spellStart"/>
      <w:proofErr w:type="spellEnd"/>
      <w:proofErr w:type="spellStart"/>
      <w:proofErr w:type="spellEnd"/>
      <w:r>
        <w:rPr>
          <w:b w:val="0"/>
          <w:i w:val="0"/>
        </w:rPr>
        <w:t>Vercel. (2024). Next.js documentation. Recuperado el 17 de agosto de 2026, de https://nextjs.org/docs</w:t>
      </w:r>
    </w:p>
    <w:p w:rsidR="00D60FC7" w:rsidRDefault="00000000">
      <w:pPr>
        <w:spacing w:after="120"/>
        <w:ind w:left="720" w:hanging="720"/>
      </w:pPr>
      <w:proofErr w:type="spellStart"/>
      <w:proofErr w:type="spellEnd"/>
      <w:proofErr w:type="spellStart"/>
      <w:proofErr w:type="spellEnd"/>
      <w:r>
        <w:rPr>
          <w:b w:val="0"/>
          <w:i w:val="0"/>
        </w:rPr>
        <w:t>Wu, M., Andreev, P., &amp; Benyoucef, M. (2023). The state of lead scoring models and their impact on sales performance. Information Technology and Management.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Zapier. (2024). Zapier pricing.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206240" cy="4304920"/>
            <wp:docPr id="44" name="Picture 44"/>
            <wp:cNvGraphicFramePr>
              <a:graphicFrameLocks noChangeAspect="1"/>
            </wp:cNvGraphicFramePr>
            <a:graphic>
              <a:graphicData uri="http://schemas.openxmlformats.org/drawingml/2006/picture">
                <pic:pic>
                  <pic:nvPicPr>
                    <pic:cNvPr id="0" name="fig05-formulario.png"/>
                    <pic:cNvPicPr/>
                  </pic:nvPicPr>
                  <pic:blipFill>
                    <a:blip r:embed="rId38"/>
                    <a:stretch>
                      <a:fillRect/>
                    </a:stretch>
                  </pic:blipFill>
                  <pic:spPr>
                    <a:xfrm>
                      <a:off x="0" y="0"/>
                      <a:ext cx="4206240" cy="4304920"/>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5577840" cy="4281581"/>
            <wp:docPr id="45" name="Picture 45"/>
            <wp:cNvGraphicFramePr>
              <a:graphicFrameLocks noChangeAspect="1"/>
            </wp:cNvGraphicFramePr>
            <a:graphic>
              <a:graphicData uri="http://schemas.openxmlformats.org/drawingml/2006/picture">
                <pic:pic>
                  <pic:nvPicPr>
                    <pic:cNvPr id="0" name="fig06-dashboard.png"/>
                    <pic:cNvPicPr/>
                  </pic:nvPicPr>
                  <pic:blipFill>
                    <a:blip r:embed="rId39"/>
                    <a:stretch>
                      <a:fillRect/>
                    </a:stretch>
                  </pic:blipFill>
                  <pic:spPr>
                    <a:xfrm>
                      <a:off x="0" y="0"/>
                      <a:ext cx="5577840" cy="4281581"/>
                    </a:xfrm>
                    <a:prstGeom prst="rect"/>
                  </pic:spPr>
                </pic:pic>
              </a:graphicData>
            </a:graphic>
          </wp:inline>
        </w:drawing>
      </w:r>
    </w:p>
    <w:p>
      <w:pPr>
        <w:keepLines/>
      </w:pPr>
      <w:r>
        <w:rPr>
          <w:b/>
          <w:i w:val="0"/>
          <w:sz w:val="17"/>
        </w:rPr>
        <w:t>Figura 6.</w:t>
      </w:r>
      <w:r>
        <w:rPr>
          <w:b w:val="0"/>
          <w:i w:val="0"/>
          <w:sz w:val="17"/>
        </w:rPr>
        <w:t xml:space="preserve"> Tablero de control interno con los indicadores del mes, el embudo por estado y las facturas pendientes (§4.2.5, escenario E7). </w:t>
      </w:r>
      <w:r>
        <w:rPr>
          <w:b w:val="0"/>
          <w:i/>
          <w:sz w:val="17"/>
        </w:rPr>
        <w:t>Nota.</w:t>
      </w:r>
      <w:r>
        <w:rPr>
          <w:b w:val="0"/>
          <w:i w:val="0"/>
          <w:sz w:val="17"/>
        </w:rPr>
        <w:t xml:space="preserve"> Captura propia, tomada el 21 de agosto de 2026 sobre la interfaz vigente. La dirección de correo del usuario se sustituyó por una de ejemplo.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4245429"/>
            <wp:docPr id="46" name="Picture 46"/>
            <wp:cNvGraphicFramePr>
              <a:graphicFrameLocks noChangeAspect="1"/>
            </wp:cNvGraphicFramePr>
            <a:graphic>
              <a:graphicData uri="http://schemas.openxmlformats.org/drawingml/2006/picture">
                <pic:pic>
                  <pic:nvPicPr>
                    <pic:cNvPr id="0" name="fig07-aceptacion.png"/>
                    <pic:cNvPicPr/>
                  </pic:nvPicPr>
                  <pic:blipFill>
                    <a:blip r:embed="rId40"/>
                    <a:stretch>
                      <a:fillRect/>
                    </a:stretch>
                  </pic:blipFill>
                  <pic:spPr>
                    <a:xfrm>
                      <a:off x="0" y="0"/>
                      <a:ext cx="4754880" cy="4245429"/>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3407663" cy="1786127"/>
            <wp:docPr id="32" name="Picture 3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407663" cy="1786127"/>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se compone de un único flujo de 141 nodos funcionales —157 en total, incluidas 16 notas de documentación—, exportado en el archivo workflow/crm_postgres.json del repositorio declarado en §4.1. La Tabla 15 resume su composición por tipo de nodo y la Tabla 16, la organización por proceso, con el disparador de cada uno.</w:t>
      </w:r>
      <w:r>
        <w:rPr>
          <w:rFonts w:ascii="Consolas" w:hAnsi="Consolas" w:cs="Consolas"/>
          <w:b w:val="0"/>
          <w:i w:val="0"/>
        </w:rPr>
      </w:r>
      <w:r>
        <w:rPr>
          <w:b w:val="0"/>
          <w:i w:val="0"/>
        </w:rPr>
      </w:r>
    </w:p>
    <w:p>
      <w:pPr>
        <w:keepNext/>
      </w:pPr>
      <w:r>
        <w:rPr>
          <w:b w:val="0"/>
          <w:i w:val="0"/>
        </w:rPr>
        <w:t>Tabla 15. Composición del flujo por tipo de nodo</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 Generar Propuesta → Gmail → Estado Propuesta Enviada → Preparar Card Notion → Telegram.</w:t>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28</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18</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7</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157</w:t>
            </w:r>
          </w:p>
        </w:tc>
        <w:tc>
          <w:tcPr>
            <w:tcW w:type="dxa" w:w="4139"/>
          </w:tcPr>
          <w:p>
            <w:pPr>
              <w:spacing w:after="40" w:before="40"/>
              <w:jc w:val="left"/>
            </w:pPr>
            <w:r>
              <w:rPr>
                <w:b w:val="0"/>
                <w:i w:val="0"/>
                <w:sz w:val="14"/>
              </w:rPr>
              <w:t>141 funcionales + 16 notas de documentación.</w:t>
            </w:r>
          </w:p>
        </w:tc>
      </w:tr>
    </w:tbl>
    <w:p>
      <w:pPr/>
      <w:r>
        <w:rPr>
          <w:b w:val="0"/>
          <w:i/>
          <w:sz w:val="15"/>
        </w:rPr>
        <w:t>Nota. Elaboración propia a partir del recuento de nodos de workflow/crm_postgres.json.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w:t>
            </w:r>
            <w:r>
              <w:rPr>
                <w:b w:val="0"/>
                <w:i w:val="0"/>
                <w:sz w:val="14"/>
                <w:rFonts w:ascii="Consolas" w:hAnsi="Consolas" w:cs="Consolas"/>
              </w:rPr>
              <w:t>desarrollo_web</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5000.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rPr>
          <w:b w:val="0"/>
          <w:i w:val="0"/>
        </w:rP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 Las dos últimas no figuraban en versiones anteriores del trabajo, que trazaba objetivos pero no requisitos, con lo que la trazabilidad quedaba incompleta en su mitad.</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w:t>
            </w:r>
          </w:p>
        </w:tc>
        <w:tc>
          <w:tcPr>
            <w:tcW w:type="dxa" w:w="2608"/>
          </w:tcPr>
          <w:p>
            <w:pPr>
              <w:spacing w:after="40" w:before="40"/>
              <w:jc w:val="left"/>
            </w:pPr>
            <w:r>
              <w:rPr>
                <w:b w:val="0"/>
                <w:i w:val="0"/>
                <w:sz w:val="14"/>
              </w:rPr>
              <w:t xml:space="preserve">Alcanzado en cuanto a viabilidad técnica y trazabilidad. </w:t>
            </w:r>
            <w:r>
              <w:rPr>
                <w:b/>
                <w:i w:val="0"/>
                <w:sz w:val="14"/>
              </w:rPr>
              <w:t>No</w:t>
            </w:r>
            <w:r>
              <w:rPr>
                <w:b w:val="0"/>
                <w:i w:val="0"/>
                <w:sz w:val="14"/>
              </w:rPr>
              <w:t xml:space="preserve"> se midió la magnitud de la reducción de la carga administrativa: excluida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[registrar tras la reejecución]</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[registrar tras la reejecución]. Salvedad declarada: la validez del scoring es de diseño y no empírica (Cap. 6).</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E5, E6, E8, E9, E10</w:t>
            </w:r>
          </w:p>
        </w:tc>
        <w:tc>
          <w:tcPr>
            <w:tcW w:type="dxa" w:w="2608"/>
          </w:tcPr>
          <w:p>
            <w:pPr>
              <w:spacing w:after="40" w:before="40"/>
              <w:jc w:val="left"/>
            </w:pPr>
            <w:r>
              <w:rPr>
                <w:b w:val="0"/>
                <w:i w:val="0"/>
                <w:sz w:val="14"/>
              </w:rPr>
              <w:t>[registrar tras la reejecución]. Salvedad declarada: el cobro se verifica contra la API de MercadoPago; la pasarela no se validó con una operación en producción (§4.3.3).</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b w:val="0"/>
                <w:i w:val="0"/>
                <w:sz w:val="14"/>
              </w:rPr>
              <w:t>[registrar tras la reejecución]</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[registrar tras la reejecución]. En versiones anteriores este objetivo se declaraba cumplido sin evidencia documental; los escenarios E11 a E13 se incorporan precisamente para producirla.</w:t>
            </w:r>
          </w:p>
        </w:tc>
        <w:tc>
          <w:tcPr>
            <w:tcW w:type="dxa" w:w="907"/>
          </w:tcPr>
          <w:p>
            <w:pPr>
              <w:spacing w:after="40" w:before="40"/>
              <w:jc w:val="left"/>
            </w:pPr>
            <w:r>
              <w:rPr>
                <w:b w:val="0"/>
                <w:i w:val="0"/>
                <w:sz w:val="14"/>
              </w:rPr>
              <w:t>Cap. 7</w:t>
            </w:r>
          </w:p>
        </w:tc>
      </w:tr>
    </w:tbl>
    <w:p>
      <w:pPr/>
      <w:r>
        <w:rPr>
          <w:b w:val="0"/>
          <w:i/>
          <w:sz w:val="15"/>
        </w:rPr>
        <w:t>Nota. Elaboración propia. Las celdas «[registrar]» dependen de la reejecución de los escenarios conforme al protocolo de la Tabla 4.</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E2 (y E3 como caso negativo)</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rPr>
                <w:b w:val="0"/>
                <w:i w:val="0"/>
                <w:sz w:val="14"/>
              </w:rPr>
              <w:t xml:space="preserve">[registrar]. </w:t>
            </w:r>
            <w:r>
              <w:rPr>
                <w:b/>
                <w:i w:val="0"/>
                <w:sz w:val="14"/>
              </w:rPr>
              <w:t>Pendiente:</w:t>
            </w:r>
            <w:r>
              <w:rPr>
                <w:b w:val="0"/>
                <w:i w:val="0"/>
                <w:sz w:val="14"/>
              </w:rPr>
              <w:t xml:space="preserve"> no existe hoy un escenario formal para el cierre; conviene añadir E14.</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b w:val="0"/>
                <w:i w:val="0"/>
                <w:sz w:val="14"/>
              </w:rPr>
              <w:t>[registrar]</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[registrar]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[registrar]</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[registrar]</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[registrar]</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[registrar]</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b w:val="0"/>
                <w:i w:val="0"/>
                <w:sz w:val="14"/>
              </w:rPr>
              <w:t>20 altas consecutivas midiendo la latencia hasta el repintado (E7).</w:t>
            </w:r>
          </w:p>
        </w:tc>
        <w:tc>
          <w:tcPr>
            <w:tcW w:type="dxa" w:w="1247"/>
          </w:tcPr>
          <w:p>
            <w:pPr>
              <w:spacing w:after="40" w:before="40"/>
              <w:jc w:val="left"/>
            </w:pPr>
            <w:r>
              <w:rPr>
                <w:b w:val="0"/>
                <w:i w:val="0"/>
                <w:sz w:val="14"/>
              </w:rPr>
              <w:t>[registrar]</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[registrar]</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2.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Fonts w:ascii="Consolas" w:hAnsi="Consolas" w:cs="Consolas"/>
        </w:rPr>
        <w:t>CREATE EXTENSION IF NOT EXISTS pgcrypto;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Tipos enumerados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TYPE urgencia_tipo  AS ENUM ('alta','media','baja');</w:t>
      </w:r>
    </w:p>
    <w:p>
      <w:pPr>
        <w:spacing w:after="0" w:before="0"/>
        <w:ind w:left="283"/>
        <w:jc w:val="left"/>
      </w:pPr>
      <w:r>
        <w:rPr>
          <w:rFonts w:ascii="Consolas" w:hAnsi="Consolas"/>
          <w:sz w:val="14"/>
          <w:rFonts w:ascii="Consolas" w:hAnsi="Consolas" w:cs="Consolas"/>
        </w:rPr>
        <w:t>CREATE TYPE servicio_tipo  AS ENUM ('desarrollo_web','ecommerce','app_movil','automatizacion',</w:t>
      </w:r>
    </w:p>
    <w:p>
      <w:pPr>
        <w:spacing w:after="0" w:before="0"/>
        <w:ind w:left="283"/>
        <w:jc w:val="left"/>
      </w:pPr>
      <w:r>
        <w:rPr>
          <w:rFonts w:ascii="Consolas" w:hAnsi="Consolas"/>
          <w:sz w:val="14"/>
          <w:rFonts w:ascii="Consolas" w:hAnsi="Consolas" w:cs="Consolas"/>
        </w:rPr>
        <w:t xml:space="preserve">                                    'diseno_ui','consultoria','soporte','marketing','seo');</w:t>
      </w:r>
    </w:p>
    <w:p>
      <w:pPr>
        <w:spacing w:after="0" w:before="0"/>
        <w:ind w:left="283"/>
        <w:jc w:val="left"/>
      </w:pPr>
      <w:r>
        <w:rPr>
          <w:rFonts w:ascii="Consolas" w:hAnsi="Consolas"/>
          <w:sz w:val="14"/>
          <w:rFonts w:ascii="Consolas" w:hAnsi="Consolas" w:cs="Consolas"/>
        </w:rPr>
        <w:t>CREATE TYPE tier_tipo      AS ENUM ('HOT','WARM','COLD');</w:t>
      </w:r>
    </w:p>
    <w:p>
      <w:pPr>
        <w:spacing w:after="0" w:before="0"/>
        <w:ind w:left="283"/>
        <w:jc w:val="left"/>
      </w:pPr>
      <w:r>
        <w:rPr>
          <w:rFonts w:ascii="Consolas" w:hAnsi="Consolas"/>
          <w:sz w:val="14"/>
          <w:rFonts w:ascii="Consolas" w:hAnsi="Consolas" w:cs="Consolas"/>
        </w:rPr>
        <w:t>CREATE TYPE lead_estado    AS ENUM ('NUEVO','PROPUESTA_ENVIADA','EN_SEGUIMIENTO','ACEPTADO',</w:t>
      </w:r>
    </w:p>
    <w:p>
      <w:pPr>
        <w:spacing w:after="0" w:before="0"/>
        <w:ind w:left="283"/>
        <w:jc w:val="left"/>
      </w:pPr>
      <w:r>
        <w:rPr>
          <w:rFonts w:ascii="Consolas" w:hAnsi="Consolas"/>
          <w:sz w:val="14"/>
          <w:rFonts w:ascii="Consolas" w:hAnsi="Consolas" w:cs="Consolas"/>
        </w:rPr>
        <w:t xml:space="preserve">                                    'FACTURADO','CERRADO','PERDIDO');</w:t>
      </w:r>
    </w:p>
    <w:p>
      <w:pPr>
        <w:spacing w:after="0" w:before="0"/>
        <w:ind w:left="283"/>
        <w:jc w:val="left"/>
      </w:pPr>
      <w:r>
        <w:rPr>
          <w:rFonts w:ascii="Consolas" w:hAnsi="Consolas"/>
          <w:sz w:val="14"/>
          <w:rFonts w:ascii="Consolas" w:hAnsi="Consolas" w:cs="Consolas"/>
        </w:rPr>
        <w:t>CREATE TYPE trabajo_estado AS ENUM ('PENDIENTE','EN_PROGRESO','EN_REVISION','ENTREGADO');</w:t>
      </w:r>
    </w:p>
    <w:p>
      <w:pPr>
        <w:spacing w:after="0" w:before="0"/>
        <w:ind w:left="283"/>
        <w:jc w:val="left"/>
      </w:pPr>
      <w:r>
        <w:rPr>
          <w:rFonts w:ascii="Consolas" w:hAnsi="Consolas"/>
          <w:sz w:val="14"/>
          <w:rFonts w:ascii="Consolas" w:hAnsi="Consolas" w:cs="Consolas"/>
        </w:rPr>
        <w:t>CREATE TYPE pago_estado    AS ENUM ('PENDIENTE','COBRADO','VENCIDA','ANULADA');</w:t>
      </w:r>
    </w:p>
    <w:p>
      <w:pPr>
        <w:spacing w:after="0" w:before="0"/>
        <w:ind w:left="283"/>
        <w:jc w:val="left"/>
      </w:pPr>
      <w:r>
        <w:rPr>
          <w:rFonts w:ascii="Consolas" w:hAnsi="Consolas"/>
          <w:sz w:val="14"/>
          <w:rFonts w:ascii="Consolas" w:hAnsi="Consolas" w:cs="Consolas"/>
        </w:rPr>
        <w:t>CREATE TYPE log_nivel      AS ENUM ('INFO','RECORDATORIO','HOY','VENCIDA','URGENTE','WARN','ERROR');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Tablas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TABLE IF NOT EXISTS leads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UNIQUE NOT NULL,</w:t>
      </w:r>
    </w:p>
    <w:p>
      <w:pPr>
        <w:spacing w:after="0" w:before="0"/>
        <w:ind w:left="283"/>
        <w:jc w:val="left"/>
      </w:pPr>
      <w:r>
        <w:rPr>
          <w:rFonts w:ascii="Consolas" w:hAnsi="Consolas"/>
          <w:sz w:val="14"/>
          <w:rFonts w:ascii="Consolas" w:hAnsi="Consolas" w:cs="Consolas"/>
        </w:rPr>
        <w:t xml:space="preserve">  nombre                    TEXT NOT NULL,</w:t>
      </w:r>
    </w:p>
    <w:p>
      <w:pPr>
        <w:spacing w:after="0" w:before="0"/>
        <w:ind w:left="283"/>
        <w:jc w:val="left"/>
      </w:pPr>
      <w:r>
        <w:rPr>
          <w:rFonts w:ascii="Consolas" w:hAnsi="Consolas"/>
          <w:sz w:val="14"/>
          <w:rFonts w:ascii="Consolas" w:hAnsi="Consolas" w:cs="Consolas"/>
        </w:rPr>
        <w:t xml:space="preserve">  email                     TEXT NOT NULL CHECK (position('@' in email) &gt; 1),</w:t>
      </w:r>
    </w:p>
    <w:p>
      <w:pPr>
        <w:spacing w:after="0" w:before="0"/>
        <w:ind w:left="283"/>
        <w:jc w:val="left"/>
      </w:pPr>
      <w:r>
        <w:rPr>
          <w:rFonts w:ascii="Consolas" w:hAnsi="Consolas"/>
          <w:sz w:val="14"/>
          <w:rFonts w:ascii="Consolas" w:hAnsi="Consolas" w:cs="Consolas"/>
        </w:rPr>
        <w:t xml:space="preserve">  telefono                  TEXT,</w:t>
      </w:r>
    </w:p>
    <w:p>
      <w:pPr>
        <w:spacing w:after="0" w:before="0"/>
        <w:ind w:left="283"/>
        <w:jc w:val="left"/>
      </w:pPr>
      <w:r>
        <w:rPr>
          <w:rFonts w:ascii="Consolas" w:hAnsi="Consolas"/>
          <w:sz w:val="14"/>
          <w:rFonts w:ascii="Consolas" w:hAnsi="Consolas" w:cs="Consolas"/>
        </w:rPr>
        <w:t xml:space="preserve">  presupuesto               NUMERIC(12,2) NOT NULL DEFAULT 0 CHECK (presupuesto &gt;= 0),</w:t>
      </w:r>
    </w:p>
    <w:p>
      <w:pPr>
        <w:spacing w:after="0" w:before="0"/>
        <w:ind w:left="283"/>
        <w:jc w:val="left"/>
      </w:pPr>
      <w:r>
        <w:rPr>
          <w:rFonts w:ascii="Consolas" w:hAnsi="Consolas"/>
          <w:sz w:val="14"/>
          <w:rFonts w:ascii="Consolas" w:hAnsi="Consolas" w:cs="Consolas"/>
        </w:rPr>
        <w:t xml:space="preserve">  urgencia                  urgencia_tipo NOT NULL DEFAULT 'media',</w:t>
      </w:r>
    </w:p>
    <w:p>
      <w:pPr>
        <w:spacing w:after="0" w:before="0"/>
        <w:ind w:left="283"/>
        <w:jc w:val="left"/>
      </w:pPr>
      <w:r>
        <w:rPr>
          <w:rFonts w:ascii="Consolas" w:hAnsi="Consolas"/>
          <w:sz w:val="14"/>
          <w:rFonts w:ascii="Consolas" w:hAnsi="Consolas" w:cs="Consolas"/>
        </w:rPr>
        <w:t xml:space="preserve">  servicio                  servicio_tipo NOT NULL DEFAULT 'desarrollo_web',</w:t>
      </w:r>
    </w:p>
    <w:p>
      <w:pPr>
        <w:spacing w:after="0" w:before="0"/>
        <w:ind w:left="283"/>
        <w:jc w:val="left"/>
      </w:pPr>
      <w:r>
        <w:rPr>
          <w:rFonts w:ascii="Consolas" w:hAnsi="Consolas"/>
          <w:sz w:val="14"/>
          <w:rFonts w:ascii="Consolas" w:hAnsi="Consolas" w:cs="Consolas"/>
        </w:rPr>
        <w:t xml:space="preserve">  descripcion               TEXT,</w:t>
      </w:r>
    </w:p>
    <w:p>
      <w:pPr>
        <w:spacing w:after="0" w:before="0"/>
        <w:ind w:left="283"/>
        <w:jc w:val="left"/>
      </w:pPr>
      <w:r>
        <w:rPr>
          <w:rFonts w:ascii="Consolas" w:hAnsi="Consolas"/>
          <w:sz w:val="14"/>
          <w:rFonts w:ascii="Consolas" w:hAnsi="Consolas" w:cs="Consolas"/>
        </w:rPr>
        <w:t xml:space="preserve">  fuente                    TEXT DEFAULT 'webhook',</w:t>
      </w:r>
    </w:p>
    <w:p>
      <w:pPr>
        <w:spacing w:after="0" w:before="0"/>
        <w:ind w:left="283"/>
        <w:jc w:val="left"/>
      </w:pPr>
      <w:r>
        <w:rPr>
          <w:rFonts w:ascii="Consolas" w:hAnsi="Consolas"/>
          <w:sz w:val="14"/>
          <w:rFonts w:ascii="Consolas" w:hAnsi="Consolas" w:cs="Consolas"/>
        </w:rPr>
        <w:t xml:space="preserve">  estado                    lead_estado NOT NULL DEFAULT 'NUEVO',</w:t>
      </w:r>
    </w:p>
    <w:p>
      <w:pPr>
        <w:spacing w:after="0" w:before="0"/>
        <w:ind w:left="283"/>
        <w:jc w:val="left"/>
      </w:pPr>
      <w:r>
        <w:rPr>
          <w:rFonts w:ascii="Consolas" w:hAnsi="Consolas"/>
          <w:sz w:val="14"/>
          <w:rFonts w:ascii="Consolas" w:hAnsi="Consolas" w:cs="Consolas"/>
        </w:rPr>
        <w:t xml:space="preserve">  estado_trabajo            trabajo_estado NOT NULL DEFAULT 'PENDIENTE',</w:t>
      </w:r>
    </w:p>
    <w:p>
      <w:pPr>
        <w:spacing w:after="0" w:before="0"/>
        <w:ind w:left="283"/>
        <w:jc w:val="left"/>
      </w:pPr>
      <w:r>
        <w:rPr>
          <w:rFonts w:ascii="Consolas" w:hAnsi="Consolas"/>
          <w:sz w:val="14"/>
          <w:rFonts w:ascii="Consolas" w:hAnsi="Consolas" w:cs="Consolas"/>
        </w:rPr>
        <w:t xml:space="preserve">  score                     INT NOT NULL DEFAULT 0,</w:t>
      </w:r>
    </w:p>
    <w:p>
      <w:pPr>
        <w:spacing w:after="0" w:before="0"/>
        <w:ind w:left="283"/>
        <w:jc w:val="left"/>
      </w:pPr>
      <w:r>
        <w:rPr>
          <w:rFonts w:ascii="Consolas" w:hAnsi="Consolas"/>
          <w:sz w:val="14"/>
          <w:rFonts w:ascii="Consolas" w:hAnsi="Consolas" w:cs="Consolas"/>
        </w:rPr>
        <w:t xml:space="preserve">  tier                      tier_tipo,</w:t>
      </w:r>
    </w:p>
    <w:p>
      <w:pPr>
        <w:spacing w:after="0" w:before="0"/>
        <w:ind w:left="283"/>
        <w:jc w:val="left"/>
      </w:pPr>
      <w:r>
        <w:rPr>
          <w:rFonts w:ascii="Consolas" w:hAnsi="Consolas"/>
          <w:sz w:val="14"/>
          <w:rFonts w:ascii="Consolas" w:hAnsi="Consolas" w:cs="Consolas"/>
        </w:rPr>
        <w:t xml:space="preserve">  seguimientos              INT NOT NULL DEFAULT 0,</w:t>
      </w:r>
    </w:p>
    <w:p>
      <w:pPr>
        <w:spacing w:after="0" w:before="0"/>
        <w:ind w:left="283"/>
        <w:jc w:val="left"/>
      </w:pPr>
      <w:r>
        <w:rPr>
          <w:rFonts w:ascii="Consolas" w:hAnsi="Consolas"/>
          <w:sz w:val="14"/>
          <w:rFonts w:ascii="Consolas" w:hAnsi="Consolas" w:cs="Consolas"/>
        </w:rPr>
        <w:t xml:space="preserve">  operador_asignado         TEXT,</w:t>
      </w:r>
    </w:p>
    <w:p>
      <w:pPr>
        <w:spacing w:after="0" w:before="0"/>
        <w:ind w:left="283"/>
        <w:jc w:val="left"/>
      </w:pPr>
      <w:r>
        <w:rPr>
          <w:rFonts w:ascii="Consolas" w:hAnsi="Consolas"/>
          <w:sz w:val="14"/>
          <w:rFonts w:ascii="Consolas" w:hAnsi="Consolas" w:cs="Consolas"/>
        </w:rPr>
        <w:t xml:space="preserve">  notas                     TEXT,</w:t>
      </w:r>
    </w:p>
    <w:p>
      <w:pPr>
        <w:spacing w:after="0" w:before="0"/>
        <w:ind w:left="283"/>
        <w:jc w:val="left"/>
      </w:pPr>
      <w:r>
        <w:rPr>
          <w:rFonts w:ascii="Consolas" w:hAnsi="Consolas"/>
          <w:sz w:val="14"/>
          <w:rFonts w:ascii="Consolas" w:hAnsi="Consolas" w:cs="Consolas"/>
        </w:rPr>
        <w:t xml:space="preserve">  card_id                   TEXT,</w:t>
      </w:r>
    </w:p>
    <w:p>
      <w:pPr>
        <w:spacing w:after="0" w:before="0"/>
        <w:ind w:left="283"/>
        <w:jc w:val="left"/>
      </w:pPr>
      <w:r>
        <w:rPr>
          <w:rFonts w:ascii="Consolas" w:hAnsi="Consolas"/>
          <w:sz w:val="14"/>
          <w:rFonts w:ascii="Consolas" w:hAnsi="Consolas" w:cs="Consolas"/>
        </w:rPr>
        <w:t xml:space="preserve">  accept_token              UUID NOT NULL DEFAULT gen_random_uuid(),</w:t>
      </w:r>
    </w:p>
    <w:p>
      <w:pPr>
        <w:spacing w:after="0" w:before="0"/>
        <w:ind w:left="283"/>
        <w:jc w:val="left"/>
      </w:pPr>
      <w:r>
        <w:rPr>
          <w:rFonts w:ascii="Consolas" w:hAnsi="Consolas"/>
          <w:sz w:val="14"/>
          <w:rFonts w:ascii="Consolas" w:hAnsi="Consolas" w:cs="Consolas"/>
        </w:rPr>
        <w:t xml:space="preserve">  fecha_ingreso             TIMESTAMPTZ NOT NULL DEFAULT now(),</w:t>
      </w:r>
    </w:p>
    <w:p>
      <w:pPr>
        <w:spacing w:after="0" w:before="0"/>
        <w:ind w:left="283"/>
        <w:jc w:val="left"/>
      </w:pPr>
      <w:r>
        <w:rPr>
          <w:rFonts w:ascii="Consolas" w:hAnsi="Consolas"/>
          <w:sz w:val="14"/>
          <w:rFonts w:ascii="Consolas" w:hAnsi="Consolas" w:cs="Consolas"/>
        </w:rPr>
        <w:t xml:space="preserve">  fecha_propuesta           TIMESTAMPTZ,</w:t>
      </w:r>
    </w:p>
    <w:p>
      <w:pPr>
        <w:spacing w:after="0" w:before="0"/>
        <w:ind w:left="283"/>
        <w:jc w:val="left"/>
      </w:pPr>
      <w:r>
        <w:rPr>
          <w:rFonts w:ascii="Consolas" w:hAnsi="Consolas"/>
          <w:sz w:val="14"/>
          <w:rFonts w:ascii="Consolas" w:hAnsi="Consolas" w:cs="Consolas"/>
        </w:rPr>
        <w:t xml:space="preserve">  fecha_ultimo_seguimiento  TIMESTAMPTZ,</w:t>
      </w:r>
    </w:p>
    <w:p>
      <w:pPr>
        <w:spacing w:after="0" w:before="0"/>
        <w:ind w:left="283"/>
        <w:jc w:val="left"/>
      </w:pPr>
      <w:r>
        <w:rPr>
          <w:rFonts w:ascii="Consolas" w:hAnsi="Consolas"/>
          <w:sz w:val="14"/>
          <w:rFonts w:ascii="Consolas" w:hAnsi="Consolas" w:cs="Consolas"/>
        </w:rPr>
        <w:t xml:space="preserve">  fecha_aceptacion          TIMESTAMPTZ,</w:t>
      </w:r>
    </w:p>
    <w:p>
      <w:pPr>
        <w:spacing w:after="0" w:before="0"/>
        <w:ind w:left="283"/>
        <w:jc w:val="left"/>
      </w:pPr>
      <w:r>
        <w:rPr>
          <w:rFonts w:ascii="Consolas" w:hAnsi="Consolas"/>
          <w:sz w:val="14"/>
          <w:rFonts w:ascii="Consolas" w:hAnsi="Consolas" w:cs="Consolas"/>
        </w:rPr>
        <w:t xml:space="preserve">  fecha_cierre              TIMESTAMPTZ,</w:t>
      </w:r>
    </w:p>
    <w:p>
      <w:pPr>
        <w:spacing w:after="0" w:before="0"/>
        <w:ind w:left="283"/>
        <w:jc w:val="left"/>
      </w:pPr>
      <w:r>
        <w:rPr>
          <w:rFonts w:ascii="Consolas" w:hAnsi="Consolas"/>
          <w:sz w:val="14"/>
          <w:rFonts w:ascii="Consolas" w:hAnsi="Consolas" w:cs="Consolas"/>
        </w:rPr>
        <w:t xml:space="preserve">  dias_ciclo_completo       INT,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 xml:space="preserve">  actualizado_en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facturas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factura_id             TEXT UNIQUE NOT NULL,</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cliente                TEXT NOT NULL,</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servicio               servicio_tipo,</w:t>
      </w:r>
    </w:p>
    <w:p>
      <w:pPr>
        <w:spacing w:after="0" w:before="0"/>
        <w:ind w:left="283"/>
        <w:jc w:val="left"/>
      </w:pPr>
      <w:r>
        <w:rPr>
          <w:rFonts w:ascii="Consolas" w:hAnsi="Consolas"/>
          <w:sz w:val="14"/>
          <w:rFonts w:ascii="Consolas" w:hAnsi="Consolas" w:cs="Consolas"/>
        </w:rPr>
        <w:t xml:space="preserve">  monto                  NUMERIC(12,2) NOT NULL CHECK (monto &gt;= 0),</w:t>
      </w:r>
    </w:p>
    <w:p>
      <w:pPr>
        <w:spacing w:after="0" w:before="0"/>
        <w:ind w:left="283"/>
        <w:jc w:val="left"/>
      </w:pPr>
      <w:r>
        <w:rPr>
          <w:rFonts w:ascii="Consolas" w:hAnsi="Consolas"/>
          <w:sz w:val="14"/>
          <w:rFonts w:ascii="Consolas" w:hAnsi="Consolas" w:cs="Consolas"/>
        </w:rPr>
        <w:t xml:space="preserve">  moneda                 TEXT NOT NULL DEFAULT 'USD',</w:t>
      </w:r>
    </w:p>
    <w:p>
      <w:pPr>
        <w:spacing w:after="0" w:before="0"/>
        <w:ind w:left="283"/>
        <w:jc w:val="left"/>
      </w:pPr>
      <w:r>
        <w:rPr>
          <w:rFonts w:ascii="Consolas" w:hAnsi="Consolas"/>
          <w:sz w:val="14"/>
          <w:rFonts w:ascii="Consolas" w:hAnsi="Consolas" w:cs="Consolas"/>
        </w:rPr>
        <w:t xml:space="preserve">  estado_pago            pago_estado NOT NULL DEFAULT 'PENDIENTE',</w:t>
      </w:r>
    </w:p>
    <w:p>
      <w:pPr>
        <w:spacing w:after="0" w:before="0"/>
        <w:ind w:left="283"/>
        <w:jc w:val="left"/>
      </w:pPr>
      <w:r>
        <w:rPr>
          <w:rFonts w:ascii="Consolas" w:hAnsi="Consolas"/>
          <w:sz w:val="14"/>
          <w:rFonts w:ascii="Consolas" w:hAnsi="Consolas" w:cs="Consolas"/>
        </w:rPr>
        <w:t xml:space="preserve">  recordatorios_enviados INT NOT NULL DEFAULT 0,</w:t>
      </w:r>
    </w:p>
    <w:p>
      <w:pPr>
        <w:spacing w:after="0" w:before="0"/>
        <w:ind w:left="283"/>
        <w:jc w:val="left"/>
      </w:pPr>
      <w:r>
        <w:rPr>
          <w:rFonts w:ascii="Consolas" w:hAnsi="Consolas"/>
          <w:sz w:val="14"/>
          <w:rFonts w:ascii="Consolas" w:hAnsi="Consolas" w:cs="Consolas"/>
        </w:rPr>
        <w:t xml:space="preserve">  fecha_emision          TIMESTAMPTZ NOT NULL DEFAULT now(),</w:t>
      </w:r>
    </w:p>
    <w:p>
      <w:pPr>
        <w:spacing w:after="0" w:before="0"/>
        <w:ind w:left="283"/>
        <w:jc w:val="left"/>
      </w:pPr>
      <w:r>
        <w:rPr>
          <w:rFonts w:ascii="Consolas" w:hAnsi="Consolas"/>
          <w:sz w:val="14"/>
          <w:rFonts w:ascii="Consolas" w:hAnsi="Consolas" w:cs="Consolas"/>
        </w:rPr>
        <w:t xml:space="preserve">  fecha_vencimiento      TIMESTAMPTZ NOT NULL,</w:t>
      </w:r>
    </w:p>
    <w:p>
      <w:pPr>
        <w:spacing w:after="0" w:before="0"/>
        <w:ind w:left="283"/>
        <w:jc w:val="left"/>
      </w:pPr>
      <w:r>
        <w:rPr>
          <w:rFonts w:ascii="Consolas" w:hAnsi="Consolas"/>
          <w:sz w:val="14"/>
          <w:rFonts w:ascii="Consolas" w:hAnsi="Consolas" w:cs="Consolas"/>
        </w:rPr>
        <w:t xml:space="preserve">  fecha_cobro            TIMESTAMPTZ,</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seguimientos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numero     INT NOT NULL,</w:t>
      </w:r>
    </w:p>
    <w:p>
      <w:pPr>
        <w:spacing w:after="0" w:before="0"/>
        <w:ind w:left="283"/>
        <w:jc w:val="left"/>
      </w:pPr>
      <w:r>
        <w:rPr>
          <w:rFonts w:ascii="Consolas" w:hAnsi="Consolas"/>
          <w:sz w:val="14"/>
          <w:rFonts w:ascii="Consolas" w:hAnsi="Consolas" w:cs="Consolas"/>
        </w:rPr>
        <w:t xml:space="preserve">  canal      TEXT NOT NULL DEFAULT 'email',</w:t>
      </w:r>
    </w:p>
    <w:p>
      <w:pPr>
        <w:spacing w:after="0" w:before="0"/>
        <w:ind w:left="283"/>
        <w:jc w:val="left"/>
      </w:pPr>
      <w:r>
        <w:rPr>
          <w:rFonts w:ascii="Consolas" w:hAnsi="Consolas"/>
          <w:sz w:val="14"/>
          <w:rFonts w:ascii="Consolas" w:hAnsi="Consolas" w:cs="Consolas"/>
        </w:rPr>
        <w:t xml:space="preserve">  asunto     TEXT,</w:t>
      </w:r>
    </w:p>
    <w:p>
      <w:pPr>
        <w:spacing w:after="0" w:before="0"/>
        <w:ind w:left="283"/>
        <w:jc w:val="left"/>
      </w:pPr>
      <w:r>
        <w:rPr>
          <w:rFonts w:ascii="Consolas" w:hAnsi="Consolas"/>
          <w:sz w:val="14"/>
          <w:rFonts w:ascii="Consolas" w:hAnsi="Consolas" w:cs="Consolas"/>
        </w:rPr>
        <w:t xml:space="preserve">  cuerpo     TEXT,</w:t>
      </w:r>
    </w:p>
    <w:p>
      <w:pPr>
        <w:spacing w:after="0" w:before="0"/>
        <w:ind w:left="283"/>
        <w:jc w:val="left"/>
      </w:pPr>
      <w:r>
        <w:rPr>
          <w:rFonts w:ascii="Consolas" w:hAnsi="Consolas"/>
          <w:sz w:val="14"/>
          <w:rFonts w:ascii="Consolas" w:hAnsi="Consolas" w:cs="Consolas"/>
        </w:rPr>
        <w:t xml:space="preserve">  enviado_en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logs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workflow  TEXT,</w:t>
      </w:r>
    </w:p>
    <w:p>
      <w:pPr>
        <w:spacing w:after="0" w:before="0"/>
        <w:ind w:left="283"/>
        <w:jc w:val="left"/>
      </w:pPr>
      <w:r>
        <w:rPr>
          <w:rFonts w:ascii="Consolas" w:hAnsi="Consolas"/>
          <w:sz w:val="14"/>
          <w:rFonts w:ascii="Consolas" w:hAnsi="Consolas" w:cs="Consolas"/>
        </w:rPr>
        <w:t xml:space="preserve">  lead_id   TEXT,</w:t>
      </w:r>
    </w:p>
    <w:p>
      <w:pPr>
        <w:spacing w:after="0" w:before="0"/>
        <w:ind w:left="283"/>
        <w:jc w:val="left"/>
      </w:pPr>
      <w:r>
        <w:rPr>
          <w:rFonts w:ascii="Consolas" w:hAnsi="Consolas"/>
          <w:sz w:val="14"/>
          <w:rFonts w:ascii="Consolas" w:hAnsi="Consolas" w:cs="Consolas"/>
        </w:rPr>
        <w:t xml:space="preserve">  evento    TEXT,</w:t>
      </w:r>
    </w:p>
    <w:p>
      <w:pPr>
        <w:spacing w:after="0" w:before="0"/>
        <w:ind w:left="283"/>
        <w:jc w:val="left"/>
      </w:pPr>
      <w:r>
        <w:rPr>
          <w:rFonts w:ascii="Consolas" w:hAnsi="Consolas"/>
          <w:sz w:val="14"/>
          <w:rFonts w:ascii="Consolas" w:hAnsi="Consolas" w:cs="Consolas"/>
        </w:rPr>
        <w:t xml:space="preserve">  nivel     log_nivel NOT NULL DEFAULT 'INFO',</w:t>
      </w:r>
    </w:p>
    <w:p>
      <w:pPr>
        <w:spacing w:after="0" w:before="0"/>
        <w:ind w:left="283"/>
        <w:jc w:val="left"/>
      </w:pPr>
      <w:r>
        <w:rPr>
          <w:rFonts w:ascii="Consolas" w:hAnsi="Consolas"/>
          <w:sz w:val="14"/>
          <w:rFonts w:ascii="Consolas" w:hAnsi="Consolas" w:cs="Consolas"/>
        </w:rPr>
        <w:t xml:space="preserve">  detalle   TEXT,</w:t>
      </w:r>
    </w:p>
    <w:p>
      <w:pPr>
        <w:spacing w:after="0" w:before="0"/>
        <w:ind w:left="283"/>
        <w:jc w:val="left"/>
      </w:pPr>
      <w:r>
        <w:rPr>
          <w:rFonts w:ascii="Consolas" w:hAnsi="Consolas"/>
          <w:sz w:val="14"/>
          <w:rFonts w:ascii="Consolas" w:hAnsi="Consolas" w:cs="Consolas"/>
        </w:rPr>
        <w:t xml:space="preserve">  error_msg TEXT,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profiles (</w:t>
      </w:r>
    </w:p>
    <w:p>
      <w:pPr>
        <w:spacing w:after="0" w:before="0"/>
        <w:ind w:left="283"/>
        <w:jc w:val="left"/>
      </w:pPr>
      <w:r>
        <w:rPr>
          <w:rFonts w:ascii="Consolas" w:hAnsi="Consolas"/>
          <w:sz w:val="14"/>
          <w:rFonts w:ascii="Consolas" w:hAnsi="Consolas" w:cs="Consolas"/>
        </w:rPr>
        <w:t xml:space="preserve">  id        UUID PRIMARY KEY REFERENCES auth.users(id) ON DELETE CASCADE,</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role      TEXT NOT NULL DEFAULT 'user' CHECK (role IN ('user','admin')),</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Índices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INDEX IF NOT EXISTS idx_leads_estado      ON leads(estado);</w:t>
      </w:r>
    </w:p>
    <w:p>
      <w:pPr>
        <w:spacing w:after="0" w:before="0"/>
        <w:ind w:left="283"/>
        <w:jc w:val="left"/>
      </w:pPr>
      <w:r>
        <w:rPr>
          <w:rFonts w:ascii="Consolas" w:hAnsi="Consolas"/>
          <w:sz w:val="14"/>
          <w:rFonts w:ascii="Consolas" w:hAnsi="Consolas" w:cs="Consolas"/>
        </w:rPr>
        <w:t>CREATE INDEX IF NOT EXISTS idx_leads_tier        ON leads(tier);</w:t>
      </w:r>
    </w:p>
    <w:p>
      <w:pPr>
        <w:spacing w:after="0" w:before="0"/>
        <w:ind w:left="283"/>
        <w:jc w:val="left"/>
      </w:pPr>
      <w:r>
        <w:rPr>
          <w:rFonts w:ascii="Consolas" w:hAnsi="Consolas"/>
          <w:sz w:val="14"/>
          <w:rFonts w:ascii="Consolas" w:hAnsi="Consolas" w:cs="Consolas"/>
        </w:rPr>
        <w:t>CREATE INDEX IF NOT EXISTS idx_leads_fecha_ing   ON leads(fecha_ingreso);</w:t>
      </w:r>
    </w:p>
    <w:p>
      <w:pPr>
        <w:spacing w:after="0" w:before="0"/>
        <w:ind w:left="283"/>
        <w:jc w:val="left"/>
      </w:pPr>
      <w:r>
        <w:rPr>
          <w:rFonts w:ascii="Consolas" w:hAnsi="Consolas"/>
          <w:sz w:val="14"/>
          <w:rFonts w:ascii="Consolas" w:hAnsi="Consolas" w:cs="Consolas"/>
        </w:rPr>
        <w:t>CREATE INDEX IF NOT EXISTS idx_facturas_estado   ON facturas(estado_pago);</w:t>
      </w:r>
    </w:p>
    <w:p>
      <w:pPr>
        <w:spacing w:after="0" w:before="0"/>
        <w:ind w:left="283"/>
        <w:jc w:val="left"/>
      </w:pPr>
      <w:r>
        <w:rPr>
          <w:rFonts w:ascii="Consolas" w:hAnsi="Consolas"/>
          <w:sz w:val="14"/>
          <w:rFonts w:ascii="Consolas" w:hAnsi="Consolas" w:cs="Consolas"/>
        </w:rPr>
        <w:t>CREATE INDEX IF NOT EXISTS idx_facturas_lead     ON facturas(lead_id);</w:t>
      </w:r>
    </w:p>
    <w:p>
      <w:pPr>
        <w:spacing w:after="0" w:before="0"/>
        <w:ind w:left="283"/>
        <w:jc w:val="left"/>
      </w:pPr>
      <w:r>
        <w:rPr>
          <w:rFonts w:ascii="Consolas" w:hAnsi="Consolas"/>
          <w:sz w:val="14"/>
          <w:rFonts w:ascii="Consolas" w:hAnsi="Consolas" w:cs="Consolas"/>
        </w:rPr>
        <w:t>CREATE INDEX IF NOT EXISTS idx_seguimientos_lead ON seguimientos(lead_id);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Disparadores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FUNCTION set_actualizado_en() RETURNS trigger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NEW.actualizado_en = now();</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 LANGUAGE plpgsql;</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trg_leads_updated</w:t>
      </w:r>
    </w:p>
    <w:p>
      <w:pPr>
        <w:spacing w:after="0" w:before="0"/>
        <w:ind w:left="283"/>
        <w:jc w:val="left"/>
      </w:pPr>
      <w:r>
        <w:rPr>
          <w:rFonts w:ascii="Consolas" w:hAnsi="Consolas"/>
          <w:sz w:val="14"/>
          <w:rFonts w:ascii="Consolas" w:hAnsi="Consolas" w:cs="Consolas"/>
        </w:rPr>
        <w:t xml:space="preserve">  BEFORE UPDATE ON leads</w:t>
      </w:r>
    </w:p>
    <w:p>
      <w:pPr>
        <w:spacing w:after="0" w:before="0"/>
        <w:ind w:left="283"/>
        <w:jc w:val="left"/>
      </w:pPr>
      <w:r>
        <w:rPr>
          <w:rFonts w:ascii="Consolas" w:hAnsi="Consolas"/>
          <w:sz w:val="14"/>
          <w:rFonts w:ascii="Consolas" w:hAnsi="Consolas" w:cs="Consolas"/>
        </w:rPr>
        <w:t xml:space="preserve">  FOR EACH ROW EXECUTE FUNCTION set_actualizado_en();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Crea el perfil (rol 'user' por defecto) al registrarse un usuario.</w:t>
      </w:r>
    </w:p>
    <w:p>
      <w:pPr>
        <w:spacing w:after="0" w:before="0"/>
        <w:ind w:left="283"/>
        <w:jc w:val="left"/>
      </w:pPr>
      <w:r>
        <w:rPr>
          <w:rFonts w:ascii="Consolas" w:hAnsi="Consolas"/>
          <w:sz w:val="14"/>
          <w:rFonts w:ascii="Consolas" w:hAnsi="Consolas" w:cs="Consolas"/>
        </w:rPr>
        <w:t>CREATE OR REPLACE FUNCTION public.handle_new_user() RETURNS trigger</w:t>
      </w:r>
    </w:p>
    <w:p>
      <w:pPr>
        <w:spacing w:after="0" w:before="0"/>
        <w:ind w:left="283"/>
        <w:jc w:val="left"/>
      </w:pPr>
      <w:r>
        <w:rPr>
          <w:rFonts w:ascii="Consolas" w:hAnsi="Consolas"/>
          <w:sz w:val="14"/>
          <w:rFonts w:ascii="Consolas" w:hAnsi="Consolas" w:cs="Consolas"/>
        </w:rPr>
        <w:t>LANGUAGE plpgsql SECURITY DEFINER SET search_path = public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INSERT INTO public.profiles (id, email, role)</w:t>
      </w:r>
    </w:p>
    <w:p>
      <w:pPr>
        <w:spacing w:after="0" w:before="0"/>
        <w:ind w:left="283"/>
        <w:jc w:val="left"/>
      </w:pPr>
      <w:r>
        <w:rPr>
          <w:rFonts w:ascii="Consolas" w:hAnsi="Consolas"/>
          <w:sz w:val="14"/>
          <w:rFonts w:ascii="Consolas" w:hAnsi="Consolas" w:cs="Consolas"/>
        </w:rPr>
        <w:t xml:space="preserve">  VALUES (NEW.id, NEW.email,</w:t>
      </w:r>
    </w:p>
    <w:p>
      <w:pPr>
        <w:spacing w:after="0" w:before="0"/>
        <w:ind w:left="283"/>
        <w:jc w:val="left"/>
      </w:pPr>
      <w:r>
        <w:rPr>
          <w:rFonts w:ascii="Consolas" w:hAnsi="Consolas"/>
          <w:sz w:val="14"/>
          <w:rFonts w:ascii="Consolas" w:hAnsi="Consolas" w:cs="Consolas"/>
        </w:rPr>
        <w:t xml:space="preserve">          CASE WHEN NEW.email = '&lt;correo del administrador&gt;' THEN 'admin' ELSE 'user' END)</w:t>
      </w:r>
    </w:p>
    <w:p>
      <w:pPr>
        <w:spacing w:after="0" w:before="0"/>
        <w:ind w:left="283"/>
        <w:jc w:val="left"/>
      </w:pPr>
      <w:r>
        <w:rPr>
          <w:rFonts w:ascii="Consolas" w:hAnsi="Consolas"/>
          <w:sz w:val="14"/>
          <w:rFonts w:ascii="Consolas" w:hAnsi="Consolas" w:cs="Consolas"/>
        </w:rPr>
        <w:t xml:space="preserve">  ON CONFLICT (id) DO NOTHING;</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on_auth_user_created</w:t>
      </w:r>
    </w:p>
    <w:p>
      <w:pPr>
        <w:spacing w:after="0" w:before="0"/>
        <w:ind w:left="283"/>
        <w:jc w:val="left"/>
      </w:pPr>
      <w:r>
        <w:rPr>
          <w:rFonts w:ascii="Consolas" w:hAnsi="Consolas"/>
          <w:sz w:val="14"/>
          <w:rFonts w:ascii="Consolas" w:hAnsi="Consolas" w:cs="Consolas"/>
        </w:rPr>
        <w:t xml:space="preserve">  AFTER INSERT ON auth.users</w:t>
      </w:r>
    </w:p>
    <w:p>
      <w:pPr>
        <w:spacing w:after="0" w:before="0"/>
        <w:ind w:left="283"/>
        <w:jc w:val="left"/>
      </w:pPr>
      <w:r>
        <w:rPr>
          <w:rFonts w:ascii="Consolas" w:hAnsi="Consolas"/>
          <w:sz w:val="14"/>
          <w:rFonts w:ascii="Consolas" w:hAnsi="Consolas" w:cs="Consolas"/>
        </w:rPr>
        <w:t xml:space="preserve">  FOR EACH ROW EXECUTE FUNCTION public.handle_new_user();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Vistas (security_invoker: respetan la RLS de las tablas base)</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VIEW metrics_mensuales WITH (security_invoker = true) AS</w:t>
      </w:r>
    </w:p>
    <w:p>
      <w:pPr>
        <w:spacing w:after="0" w:before="0"/>
        <w:ind w:left="283"/>
        <w:jc w:val="left"/>
      </w:pPr>
      <w:r>
        <w:rPr>
          <w:rFonts w:ascii="Consolas" w:hAnsi="Consolas"/>
          <w:sz w:val="14"/>
          <w:rFonts w:ascii="Consolas" w:hAnsi="Consolas" w:cs="Consolas"/>
        </w:rPr>
        <w:t>WITH lead_mes AS (</w:t>
      </w:r>
    </w:p>
    <w:p>
      <w:pPr>
        <w:spacing w:after="0" w:before="0"/>
        <w:ind w:left="283"/>
        <w:jc w:val="left"/>
      </w:pPr>
      <w:r>
        <w:rPr>
          <w:rFonts w:ascii="Consolas" w:hAnsi="Consolas"/>
          <w:sz w:val="14"/>
          <w:rFonts w:ascii="Consolas" w:hAnsi="Consolas" w:cs="Consolas"/>
        </w:rPr>
        <w:t xml:space="preserve">  SELECT to_char(date_trunc('month', fecha_ingreso), 'YYYY-MM')            AS mes,</w:t>
      </w:r>
    </w:p>
    <w:p>
      <w:pPr>
        <w:spacing w:after="0" w:before="0"/>
        <w:ind w:left="283"/>
        <w:jc w:val="left"/>
      </w:pPr>
      <w:r>
        <w:rPr>
          <w:rFonts w:ascii="Consolas" w:hAnsi="Consolas"/>
          <w:sz w:val="14"/>
          <w:rFonts w:ascii="Consolas" w:hAnsi="Consolas" w:cs="Consolas"/>
        </w:rPr>
        <w:t xml:space="preserve">         count(*)                                                          AS total_leads,</w:t>
      </w:r>
    </w:p>
    <w:p>
      <w:pPr>
        <w:spacing w:after="0" w:before="0"/>
        <w:ind w:left="283"/>
        <w:jc w:val="left"/>
      </w:pPr>
      <w:r>
        <w:rPr>
          <w:rFonts w:ascii="Consolas" w:hAnsi="Consolas"/>
          <w:sz w:val="14"/>
          <w:rFonts w:ascii="Consolas" w:hAnsi="Consolas" w:cs="Consolas"/>
        </w:rPr>
        <w:t xml:space="preserve">         count(*) FILTER (WHERE tier = 'HOT')                              AS leads_hot,</w:t>
      </w:r>
    </w:p>
    <w:p>
      <w:pPr>
        <w:spacing w:after="0" w:before="0"/>
        <w:ind w:left="283"/>
        <w:jc w:val="left"/>
      </w:pPr>
      <w:r>
        <w:rPr>
          <w:rFonts w:ascii="Consolas" w:hAnsi="Consolas"/>
          <w:sz w:val="14"/>
          <w:rFonts w:ascii="Consolas" w:hAnsi="Consolas" w:cs="Consolas"/>
        </w:rPr>
        <w:t xml:space="preserve">         count(*) FILTER (WHERE tier = 'WARM')                             AS leads_warm,</w:t>
      </w:r>
    </w:p>
    <w:p>
      <w:pPr>
        <w:spacing w:after="0" w:before="0"/>
        <w:ind w:left="283"/>
        <w:jc w:val="left"/>
      </w:pPr>
      <w:r>
        <w:rPr>
          <w:rFonts w:ascii="Consolas" w:hAnsi="Consolas"/>
          <w:sz w:val="14"/>
          <w:rFonts w:ascii="Consolas" w:hAnsi="Consolas" w:cs="Consolas"/>
        </w:rPr>
        <w:t xml:space="preserve">         count(*) FILTER (WHERE estado = 'CERRADO')                        AS leads_cerrados,</w:t>
      </w:r>
    </w:p>
    <w:p>
      <w:pPr>
        <w:spacing w:after="0" w:before="0"/>
        <w:ind w:left="283"/>
        <w:jc w:val="left"/>
      </w:pPr>
      <w:r>
        <w:rPr>
          <w:rFonts w:ascii="Consolas" w:hAnsi="Consolas"/>
          <w:sz w:val="14"/>
          <w:rFonts w:ascii="Consolas" w:hAnsi="Consolas" w:cs="Consolas"/>
        </w:rPr>
        <w:t xml:space="preserve">         count(*) FILTER (WHERE estado = 'PERDIDO')                        AS leads_perdidos,</w:t>
      </w:r>
    </w:p>
    <w:p>
      <w:pPr>
        <w:spacing w:after="0" w:before="0"/>
        <w:ind w:left="283"/>
        <w:jc w:val="left"/>
      </w:pPr>
      <w:r>
        <w:rPr>
          <w:rFonts w:ascii="Consolas" w:hAnsi="Consolas"/>
          <w:sz w:val="14"/>
          <w:rFonts w:ascii="Consolas" w:hAnsi="Consolas" w:cs="Consolas"/>
        </w:rPr>
        <w:t xml:space="preserve">         round(100.0 * count(*) FILTER (WHERE estado = 'CERRADO')</w:t>
      </w:r>
    </w:p>
    <w:p>
      <w:pPr>
        <w:spacing w:after="0" w:before="0"/>
        <w:ind w:left="283"/>
        <w:jc w:val="left"/>
      </w:pPr>
      <w:r>
        <w:rPr>
          <w:rFonts w:ascii="Consolas" w:hAnsi="Consolas"/>
          <w:sz w:val="14"/>
          <w:rFonts w:ascii="Consolas" w:hAnsi="Consolas" w:cs="Consolas"/>
        </w:rPr>
        <w:t xml:space="preserve">                      / NULLIF(count(*), 0), 1)                            AS conversion_pct,</w:t>
      </w:r>
    </w:p>
    <w:p>
      <w:pPr>
        <w:spacing w:after="0" w:before="0"/>
        <w:ind w:left="283"/>
        <w:jc w:val="left"/>
      </w:pPr>
      <w:r>
        <w:rPr>
          <w:rFonts w:ascii="Consolas" w:hAnsi="Consolas"/>
          <w:sz w:val="14"/>
          <w:rFonts w:ascii="Consolas" w:hAnsi="Consolas" w:cs="Consolas"/>
        </w:rPr>
        <w:t xml:space="preserve">         round(avg(dias_ciclo_completo)</w:t>
      </w:r>
    </w:p>
    <w:p>
      <w:pPr>
        <w:spacing w:after="0" w:before="0"/>
        <w:ind w:left="283"/>
        <w:jc w:val="left"/>
      </w:pPr>
      <w:r>
        <w:rPr>
          <w:rFonts w:ascii="Consolas" w:hAnsi="Consolas"/>
          <w:sz w:val="14"/>
          <w:rFonts w:ascii="Consolas" w:hAnsi="Consolas" w:cs="Consolas"/>
        </w:rPr>
        <w:t xml:space="preserve">               FILTER (WHERE estado = 'CERRADO'), 1)                       AS tiempo_prom_dias</w:t>
      </w:r>
    </w:p>
    <w:p>
      <w:pPr>
        <w:spacing w:after="0" w:before="0"/>
        <w:ind w:left="283"/>
        <w:jc w:val="left"/>
      </w:pPr>
      <w:r>
        <w:rPr>
          <w:rFonts w:ascii="Consolas" w:hAnsi="Consolas"/>
          <w:sz w:val="14"/>
          <w:rFonts w:ascii="Consolas" w:hAnsi="Consolas" w:cs="Consolas"/>
        </w:rPr>
        <w:t xml:space="preserve">    FROM leads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fact_mes AS (</w:t>
      </w:r>
    </w:p>
    <w:p>
      <w:pPr>
        <w:spacing w:after="0" w:before="0"/>
        <w:ind w:left="283"/>
        <w:jc w:val="left"/>
      </w:pPr>
      <w:r>
        <w:rPr>
          <w:rFonts w:ascii="Consolas" w:hAnsi="Consolas"/>
          <w:sz w:val="14"/>
          <w:rFonts w:ascii="Consolas" w:hAnsi="Consolas" w:cs="Consolas"/>
        </w:rPr>
        <w:t xml:space="preserve">  SELECT to_char(date_trunc('month', fecha_emision), 'YYYY-MM')            AS mes,</w:t>
      </w:r>
    </w:p>
    <w:p>
      <w:pPr>
        <w:spacing w:after="0" w:before="0"/>
        <w:ind w:left="283"/>
        <w:jc w:val="left"/>
      </w:pPr>
      <w:r>
        <w:rPr>
          <w:rFonts w:ascii="Consolas" w:hAnsi="Consolas"/>
          <w:sz w:val="14"/>
          <w:rFonts w:ascii="Consolas" w:hAnsi="Consolas" w:cs="Consolas"/>
        </w:rPr>
        <w:t xml:space="preserve">         coalesce(sum(monto), 0)                                           AS facturacion,</w:t>
      </w:r>
    </w:p>
    <w:p>
      <w:pPr>
        <w:spacing w:after="0" w:before="0"/>
        <w:ind w:left="283"/>
        <w:jc w:val="left"/>
      </w:pPr>
      <w:r>
        <w:rPr>
          <w:rFonts w:ascii="Consolas" w:hAnsi="Consolas"/>
          <w:sz w:val="14"/>
          <w:rFonts w:ascii="Consolas" w:hAnsi="Consolas" w:cs="Consolas"/>
        </w:rPr>
        <w:t xml:space="preserve">         coalesce(sum(monto) FILTER (WHERE estado_pago = 'COBRADO'), 0)    AS cobrado,</w:t>
      </w:r>
    </w:p>
    <w:p>
      <w:pPr>
        <w:spacing w:after="0" w:before="0"/>
        <w:ind w:left="283"/>
        <w:jc w:val="left"/>
      </w:pPr>
      <w:r>
        <w:rPr>
          <w:rFonts w:ascii="Consolas" w:hAnsi="Consolas"/>
          <w:sz w:val="14"/>
          <w:rFonts w:ascii="Consolas" w:hAnsi="Consolas" w:cs="Consolas"/>
        </w:rPr>
        <w:t xml:space="preserve">         coalesce(sum(monto) FILTER (WHERE estado_pago &lt;&gt; 'COBRADO'), 0)   AS pendiente,</w:t>
      </w:r>
    </w:p>
    <w:p>
      <w:pPr>
        <w:spacing w:after="0" w:before="0"/>
        <w:ind w:left="283"/>
        <w:jc w:val="left"/>
      </w:pPr>
      <w:r>
        <w:rPr>
          <w:rFonts w:ascii="Consolas" w:hAnsi="Consolas"/>
          <w:sz w:val="14"/>
          <w:rFonts w:ascii="Consolas" w:hAnsi="Consolas" w:cs="Consolas"/>
        </w:rPr>
        <w:t xml:space="preserve">         count(*) FILTER (WHERE estado_pago = 'PENDIENTE'</w:t>
      </w:r>
    </w:p>
    <w:p>
      <w:pPr>
        <w:spacing w:after="0" w:before="0"/>
        <w:ind w:left="283"/>
        <w:jc w:val="left"/>
      </w:pPr>
      <w:r>
        <w:rPr>
          <w:rFonts w:ascii="Consolas" w:hAnsi="Consolas"/>
          <w:sz w:val="14"/>
          <w:rFonts w:ascii="Consolas" w:hAnsi="Consolas" w:cs="Consolas"/>
        </w:rPr>
        <w:t xml:space="preserve">                            AND fecha_vencimiento &lt; now())                 AS facturas_vencidas,</w:t>
      </w:r>
    </w:p>
    <w:p>
      <w:pPr>
        <w:spacing w:after="0" w:before="0"/>
        <w:ind w:left="283"/>
        <w:jc w:val="left"/>
      </w:pPr>
      <w:r>
        <w:rPr>
          <w:rFonts w:ascii="Consolas" w:hAnsi="Consolas"/>
          <w:sz w:val="14"/>
          <w:rFonts w:ascii="Consolas" w:hAnsi="Consolas" w:cs="Consolas"/>
        </w:rPr>
        <w:t xml:space="preserve">         round(100.0 * coalesce(sum(monto)</w:t>
      </w:r>
    </w:p>
    <w:p>
      <w:pPr>
        <w:spacing w:after="0" w:before="0"/>
        <w:ind w:left="283"/>
        <w:jc w:val="left"/>
      </w:pPr>
      <w:r>
        <w:rPr>
          <w:rFonts w:ascii="Consolas" w:hAnsi="Consolas"/>
          <w:sz w:val="14"/>
          <w:rFonts w:ascii="Consolas" w:hAnsi="Consolas" w:cs="Consolas"/>
        </w:rPr>
        <w:t xml:space="preserve">               FILTER (WHERE estado_pago = 'COBRADO'), 0)</w:t>
      </w:r>
    </w:p>
    <w:p>
      <w:pPr>
        <w:spacing w:after="0" w:before="0"/>
        <w:ind w:left="283"/>
        <w:jc w:val="left"/>
      </w:pPr>
      <w:r>
        <w:rPr>
          <w:rFonts w:ascii="Consolas" w:hAnsi="Consolas"/>
          <w:sz w:val="14"/>
          <w:rFonts w:ascii="Consolas" w:hAnsi="Consolas" w:cs="Consolas"/>
        </w:rPr>
        <w:t xml:space="preserve">                      / NULLIF(sum(monto), 0), 1)                          AS tasa_cobro_pct</w:t>
      </w:r>
    </w:p>
    <w:p>
      <w:pPr>
        <w:spacing w:after="0" w:before="0"/>
        <w:ind w:left="283"/>
        <w:jc w:val="left"/>
      </w:pPr>
      <w:r>
        <w:rPr>
          <w:rFonts w:ascii="Consolas" w:hAnsi="Consolas"/>
          <w:sz w:val="14"/>
          <w:rFonts w:ascii="Consolas" w:hAnsi="Consolas" w:cs="Consolas"/>
        </w:rPr>
        <w:t xml:space="preserve">    FROM facturas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SELECT coalesce(l.mes, f.mes) AS mes, l.*, f.*</w:t>
      </w:r>
    </w:p>
    <w:p>
      <w:pPr>
        <w:spacing w:after="0" w:before="0"/>
        <w:ind w:left="283"/>
        <w:jc w:val="left"/>
      </w:pPr>
      <w:r>
        <w:rPr>
          <w:rFonts w:ascii="Consolas" w:hAnsi="Consolas"/>
          <w:sz w:val="14"/>
          <w:rFonts w:ascii="Consolas" w:hAnsi="Consolas" w:cs="Consolas"/>
        </w:rPr>
        <w:t xml:space="preserve">  FROM lead_mes l FULL OUTER JOIN fact_mes f ON l.mes = f.mes</w:t>
      </w:r>
    </w:p>
    <w:p>
      <w:pPr>
        <w:spacing w:after="0" w:before="0"/>
        <w:ind w:left="283"/>
        <w:jc w:val="left"/>
      </w:pPr>
      <w:r>
        <w:rPr>
          <w:rFonts w:ascii="Consolas" w:hAnsi="Consolas"/>
          <w:sz w:val="14"/>
          <w:rFonts w:ascii="Consolas" w:hAnsi="Consolas" w:cs="Consolas"/>
        </w:rPr>
        <w:t xml:space="preserve"> ORDER BY mes DESC;</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OR REPLACE VIEW facturas_pendientes WITH (security_invoker = true) AS</w:t>
      </w:r>
    </w:p>
    <w:p>
      <w:pPr>
        <w:spacing w:after="0" w:before="0"/>
        <w:ind w:left="283"/>
        <w:jc w:val="left"/>
      </w:pPr>
      <w:r>
        <w:rPr>
          <w:rFonts w:ascii="Consolas" w:hAnsi="Consolas"/>
          <w:sz w:val="14"/>
          <w:rFonts w:ascii="Consolas" w:hAnsi="Consolas" w:cs="Consolas"/>
        </w:rPr>
        <w:t>SELECT f.*, (f.fecha_vencimiento::date - now()::date) AS dias_al_vencimiento</w:t>
      </w:r>
    </w:p>
    <w:p>
      <w:pPr>
        <w:spacing w:after="0" w:before="0"/>
        <w:ind w:left="283"/>
        <w:jc w:val="left"/>
      </w:pPr>
      <w:r>
        <w:rPr>
          <w:rFonts w:ascii="Consolas" w:hAnsi="Consolas"/>
          <w:sz w:val="14"/>
          <w:rFonts w:ascii="Consolas" w:hAnsi="Consolas" w:cs="Consolas"/>
        </w:rPr>
        <w:t xml:space="preserve">  FROM facturas f</w:t>
      </w:r>
    </w:p>
    <w:p>
      <w:pPr>
        <w:spacing w:after="0" w:before="0"/>
        <w:ind w:left="283"/>
        <w:jc w:val="left"/>
      </w:pPr>
      <w:r>
        <w:rPr>
          <w:rFonts w:ascii="Consolas" w:hAnsi="Consolas"/>
          <w:sz w:val="14"/>
          <w:rFonts w:ascii="Consolas" w:hAnsi="Consolas" w:cs="Consolas"/>
        </w:rPr>
        <w:t xml:space="preserve"> WHERE f.estado_pago = 'PENDIENTE';</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b w:val="0"/>
                <w:i w:val="0"/>
                <w:sz w:val="14"/>
              </w:rPr>
              <w:t>Frontend (servidor)</w:t>
            </w:r>
          </w:p>
        </w:tc>
        <w:tc>
          <w:tcPr>
            <w:tcW w:type="dxa" w:w="4025"/>
          </w:tcPr>
          <w:p>
            <w:pPr>
              <w:spacing w:after="40" w:before="40"/>
              <w:jc w:val="left"/>
            </w:pPr>
            <w:r>
              <w:rPr>
                <w:b/>
                <w:i w:val="0"/>
                <w:sz w:val="14"/>
              </w:rPr>
              <w:t>Secreta.</w:t>
            </w:r>
            <w:r>
              <w:rPr>
                <w:b w:val="0"/>
                <w:i w:val="0"/>
                <w:sz w:val="14"/>
              </w:rPr>
              <w:t xml:space="preserve"> Evade la RLS por diseño.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*(vacía)*</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ARS</w:t>
            </w:r>
          </w:p>
        </w:tc>
        <w:tc>
          <w:tcPr>
            <w:tcW w:type="dxa" w:w="4025"/>
          </w:tcPr>
          <w:p>
            <w:pPr>
              <w:spacing w:after="40" w:before="40"/>
              <w:jc w:val="left"/>
            </w:pPr>
            <w:r>
              <w:rPr>
                <w:b w:val="0"/>
                <w:i w:val="0"/>
                <w:sz w:val="14"/>
              </w:rPr>
              <w:t>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1</w:t>
            </w:r>
          </w:p>
        </w:tc>
        <w:tc>
          <w:tcPr>
            <w:tcW w:type="dxa" w:w="4025"/>
          </w:tcPr>
          <w:p>
            <w:pPr>
              <w:spacing w:after="40" w:before="40"/>
              <w:jc w:val="left"/>
            </w:pPr>
            <w:r>
              <w:rPr>
                <w:b w:val="0"/>
                <w:i w:val="0"/>
                <w:sz w:val="14"/>
              </w:rPr>
              <w:t>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*(vacía)*</w:t>
            </w:r>
          </w:p>
        </w:tc>
        <w:tc>
          <w:tcPr>
            <w:tcW w:type="dxa" w:w="4025"/>
          </w:tcPr>
          <w:p>
            <w:pPr>
              <w:spacing w:after="40" w:before="40"/>
              <w:jc w:val="left"/>
            </w:pPr>
            <w:r>
              <w:rPr>
                <w:b w:val="0"/>
                <w:i w:val="0"/>
                <w:sz w:val="14"/>
              </w:rPr>
              <w:t>Secreto para validar la firma del webhook de notificación. Vacía por defecto: no valida (Tabla 11, S8).</w:t>
            </w:r>
          </w:p>
        </w:tc>
      </w:tr>
    </w:tbl>
    <w:p>
      <w:pPr/>
      <w:r>
        <w:rPr>
          <w:b w:val="0"/>
          <w:i/>
          <w:sz w:val="15"/>
        </w:rPr>
        <w:t>Nota. Elaboración propia a partir de .env.example y docker-compose.yml. Ninguna variable secreta se versiona en el repositorio.</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refleja sin recarga. Ese recorrido corresponde a los escenarios E1 y E7 del Capítulo 5.</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