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real-time updating of the dashboard.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Siete de los doce webhooks no verifican la identidad de quien los invoca; los cuatro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Se recomienda levantar el sistema una vez con esta versión y confirmar que el flujo se importa sin errores antes de dar el punto por cerrado.</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141 nodos funcionales —157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141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5000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dos consecuencias de este diseño que el trabajo no había discutido: el desajuste entre el rango del control deslizante y los tramos de puntaje, y el hecho de que tres de los nueve valores ponderados del scoring no puedan originarse en este formulario.</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141 nodos funcionales (157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t xml:space="preserve">  (incluye la opción «Otro» del formulario)</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no puede originarse desde el formulario y se documenta por completitud del modelo.</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soporte</w:t>
      </w:r>
      <w:r>
        <w:rPr>
          <w:b w:val="0"/>
          <w:i w:val="0"/>
        </w:rPr>
        <w:t xml:space="preserve">. Es decir, «Otro» no cae en un valor por omisión: tiene una traducción declarada, que es </w:t>
      </w:r>
      <w:r>
        <w:rPr>
          <w:rFonts w:ascii="Consolas" w:hAnsi="Consolas" w:cs="Consolas"/>
          <w:b w:val="0"/>
          <w:i w:val="0"/>
        </w:rPr>
        <w:t>soporte</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desarrollo_web</w:t>
      </w:r>
      <w:r>
        <w:rPr>
          <w:b w:val="0"/>
          <w:i w:val="0"/>
        </w:rPr>
        <w:t>. Este valor no se aplica nunca a una selección hecha en el formulario.</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recibe la ponderación mínima.</w:t>
      </w:r>
      <w:r>
        <w:rPr>
          <w:b w:val="0"/>
          <w:i w:val="0"/>
        </w:rPr>
        <w:t xml:space="preserve"> Al traducirse a </w:t>
      </w:r>
      <w:r>
        <w:rPr>
          <w:rFonts w:ascii="Consolas" w:hAnsi="Consolas" w:cs="Consolas"/>
          <w:b w:val="0"/>
          <w:i w:val="0"/>
        </w:rPr>
        <w:t>soporte</w:t>
      </w:r>
      <w:r>
        <w:rPr>
          <w:b w:val="0"/>
          <w:i w:val="0"/>
        </w:rPr>
        <w:t>, todo proyecto atípico obtiene 5 puntos por tipo de servicio: la penalización máxima. El sesgo empuja hacia COLD, precisamente, las oportunidades que el sistema no supo clasificar, incluidas las de alto valor. Un presupuesto de 5000 dólares con urgencia alta y «Otro» alcanza 85 puntos y sigue siendo HOT, pero uno de 1000 dólares con urgencia media pasa de WARM a COLD por esta única razón. Una asignación neutra —o dejar el lead pendiente de revisión manual— sería preferible; se registra como mejora en el Capítulo 8.</w:t>
      </w:r>
    </w:p>
    <w:p>
      <w:pPr>
        <w:pStyle w:val="Prrafodelista"/>
      </w:pPr>
      <w:r>
        <w:rPr>
          <w:b/>
          <w:i w:val="0"/>
        </w:rPr>
        <w:t>El control de entrada y los tramos de puntaje no fueron alineados.</w:t>
      </w:r>
      <w:r>
        <w:rPr>
          <w:b w:val="0"/>
          <w:i w:val="0"/>
        </w:rPr>
        <w:t xml:space="preserve"> El deslizante abarca de 100 a 5000 dólares y la Tabla 5 asigna 0 puntos por debajo de 300, de modo que el tramo inferior del propio control no puntúa; en el extremo opuesto, los 40 puntos solo se alcanzan en el valor máximo exacto del deslizante.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A diferencia de los demás webhooks, este no se invoca desde ninguna ruta del frontend ni desde un proceso programado: en el estado actual del sistema lo dispara manualmente el profesional, mediante una petición directa. Incorporar la acción de cierre al tablero interno es una tarea pendiente que se registra en el Capítulo 8; mientras tanto, la Tabla 10 consigna el origen real de cada invocación.</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seis índices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y leads(fecha_ingreso).</w:t>
      </w:r>
    </w:p>
    <w:p w:rsidR="00D60FC7" w:rsidRDefault="00D60FC7"/>
    <w:p w:rsidR="00D60FC7" w:rsidRDefault="00000000">
      <w:pPr>
        <w:spacing w:after="120" w:line="240" w:lineRule="auto"/>
        <w:jc w:val="center"/>
      </w:pPr>
      <w:r>
        <w:rPr>
          <w:sz w:val="20"/>
          <w:szCs w:val="20"/>
        </w:rPr>
        <w:t>Tabla 7. Esquema de las tablas facturas, seguimientos y logs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y seguimientos(lead_id).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No se invoca desde el frontend</w:t>
            </w:r>
            <w:r>
              <w:rPr>
                <w:b w:val="0"/>
                <w:i w:val="0"/>
                <w:sz w:val="13"/>
              </w:rPr>
              <w:t>: petición manual del profesional (§4.3.4)</w:t>
            </w:r>
          </w:p>
        </w:tc>
        <w:tc>
          <w:tcPr>
            <w:tcW w:type="dxa" w:w="2608"/>
          </w:tcPr>
          <w:p>
            <w:pPr>
              <w:spacing w:after="40" w:before="40"/>
              <w:jc w:val="left"/>
            </w:pPr>
            <w:r>
              <w:rPr>
                <w:b/>
                <w:i w:val="0"/>
                <w:sz w:val="13"/>
              </w:rPr>
              <w:t>Ninguna.</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siete de los doce webhooks no verifican la identidad de quien los invoca: no hay firma HMAC, ni secreto compartido, ni lista blanca de direcciones, ni mTLS. Los cuatro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puede inyectar leads, cerrar proyectos, alterar el estado de un trabajo o cancelar oportunidades.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Siete de los doce webhooks no autentican el origen de la invocación (§4.5): lead/nuevo, lead-acepta, pago-confirmado (modo desarrollo), proyecto-cerrado, lead-propuesta, lead-rechaza y lead-modifica. Los cuatro invocados desde el tablero interno (trabajo-estado, lead-cancelar, cambio-aceptar, cambio-rechazar)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siete URL sin protección puede inyectar leads, marcar un pago o cerrar un proyecto sin autorización.</w:t>
            </w:r>
          </w:p>
        </w:tc>
        <w:tc>
          <w:tcPr>
            <w:tcW w:type="dxa" w:w="2494"/>
          </w:tcPr>
          <w:p>
            <w:pPr>
              <w:spacing w:after="40" w:before="40"/>
              <w:jc w:val="left"/>
            </w:pPr>
            <w:r>
              <w:rPr>
                <w:b w:val="0"/>
                <w:i w:val="0"/>
                <w:sz w:val="13"/>
              </w:rPr>
              <w:t>Secreto compartido en cabecera o firma HMAC del cuerpo para los siete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El propio cliente —o cualquier reenvío, registro intermedio o rastreador de enlaces— puede marcar una factura como COBRADO sin haber pagado.</w:t>
            </w:r>
          </w:p>
        </w:tc>
        <w:tc>
          <w:tcPr>
            <w:tcW w:type="dxa" w:w="2494"/>
          </w:tcPr>
          <w:p>
            <w:pPr>
              <w:spacing w:after="40" w:before="40"/>
              <w:jc w:val="left"/>
            </w:pPr>
            <w:r>
              <w:rPr>
                <w:b w:val="0"/>
                <w:i w:val="0"/>
                <w:sz w:val="13"/>
              </w:rPr>
              <w:t>Convertir a POST con firma; establecer que COBRADO solo puede originarse en el proveedor de pagos.</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E7 y E11 a E14 siguen sin ejecutar y su celda lo dice; el motivo se detalla más abajo.</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Los trece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100 (40 + 30 + 20 + 5 + 5) · tier = HOT · estado = PROPUESTA_ENVIADA · token de aceptación generado y con fecha de vencimiento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enviado = [registrar] · fila de seguimientos = [registrar] · contador antes/después = [registrar]</w:t>
            </w:r>
          </w:p>
        </w:tc>
        <w:tc>
          <w:tcPr>
            <w:tcW w:type="dxa" w:w="1928"/>
          </w:tcPr>
          <w:p>
            <w:pPr>
              <w:spacing w:after="40" w:before="40"/>
              <w:jc w:val="left"/>
            </w:pPr>
            <w:r>
              <w:rPr>
                <w:b/>
                <w:i w:val="0"/>
                <w:sz w:val="13"/>
              </w:rPr>
              <w:t>Pendiente:</w:t>
            </w:r>
            <w:r>
              <w:rPr>
                <w:b w:val="0"/>
                <w:i w:val="0"/>
                <w:sz w:val="13"/>
              </w:rPr>
              <w:t xml:space="preserve"> captura del correo recibido y de la fila insertada.</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[registrar] · correo enviado = [registrar] · notificación de Telegram = [registrar]</w:t>
            </w:r>
          </w:p>
        </w:tc>
        <w:tc>
          <w:tcPr>
            <w:tcW w:type="dxa" w:w="1928"/>
          </w:tcPr>
          <w:p>
            <w:pPr>
              <w:spacing w:after="40" w:before="40"/>
              <w:jc w:val="left"/>
            </w:pPr>
            <w:r>
              <w:rPr>
                <w:b/>
                <w:i w:val="0"/>
                <w:sz w:val="13"/>
              </w:rPr>
              <w:t>Pendiente:</w:t>
            </w:r>
            <w:r>
              <w:rPr>
                <w:b w:val="0"/>
                <w:i w:val="0"/>
                <w:sz w:val="13"/>
              </w:rPr>
              <w:t xml:space="preserve"> captura del correo y de la notificación.</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contenido del mensaje = [registrar] · coincidencia con el tablero = [registrar]</w:t>
            </w:r>
          </w:p>
        </w:tc>
        <w:tc>
          <w:tcPr>
            <w:tcW w:type="dxa" w:w="1928"/>
          </w:tcPr>
          <w:p>
            <w:pPr>
              <w:spacing w:after="40" w:before="40"/>
              <w:jc w:val="left"/>
            </w:pPr>
            <w:r>
              <w:rPr>
                <w:b/>
                <w:i w:val="0"/>
                <w:sz w:val="13"/>
              </w:rPr>
              <w:t>Pendiente:</w:t>
            </w:r>
            <w:r>
              <w:rPr>
                <w:b w:val="0"/>
                <w:i w:val="0"/>
                <w:sz w:val="13"/>
              </w:rPr>
              <w:t xml:space="preserve"> captura del mensaje de Telegram. Es la única evidencia que acredita OE5 y hoy no existe en el Anexo A.</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ejecuta cada escenario una vez por corrida, mientras que el protocolo de la Tabla 4 pide tres repeticiones independientes para los escenarios de camino principal: la repetibilidad en ese sentido estricto todavía no está establecida, aunque la corrida sí es reproducible por un tercero. Quedan además cinco escenarios sin ejecutar, por razones distintas entre sí.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E11 a E13 corresponden a los procesos programados y exigen disparar los cron y registrar su salida.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34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requisitos que dependen de los procesos programados (RF8, RF9 y RF10), pendientes de ejecutar E11 a E13.</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recibe la ponderación mínima, lo que sesga hacia COLD precisamente las oportunidades que el sistema no supo clasificar.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y no resueltas. La Tabla 11 las enumera. La más grave, por su consecuencia de negocio, es que el modo de desarrollo del webhook de pago sigue siendo alcanzable desde el enlace que recibe el propio deudor cuando no hay credenciales de MercadoPago configuradas. La más amplia es que siete de los doce webhooks no autentican el origen de la invocación. Ninguna de las dos impide la demostración de viabilidad técnica, pero ambas impiden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verificados mediante la ejecución de sus disparadores. </w:t>
      </w:r>
      <w:r>
        <w:rPr>
          <w:b/>
        </w:rPr>
        <w:t>Cumplido.</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siete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asignada a la opción «Otro»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Hoy </w:t>
      </w:r>
      <w:r>
        <w:rPr>
          <w:rFonts w:ascii="Consolas" w:hAnsi="Consolas" w:cs="Consolas"/>
          <w:b w:val="0"/>
          <w:i w:val="0"/>
        </w:rPr>
        <w:t>/proyecto-cerrado</w:t>
      </w:r>
      <w:r>
        <w:rPr>
          <w:b w:val="0"/>
          <w:i w:val="0"/>
        </w:rPr>
        <w:t xml:space="preserve"> se dispara manualmente y no tiene origen en la interfaz (§4.3.4). Unificar además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se compone de un único flujo de 141 nodos funcionales —157 en total, incluidas 16 notas de documentación—, exportado en el archivo workflow/crm_postgres.json del repositorio declarado en §4.1. La Tabla 15 resume su composición por tipo de nodo y la Tabla 16, la organización por proceso, con el disparador de cada uno.</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7</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157</w:t>
            </w:r>
          </w:p>
        </w:tc>
        <w:tc>
          <w:tcPr>
            <w:tcW w:type="dxa" w:w="4139"/>
          </w:tcPr>
          <w:p>
            <w:pPr>
              <w:spacing w:after="40" w:before="40"/>
              <w:jc w:val="left"/>
            </w:pPr>
            <w:r>
              <w:rPr>
                <w:b w:val="0"/>
                <w:i w:val="0"/>
                <w:sz w:val="14"/>
              </w:rPr>
              <w:t>141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w:t>
            </w:r>
            <w:r>
              <w:rPr>
                <w:b w:val="0"/>
                <w:i w:val="0"/>
                <w:sz w:val="14"/>
                <w:rFonts w:ascii="Consolas" w:hAnsi="Consolas" w:cs="Consolas"/>
              </w:rPr>
              <w:t>desarrollo_web</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5000.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del 22/8/2026, docs/evidencia-validacion.md: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del 22/8/2026, docs/evidencia-validacion.md,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Verificado. E5, E6, E8, E9 y E10 en verde en la corrida del 22/8/2026, docs/evidencia-validacion.md.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No verificado todavía. Los tres procesos programados (E11–E13) requieren disparar los crons y registrar su salida; no forman parte de la corrida automatizada.</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Verificado (E1, E2 reciben propuesta; E3 no la recibe y queda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No verificado todavía (E11).</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No verificado todavía (E12).</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No verificado todavía (E13).</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ARS</w:t>
            </w:r>
          </w:p>
        </w:tc>
        <w:tc>
          <w:tcPr>
            <w:tcW w:type="dxa" w:w="4025"/>
          </w:tcPr>
          <w:p>
            <w:pPr>
              <w:spacing w:after="40" w:before="40"/>
              <w:jc w:val="left"/>
            </w:pPr>
            <w:r>
              <w:rPr>
                <w:b w:val="0"/>
                <w:i w:val="0"/>
                <w:sz w:val="14"/>
              </w:rPr>
              <w:t>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1</w:t>
            </w:r>
          </w:p>
        </w:tc>
        <w:tc>
          <w:tcPr>
            <w:tcW w:type="dxa" w:w="4025"/>
          </w:tcPr>
          <w:p>
            <w:pPr>
              <w:spacing w:after="40" w:before="40"/>
              <w:jc w:val="left"/>
            </w:pPr>
            <w:r>
              <w:rPr>
                <w:b w:val="0"/>
                <w:i w:val="0"/>
                <w:sz w:val="14"/>
              </w:rPr>
              <w:t>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*(vacía)*</w:t>
            </w:r>
          </w:p>
        </w:tc>
        <w:tc>
          <w:tcPr>
            <w:tcW w:type="dxa" w:w="4025"/>
          </w:tcPr>
          <w:p>
            <w:pPr>
              <w:spacing w:after="40" w:before="40"/>
              <w:jc w:val="left"/>
            </w:pPr>
            <w:r>
              <w:rPr>
                <w:b w:val="0"/>
                <w:i w:val="0"/>
                <w:sz w:val="14"/>
              </w:rPr>
              <w:t>Secreto para validar la firma del webhook de notificación. Vacía por defecto: no valida (Tabla 11, S8).</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refleja sin recarga. Ese recorrido corresponde a los escenarios E1 y E7 del Capítulo 5.</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