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 Los apartados 2.1 a 2.6 desarrollan ese marco conceptual. Los apartados 2.7 y 2.8 cumplen una función distinta: situar el trabajo frente a las soluciones que ya atienden el mismo problema y justificar la decisión de construir una propia. El apartado 2.9, por último, delimita el encuadre normativo que alcanza a lo que el sistema efectivamente hace.</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 El lead normalizado se persiste con el nodo Insert Lead en la tabla leads.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9 y la suma del embudo, 23.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La primera es repetir esa verificación contra el servicio real cuando la activación de credenciales de prueba del proveedor vuelva a estar disponible, que es lo único que la corrida actual no puede acreditar. Las otras dos son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5047271"/>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5047271"/>
                    </a:xfrm>
                    <a:prstGeom prst="rect"/>
                  </pic:spPr>
                </pic:pic>
              </a:graphicData>
            </a:graphic>
          </wp:inline>
        </w:drawing>
      </w:r>
    </w:p>
    <w:p>
      <w:pPr>
        <w:keepLines/>
      </w:pPr>
      <w:r>
        <w:rPr>
          <w:b/>
          <w:i w:val="0"/>
          <w:sz w:val="17"/>
        </w:rPr>
        <w:t>Figura 6. Tablero de control interno: la bandeja de propuestas por enviar, desde la cual el profesional fija el precio, el plazo y el alcance antes del envío (§4.3.2); los indicadores del mes y el embudo por estado (§4.2.5, escenario E7). Nota. Captura propia, tomada el 29 de agosto de 2026 sobre el sistema en ejecución, con datos de prueba ficticios conforme al protocolo de la Tabla 4. Las facturas pendientes, los trabajos activos y los pedidos de cambio continúan por debajo del corte de la imagen. Obsérvese que el indicador «LEADS» (9) y la suma del embudo (23) no coinciden: responden a alcances temporales distintos, según se detalla en la Tabla 8.</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