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por último, delimita el encuadre normativo que alcanza a lo que el sistema efectivamente hace.</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Corrida automatizada de tests/escenarios.mjs (docs/evidencia-validacion.md), reejecutada el 29 de agosto de 2026 con los doce escenarios en verde. La suite consulta la base hasta que estado_trabajo pasa a EN_PROGRESO y comprueba que el lead tenga card_id, es decir que la ficha del tablero externo se creó. No se reproduce una captura de esa ficha: la sincronización se acredita por el identificador que devuelve la API de Notion y que queda persistido en la fila.</w:t>
            </w:r>
            <w:r>
              <w:rPr>
                <w:b w:val="0"/>
                <w:i w:val="0"/>
                <w:sz w:val="13"/>
              </w:rPr>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Todos los escenarios cuentan con evidencia registrada. La de E11 y E12 proviene de una corrida manual y la de E14, de un doble de prueba; ambas circunstancias se declaran en la celda correspondiente en lugar de presentarse como equivalentes a una corrida automatizada contra el servicio real.</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 Tablero de control interno: la bandeja de propuestas por enviar, desde la cual el profesional fija el precio, el plazo y el alcance antes del envío (§4.3.2); los indicadores del mes y el embudo por estado (§4.2.5, escenario E7). Nota.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 Procesos programados en n8n: seguimiento de propuestas y recordatorios de pago (§4.3.5, escenarios E11 y E12). Nota. Captura propia del lienzo de n8n. Los otros dos procesos programados —el reporte diario de métricas y la reconciliación de facturas, incorporada el 27 de agosto de 2026— no están documentados en esta captura; la evidencia del primero corresponde al escenario E13, que se reporta en la Tabla 12 con la respuesta de la API de Telegram que confirma la entrega.</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