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y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cuyo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sino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w:t>
      </w:r>
      <w:r>
        <w:t xml:space="preserve">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y varios de esos destinatarios están domiciliados en países que la Disposición 60-E/2016 no considera de protección adecuada, lo que activa además el régimen de transferencia internacional de su art. 12. El §2.9 desarrolla las obligaciones aplicables; la dimensión se retoma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lo que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que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lo que aporta evidencia empírica independiente, aunque todavía preliminar,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w:t>
      </w:r>
      <w:r>
        <w:t xml:space="preserve">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excepción que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p>
    <w:p w:rsidR="00D60FC7" w:rsidRDefault="00000000">
      <w:pPr/>
      <w:proofErr w:type="spellStart"/>
      <w:proofErr w:type="spellEnd"/>
      <w:r>
        <w:rPr>
          <w:b/>
        </w:rPr>
        <w:t>Cesión y transferencia internacional.</w:t>
      </w:r>
      <w:r>
        <w:t xml:space="preserve">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y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y si consigna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segunda edición del modelo de calidad del producto de software vigente, que reemplaza a la edición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149 nodos funcionales —165 en total, incluidas 16 notas de documentación— organizados en trece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trece webhooks, tres procesos programados y 149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 xml:space="preserve">El componente </w:t>
      </w:r>
      <w:r>
        <w:rPr>
          <w:rFonts w:ascii="Consolas" w:hAnsi="Consolas"/>
        </w:rPr>
        <w:t>lead-form.tsx</w:t>
      </w:r>
      <w: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rPr>
        <w:t>NEXT_PUBLIC_N8N_BASE</w:t>
      </w:r>
      <w:r>
        <w:t>. Ante una respuesta satisfactoria se muestra una confirmación; ante un error, un mensaje de alerta. Con esto se satisface el OE1 (Figura 5, véase Anexo A). En §4.3.1 se analizan tres consecuencias de este diseño: el desajuste entre el rango del control deslizante y los tramos de puntaje; el hecho de que tres de los nueve valores ponderados del scoring no puedan originarse en este formulario; y, finalmente, el sesgo con que la opción «Otro» penalizaba a los leads que el sistema no supo clasificar.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149 nodos funcionales (165 en total, incluidas 16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Sin embargo,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modo que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la envía por correo, la persiste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que el sistema no resuelve en su estado actual y que conviene reunir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y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39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tres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dos se cerraron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la transferencia de esos datos a encargados domiciliados en países que la Disposición 60-E/2016 no reconoce como de protección adecuada agrega, sobre lo anterior,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En efecto, ese segundo proceso cubre ahora dos casos distintos: el síntoma de un fallo del nodo de scoring y la propuesta calificada que el profesional dejó sin enviar (§4.3.1 y §4.3.2). Este segundo caso es el más probable de los dos y hoy sólo se mitiga con la notificación inmediata y la visibilidad en el tablero.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repetir esa verificación contra el servicio real cuando la activación de credenciales de prueba del proveedor vuelva a estar disponible, que es lo único que la corrida actual no puede acreditar;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149 nodos funcionales —165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32</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29</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165</w:t>
            </w:r>
          </w:p>
        </w:tc>
        <w:tc>
          <w:tcPr>
            <w:tcW w:type="dxa" w:w="4139"/>
          </w:tcPr>
          <w:p>
            <w:pPr>
              <w:spacing w:after="40" w:before="40"/>
              <w:jc w:val="left"/>
            </w:pPr>
            <w:r>
              <w:rPr>
                <w:b w:val="0"/>
                <w:i w:val="0"/>
                <w:sz w:val="14"/>
              </w:rPr>
              <w:t>149 funcionales + 16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Rama HOT/WARM: Telegram - Propuesta Por Enviar (el lead queda a la espera de los términos). Rama COLD: Telegram - Lead Frio y Gmail - Acuse Lead Frio, en paralelo.</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