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y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cuyo cumplimiento se verifica en el Capítulo 5. El §3.1 desarrolla en detalle el fundamento metodológico de esta decisión.</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sino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w:t>
      </w:r>
      <w:r>
        <w:t xml:space="preserve">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y varios de esos destinatarios están domiciliados en países que la Disposición 60-E/2016 no considera de protección adecuada, lo que activa además el régimen de transferencia internacional de su art. 12. El §2.9 desarrolla las obligaciones aplicables; la dimensión se retoma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lo que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que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lo que aporta evidencia empírica independiente, aunque todavía preliminar,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w:t>
      </w:r>
      <w:r>
        <w:t xml:space="preserve">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excepción que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p>
    <w:p w:rsidR="00D60FC7" w:rsidRDefault="00000000">
      <w:pPr/>
      <w:proofErr w:type="spellStart"/>
      <w:proofErr w:type="spellEnd"/>
      <w:r>
        <w:rPr>
          <w:b/>
        </w:rPr>
        <w:t>Cesión y transferencia internacional.</w:t>
      </w:r>
      <w:r>
        <w:t xml:space="preserve">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y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y si consigna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segunda edición del modelo de calidad del producto de software vigente, que reemplaza a la edición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 xml:space="preserve">El componente </w:t>
      </w:r>
      <w:r>
        <w:rPr>
          <w:rFonts w:ascii="Consolas" w:hAnsi="Consolas"/>
        </w:rPr>
        <w:t>lead-form.tsx</w:t>
      </w:r>
      <w: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rPr>
        <w:t>NEXT_PUBLIC_N8N_BASE</w:t>
      </w:r>
      <w:r>
        <w:t>. Ante una respuesta satisfactoria se muestra una confirmación; ante un error, un mensaje de alerta. Con esto se satisface el OE1 (Figura 5, véase Anexo A). En §4.3.1 se analizan tres consecuencias de este diseño: el desajuste entre el rango del control deslizante y los tramos de puntaje; el hecho de que cuatro de los nueve valores ponderados del scoring no puedan originarse en este formulario; y, finalmente, el sesgo con que la opción «Otro» penalizaba a los leads que el sistema no supo clasificar.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Sin embargo, ninguna de las dos tiene hoy un mecanismo desatendido que la reclame.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modo que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la envía por correo, la persiste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y reemite el comprobante sin reenviar el correo con el PDF, que queda a cargo del proceso de recordatorios de pago en su siguiente pasada o del profesional, avisado por Telegram.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y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ventana de inconsistencia entre la inserción del lead y el cálculo de su puntaje.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ventana entre la inserción del lead y su puntaje, que todavía no tiene ningún proceso desatendido que la reclame.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Comprobado contra la base real: mes = 2026-08, total_leads = 2, propuestas_pendientes = 4</w:t>
            </w:r>
          </w:p>
        </w:tc>
        <w:tc>
          <w:tcPr>
            <w:tcW w:type="dxa" w:w="1928"/>
          </w:tcPr>
          <w:p>
            <w:pPr>
              <w:spacing w:after="40" w:before="40"/>
              <w:jc w:val="left"/>
            </w:pPr>
            <w:r>
              <w:rPr>
                <w:b/>
                <w:i w:val="0"/>
                <w:sz w:val="13"/>
              </w:rPr>
              <w:t>Pendiente:</w:t>
            </w:r>
            <w:r>
              <w:rPr>
                <w:b w:val="0"/>
                <w:i w:val="0"/>
                <w:sz w:val="13"/>
              </w:rPr>
              <w:t xml:space="preserve"> sólo la captura del mensaje recibido en Telegram. La causa por la que este escenario no producía evidencia se corrigió el 24-ago-2026: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y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y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la transferencia de esos datos a encargados domiciliados en países que la Disposición 60-E/2016 no reconoce como de protección adecuada agrega, sobre lo anterior,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leads en NUEVO con antigüedad superior a un umbral.</w:t>
      </w:r>
      <w:r>
        <w:rPr>
          <w:b w:val="0"/>
          <w:i w:val="0"/>
        </w:rPr>
        <w:t xml:space="preserve"> En efecto, ese proceso cubre ahora dos casos distintos: el síntoma de un fallo del nodo de scoring y la propuesta calificada que el profesional dejó sin enviar (§4.3.1 y §4.3.2). Este segundo caso es el más probable de los dos y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repetir esa verificación contra el servicio real cuando la activación de credenciales de prueba del proveedor vuelva a estar disponible, que es lo único que la corrida actual no puede acreditar;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4754880" cy="2271304"/>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2271304"/>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