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el sesgo con que la opción «Otro» penalizaba a los leads que el sistema no supo clasificar.</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seis consultas del tablero, de modo que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los COLD no reciben propuesta, evitando invertir esfuerzo comercial en oportunidades de baja prioridad (OE2). Hasta el 24 de agosto de 2026 esa rama sólo generaba una notificación interna por </w:t>
      </w:r>
      <w:proofErr w:type="spellStart"/>
      <w:r>
        <w:t>Telegram</w:t>
      </w:r>
      <w:proofErr w:type="spellEnd"/>
      <w:r>
        <w:t>, de modo que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y ninguna de las dos tiene hoy un mecanismo desatendido que la reclame. El sistema avisa por Telegram en el momento en que el lead queda a la espera y el tablero lo muestra en primer lugar con su recuento, pero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así que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y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de modo que,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E1b, el paso en que el profesional fija los términos y se envía la propuesta (OE3); E5 y E6, la aceptación, la facturación y la protección por token (OE3); E7, la actualización en tiempo real del tablero (OE4); E8 a E10, los caminos alternativos de la gestión posterior a la propuesta (OE3); y E11 a E13, los tres procesos programados (OE5). E14 queda declarado para el cobro real con MercadoPago y aún sin ejecutar (§4.3.3). Los quince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disparador ejecutado; metrics_mensuales devolvió 0 filas para agosto porque los leads de prueba se eliminan al final de cada corrida de tests/escenarios.mjs y no queda actividad persistente en el mes; el nodo de Telegram no llegó a ejecutarse</w:t>
            </w:r>
          </w:p>
        </w:tc>
        <w:tc>
          <w:tcPr>
            <w:tcW w:type="dxa" w:w="1928"/>
          </w:tcPr>
          <w:p>
            <w:pPr>
              <w:spacing w:after="40" w:before="40"/>
              <w:jc w:val="left"/>
            </w:pPr>
            <w:r>
              <w:rPr>
                <w:b/>
                <w:i w:val="0"/>
                <w:sz w:val="13"/>
              </w:rPr>
              <w:t>Pendiente:</w:t>
            </w:r>
            <w:r>
              <w:rPr>
                <w:b w:val="0"/>
                <w:i w:val="0"/>
                <w:sz w:val="13"/>
              </w:rPr>
              <w:t xml:space="preserve"> requiere una corrida que persista datos de agosto o esperar la ejecución real del cron. Es la única de las tres evidencias de OE5 que sigue sin producirse: E11 y E12 sí dejaron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lo que satisface la exigencia de tres repeticiones independientes que el protocolo de la Tabla 4 pide para los escenarios de camino principal que la suite cubre (E1 a E6, E1b incluido). E7, el único escenario de camino principal ajeno a esta suite, sigue sin poder medirse en absoluto —no es una cuestión de repeticiones, sino de que la instancia no tiene Realtime habilitado para la tabla leads, como se detalla más abajo—.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pero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algo que ninguna corrida anterior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Quedan, entonces, dos escenarios sin ejecutar por razones ajenas al código. E7 —la actualización del tablero en tiempo real— no pudo medirse porque la tabla leads no está incluida en la publicación supabase_realtime de la instancia utilizada: es una opción de configuración de la plataforma, no un defecto del código, pero mientras no se habilite el umbral del RNF6 no puede comprobarse. E14 requiere credenciales de prueba de MercadoPago y una tarjeta de test, es decir una operación con el proveedor real.</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38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el RNF6, por la limitación de Realtime ya descripta, y los tres requisitos que dependen de los procesos programados (RF8, RF9 y RF10), que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recibía la ponderación mínima, lo que sesgaba hacia COLD precisamente las oportunidades que el sistema no supo clasificar; ese sesgo se corrigió durante la preparación de la defensa (§4.3.1), pero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permitiendo confirmar una factura como cobrada sin pago real de por medio (S2); se cerró el 23-ago-2026 agregando una verificación que rechaza esa vía en cuanto hay credenciales de MercadoPago activas, de modo que la confirmación de pago solo puede originarse ya en el proveedor real. La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parcialmente: el modelo de datos y la RLS están verificados (npm run test:rls); la actualización en tiempo real del tablero (escenario E7) no pudo comprobarse porque la tabla leads no está incluida en la publicación supabase_realtime de la instancia utilizada.</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tablero interno, desde el que cancela leads, resuelve pedidos de cambio, actualiza el estado del trabajo y cierra el proyecto; y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ahora cubre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con lo que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Verificado parcialmente. El modelo de datos y la seguridad a nivel de fila se comprueban con npm run test:rls (24 casos rol por rol sobre un PostgreSQL real). La actualización en tiempo real del tablero (E7) NO pudo verificarse: la tabla leads no está incluida en la publicación supabase_realtime de la instancia.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Verificado parcialmente: el tablero lee y muestra los cuatro conjuntos de datos, pero la actualización en vivo (E7) no pudo comprobarse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NO verificado. La medición de latencia (scripts/medir-realtime.mjs) no recibe ningún evento porque leads no está en la publicación supabase_realtime de la instancia. Hasta habilitar Realtime para esa tabla, el umbral de 3 s no puede comprobarse.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sólo puede comprobarse si la tabla leads está incluida en la publicación supabase_realtime del proyecto, condición que no se cumplía en la instancia utilizada (§6.2).</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