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El OE3 reúne dos resultados que se verifican por separado —el ciclo comercial hasta la emisión del comprobante y el registro del cobro—. Su grado de cumplimiento se declara de forma independiente para cada uno en el Capítulo 7, porque el segundo depende de una pasarela externa y el primero no:</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 Los apartados 2.1 a 2.6 desarrollan ese marco conceptual. Los apartados 2.7 y 2.8 cumplen una función distinta: situar el trabajo frente a las soluciones que ya atienden el mismo problema y justificar la decisión de construir una propia. El apartado 2.9, por último, delimita el encuadre normativo que alcanza a lo que el sistema efectivamente hace.</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2024).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tres anchos (360, 768 y 1440 px).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 El lead normalizado se persiste con el nodo Insert Lead en la tabla leads.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logs y un tablero que expone el embudo completo.</w:t>
      </w:r>
      <w:r>
        <w:rPr>
          <w:b w:val="0"/>
          <w:i w:val="0"/>
        </w:rPr>
      </w:r>
      <w:r>
        <w:rPr>
          <w:rFonts w:ascii="Consolas" w:hAnsi="Consolas" w:cs="Consolas"/>
          <w:b w:val="0"/>
          <w:i w:val="0"/>
        </w:rPr>
      </w:r>
      <w:r>
        <w:rPr>
          <w:b w:val="0"/>
          <w:i w:val="0"/>
        </w:rPr>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La primera es repetir esa verificación contra el servicio real cuando la activación de credenciales de prueba del proveedor vuelva a estar disponible, que es lo único que la corrida actual no puede acreditar. Las otras dos son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 Flujo de captación y calificación en n8n: webhook de nuevo lead, normalización, verificación de duplicados, scoring, inserción ya calificada y el aviso de que la propuesta queda pendiente de que el profesional la envíe (§4.3.1). Nota. Captura propia del lienzo de n8n.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y está pendiente de incorporación.</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 Correo de propuesta generado por el sistema, con los términos fijados por el profesional (§4.3.1, escenario E5). Nota. La captura anterior mostraba el correo personal de uno de los autores como remitente y como lead de prueba, en incumplimiento del protocolo de la Tabla 4. Esta figura se generó ejecutando el nodo real Code - Generar Propuesta con datos neutros conforme a ese protocolo (Cliente Demo 1, dominio ejemplo.com) y los valores reales de E5 (precio 7200, plazo 3 semanas), renderizando el HTML resultante. El envío por Gmail no se ejecutó por la credencial vencida (Tabla 11); el contenido es el que ese nodo produce sin variación.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 Correo de envío de la factura con el comprobante adjunto en PDF (§4.3.2, escenario E5). Nota. La captura anterior mostraba el correo personal de uno de los autores.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r>
        <w:rPr>
          <w:b w:val="0"/>
          <w:i w:val="0"/>
          <w:sz w:val="17"/>
        </w:rPr>
      </w:r>
      <w:r>
        <w:rPr>
          <w:b w:val="0"/>
          <w:i/>
          <w:sz w:val="17"/>
        </w:rPr>
      </w:r>
      <w:r>
        <w:rPr>
          <w:b w:val="0"/>
          <w:i w:val="0"/>
          <w:sz w:val="17"/>
        </w:rPr>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 Clasificación de leads por score y nivel: ejemplos HOT, WARM y COLD registrados en la tabla leads (§4.3.1, escenarios E1 a E3). Nota. La captura anterior usaba a los propios autores como leads de prueba y valores que no correspondían a E1-E3. Esta figura se generó enviando tres leads reales con los datos de la Tabla 4 (Cliente Demo 1 a 3, dominio ejemplo.com) y las entradas exactas de E1, E2 y E3, y consultando la tabla leads resultante: los tres puntajes (100, 47, 20) coinciden con la Tabla 12.</w:t>
      </w:r>
      <w:r>
        <w:rPr>
          <w:b w:val="0"/>
          <w:i w:val="0"/>
          <w:sz w:val="17"/>
        </w:rPr>
      </w:r>
      <w:r>
        <w:rPr>
          <w:rFonts w:ascii="Consolas" w:hAnsi="Consolas" w:cs="Consolas"/>
          <w:b w:val="0"/>
          <w:i w:val="0"/>
          <w:sz w:val="17"/>
        </w:rPr>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pPr/>
      <w:r>
        <w:t>Corrida completa de tests/escenarios.mjs, ejecutada el 29 de agosto de 2026 a las 03:05 UTC contra el sistema levantado (n8n en http://localhost:5678, Supabase en la URL declarada en .env.local), sin editar. Los escenarios E1, E2 y E3 verifican el desglose del puntaje contra la Tabla 5, no sólo el total; las cuatro entradas inválidas de la Tabla 12 se verifican en una sola corrida (lead-invalido). A partir de E1b, todo lo que depende de que la propuesta o la factura salgan por correo falla por la credencial de Gmail vencida, ya señalada en §4.3.5; el proceso de reconciliación (§4.3.5) existe precisamente porque no depende de ella.</w:t>
      </w:r>
    </w:p>
    <w:p>
      <w:pPr/>
      <w:r>
        <w:t>Salida de la corrida (tests/escenarios.mjs, 29 de agosto de 2026, 03:05 UTC):</w:t>
      </w:r>
    </w:p>
    <w:tbl>
      <w:tblPr>
        <w:tblW w:type="auto" w:w="0"/>
        <w:tblLook w:firstColumn="1" w:firstRow="1" w:lastColumn="0" w:lastRow="0" w:noHBand="0" w:noVBand="1" w:val="04A0"/>
      </w:tblPr>
      <w:tblGrid>
        <w:gridCol w:w="2197"/>
        <w:gridCol w:w="2197"/>
        <w:gridCol w:w="2197"/>
        <w:gridCol w:w="2197"/>
      </w:tblGrid>
      <w:tr>
        <w:tc>
          <w:tcPr>
            <w:tcW w:type="dxa" w:w="2197"/>
          </w:tcPr>
          <w:p>
            <w:r>
              <w:t>Escenario</w:t>
            </w:r>
          </w:p>
        </w:tc>
        <w:tc>
          <w:tcPr>
            <w:tcW w:type="dxa" w:w="2197"/>
          </w:tcPr>
          <w:p>
            <w:r>
              <w:t>Descripción</w:t>
            </w:r>
          </w:p>
        </w:tc>
        <w:tc>
          <w:tcPr>
            <w:tcW w:type="dxa" w:w="2197"/>
          </w:tcPr>
          <w:p>
            <w:r>
              <w:t>Resultado</w:t>
            </w:r>
          </w:p>
        </w:tc>
        <w:tc>
          <w:tcPr>
            <w:tcW w:type="dxa" w:w="2197"/>
          </w:tcPr>
          <w:p>
            <w:r>
              <w:t>Tiempo</w:t>
            </w:r>
          </w:p>
        </w:tc>
      </w:tr>
      <w:tr>
        <w:tc>
          <w:tcPr>
            <w:tcW w:type="dxa" w:w="2197"/>
          </w:tcPr>
          <w:p>
            <w:r>
              <w:t>E1</w:t>
            </w:r>
          </w:p>
        </w:tc>
        <w:tc>
          <w:tcPr>
            <w:tcW w:type="dxa" w:w="2197"/>
          </w:tcPr>
          <w:p>
            <w:r>
              <w:t>Un lead de presupuesto alto se califica HOT y queda esperando propuesta</w:t>
            </w:r>
          </w:p>
        </w:tc>
        <w:tc>
          <w:tcPr>
            <w:tcW w:type="dxa" w:w="2197"/>
          </w:tcPr>
          <w:p>
            <w:r>
              <w:t>OK</w:t>
            </w:r>
          </w:p>
        </w:tc>
        <w:tc>
          <w:tcPr>
            <w:tcW w:type="dxa" w:w="2197"/>
          </w:tcPr>
          <w:p>
            <w:r>
              <w:t>5308 ms</w:t>
            </w:r>
          </w:p>
        </w:tc>
      </w:tr>
      <w:tr>
        <w:tc>
          <w:tcPr>
            <w:tcW w:type="dxa" w:w="2197"/>
          </w:tcPr>
          <w:p>
            <w:r>
              <w:t>E1b</w:t>
            </w:r>
          </w:p>
        </w:tc>
        <w:tc>
          <w:tcPr>
            <w:tcW w:type="dxa" w:w="2197"/>
          </w:tcPr>
          <w:p>
            <w:r>
              <w:t>El profesional fija precio, plazo y alcance, y recién ahí sale la propuesta</w:t>
            </w:r>
          </w:p>
        </w:tc>
        <w:tc>
          <w:tcPr>
            <w:tcW w:type="dxa" w:w="2197"/>
          </w:tcPr>
          <w:p>
            <w:r>
              <w:t>ERROR (Gmail vencido)</w:t>
            </w:r>
          </w:p>
        </w:tc>
        <w:tc>
          <w:tcPr>
            <w:tcW w:type="dxa" w:w="2197"/>
          </w:tcPr>
          <w:p>
            <w:r>
              <w:t>27473 ms</w:t>
            </w:r>
          </w:p>
        </w:tc>
      </w:tr>
      <w:tr>
        <w:tc>
          <w:tcPr>
            <w:tcW w:type="dxa" w:w="2197"/>
          </w:tcPr>
          <w:p>
            <w:r>
              <w:t>E2</w:t>
            </w:r>
          </w:p>
        </w:tc>
        <w:tc>
          <w:tcPr>
            <w:tcW w:type="dxa" w:w="2197"/>
          </w:tcPr>
          <w:p>
            <w:r>
              <w:t>Un lead de valor medio se califica WARM y también espera propuesta</w:t>
            </w:r>
          </w:p>
        </w:tc>
        <w:tc>
          <w:tcPr>
            <w:tcW w:type="dxa" w:w="2197"/>
          </w:tcPr>
          <w:p>
            <w:r>
              <w:t>OK</w:t>
            </w:r>
          </w:p>
        </w:tc>
        <w:tc>
          <w:tcPr>
            <w:tcW w:type="dxa" w:w="2197"/>
          </w:tcPr>
          <w:p>
            <w:r>
              <w:t>4834 ms</w:t>
            </w:r>
          </w:p>
        </w:tc>
      </w:tr>
      <w:tr>
        <w:tc>
          <w:tcPr>
            <w:tcW w:type="dxa" w:w="2197"/>
          </w:tcPr>
          <w:p>
            <w:r>
              <w:t>E3</w:t>
            </w:r>
          </w:p>
        </w:tc>
        <w:tc>
          <w:tcPr>
            <w:tcW w:type="dxa" w:w="2197"/>
          </w:tcPr>
          <w:p>
            <w:r>
              <w:t>Un lead de presupuesto bajo se califica COLD y NO recibe propuesta</w:t>
            </w:r>
          </w:p>
        </w:tc>
        <w:tc>
          <w:tcPr>
            <w:tcW w:type="dxa" w:w="2197"/>
          </w:tcPr>
          <w:p>
            <w:r>
              <w:t>FALLA (aviso por Gmail vencido)</w:t>
            </w:r>
          </w:p>
        </w:tc>
        <w:tc>
          <w:tcPr>
            <w:tcW w:type="dxa" w:w="2197"/>
          </w:tcPr>
          <w:p>
            <w:r>
              <w:t>4616 ms</w:t>
            </w:r>
          </w:p>
        </w:tc>
      </w:tr>
      <w:tr>
        <w:tc>
          <w:tcPr>
            <w:tcW w:type="dxa" w:w="2197"/>
          </w:tcPr>
          <w:p>
            <w:r>
              <w:t>E4</w:t>
            </w:r>
          </w:p>
        </w:tc>
        <w:tc>
          <w:tcPr>
            <w:tcW w:type="dxa" w:w="2197"/>
          </w:tcPr>
          <w:p>
            <w:r>
              <w:t>Un lead inválido se rechaza sin persistirse y queda registrado</w:t>
            </w:r>
          </w:p>
        </w:tc>
        <w:tc>
          <w:tcPr>
            <w:tcW w:type="dxa" w:w="2197"/>
          </w:tcPr>
          <w:p>
            <w:r>
              <w:t>OK</w:t>
            </w:r>
          </w:p>
        </w:tc>
        <w:tc>
          <w:tcPr>
            <w:tcW w:type="dxa" w:w="2197"/>
          </w:tcPr>
          <w:p>
            <w:r>
              <w:t>5529 ms</w:t>
            </w:r>
          </w:p>
        </w:tc>
      </w:tr>
      <w:tr>
        <w:tc>
          <w:tcPr>
            <w:tcW w:type="dxa" w:w="2197"/>
          </w:tcPr>
          <w:p>
            <w:r>
              <w:t>E5/E6</w:t>
            </w:r>
          </w:p>
        </w:tc>
        <w:tc>
          <w:tcPr>
            <w:tcW w:type="dxa" w:w="2197"/>
          </w:tcPr>
          <w:p>
            <w:r>
              <w:t>Aceptación válida y reutilización del enlace: una sola factura</w:t>
            </w:r>
          </w:p>
        </w:tc>
        <w:tc>
          <w:tcPr>
            <w:tcW w:type="dxa" w:w="2197"/>
          </w:tcPr>
          <w:p>
            <w:r>
              <w:t>ERROR (depende de E1b)</w:t>
            </w:r>
          </w:p>
        </w:tc>
        <w:tc>
          <w:tcPr>
            <w:tcW w:type="dxa" w:w="2197"/>
          </w:tcPr>
          <w:p>
            <w:r>
              <w:t>0 ms</w:t>
            </w:r>
          </w:p>
        </w:tc>
      </w:tr>
      <w:tr>
        <w:tc>
          <w:tcPr>
            <w:tcW w:type="dxa" w:w="2197"/>
          </w:tcPr>
          <w:p>
            <w:r>
              <w:t>E8</w:t>
            </w:r>
          </w:p>
        </w:tc>
        <w:tc>
          <w:tcPr>
            <w:tcW w:type="dxa" w:w="2197"/>
          </w:tcPr>
          <w:p>
            <w:r>
              <w:t>El rechazo de la propuesta deja el lead en PERDIDO</w:t>
            </w:r>
          </w:p>
        </w:tc>
        <w:tc>
          <w:tcPr>
            <w:tcW w:type="dxa" w:w="2197"/>
          </w:tcPr>
          <w:p>
            <w:r>
              <w:t>ERROR (depende de E1b)</w:t>
            </w:r>
          </w:p>
        </w:tc>
        <w:tc>
          <w:tcPr>
            <w:tcW w:type="dxa" w:w="2197"/>
          </w:tcPr>
          <w:p>
            <w:r>
              <w:t>28433 ms</w:t>
            </w:r>
          </w:p>
        </w:tc>
      </w:tr>
      <w:tr>
        <w:tc>
          <w:tcPr>
            <w:tcW w:type="dxa" w:w="2197"/>
          </w:tcPr>
          <w:p>
            <w:r>
              <w:t>E9</w:t>
            </w:r>
          </w:p>
        </w:tc>
        <w:tc>
          <w:tcPr>
            <w:tcW w:type="dxa" w:w="2197"/>
          </w:tcPr>
          <w:p>
            <w:r>
              <w:t>El pedido de cambios vuelve el lead a EN_SEGUIMIENTO y guarda el mensaje</w:t>
            </w:r>
          </w:p>
        </w:tc>
        <w:tc>
          <w:tcPr>
            <w:tcW w:type="dxa" w:w="2197"/>
          </w:tcPr>
          <w:p>
            <w:r>
              <w:t>ERROR (depende de E1b)</w:t>
            </w:r>
          </w:p>
        </w:tc>
        <w:tc>
          <w:tcPr>
            <w:tcW w:type="dxa" w:w="2197"/>
          </w:tcPr>
          <w:p>
            <w:r>
              <w:t>28996 ms</w:t>
            </w:r>
          </w:p>
        </w:tc>
      </w:tr>
      <w:tr>
        <w:tc>
          <w:tcPr>
            <w:tcW w:type="dxa" w:w="2197"/>
          </w:tcPr>
          <w:p>
            <w:r>
              <w:t>E10</w:t>
            </w:r>
          </w:p>
        </w:tc>
        <w:tc>
          <w:tcPr>
            <w:tcW w:type="dxa" w:w="2197"/>
          </w:tcPr>
          <w:p>
            <w:r>
              <w:t>El estado del trabajo se actualiza desde el panel y se sincroniza</w:t>
            </w:r>
          </w:p>
        </w:tc>
        <w:tc>
          <w:tcPr>
            <w:tcW w:type="dxa" w:w="2197"/>
          </w:tcPr>
          <w:p>
            <w:r>
              <w:t>ERROR (depende de E1b)</w:t>
            </w:r>
          </w:p>
        </w:tc>
        <w:tc>
          <w:tcPr>
            <w:tcW w:type="dxa" w:w="2197"/>
          </w:tcPr>
          <w:p>
            <w:r>
              <w:t>0 ms</w:t>
            </w:r>
          </w:p>
        </w:tc>
      </w:tr>
    </w:tbl>
    <w:p>
      <w:pPr/>
      <w:r>
        <w:t>Nota. El lead COLD no recibe una propuesta por diseño (Tabla 5); lo que falla en esa fila es el aviso de cortesía por Telegram y Gmail al lead, agrupado bajo la misma causa raíz. El detalle completo, con cada aserción, vive en docs/evidencia-validacion.md, que este mismo comando regenera en cada corrida.</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La interfaz no desborda horizontalmente en los tres anchos revisados.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