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w:t>
      </w:r>
      <w:r>
        <w:t xml:space="preserve"> Este objetivo excluye deliberadamente el resultado «reducir la carga administrativa manual»: ningún objetivo específico operacionaliza esa variable y ningún escenario de validación la mide, el trabajo no define «carga administrativa» en términos medibles, no establece una línea de base previa y no toma una medición posterior. Incluir esa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Una revisión posterior a la entrega de este trabajo incorporó dos antecedentes adicionales que estrechan, sin cerrarla del todo, esa laguna.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Style w:val="Ttulo2"/>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Style w:val="Ttulo2"/>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Style w:val="Ttulo2"/>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Style w:val="Ttulo2"/>
      </w:pPr>
      <w:proofErr w:type="spellStart"/>
      <w:proofErr w:type="spellEnd"/>
      <w:r>
        <w:rPr>
          <w:b/>
        </w:rPr>
        <w:t>Comprobantes fiscales.</w:t>
      </w:r>
      <w:r>
        <w:t xml:space="preserve"> La emisión de comprobantes está regida por el régimen de facturación electrónica que administra la Agencia de Recaudación y Control Aduanero (ARCA, continuadora de la AFIP desde 2024).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Style w:val="Ttulo2"/>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t>La Tabla 2 presenta los requisitos no funcionales (RNF), organizados según las características de calidad de la norma ISO/IEC 25010:2023,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Además,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Fueron tres corridas independientes de cinco repeticiones cada una: se recibieron 15 eventos sobre 15 esperados, con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dos se cerraron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En consecuencia, la latencia p95 fue de 0,56 s en el mejor caso y de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