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 Sistema de Tickets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real-time updating of the dashboard.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simulado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 pendiente de regeneración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dos consecuencias de este diseño que el trabajo no había discutido: el desajuste entre el rango del control deslizante y los tramos de puntaje, y el hecho de que tres de los nueve valores ponderados del scoring no puedan originarse en este formulario.</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t xml:space="preserve">  (incluye la opción «Otro» del formulario)</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no puede originarse desde el formulario y se documenta por completitud del modelo.</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soporte</w:t>
      </w:r>
      <w:r>
        <w:rPr>
          <w:b w:val="0"/>
          <w:i w:val="0"/>
        </w:rPr>
        <w:t xml:space="preserve">. Es decir, «Otro» no cae en un valor por omisión: tiene una traducción declarada, que es </w:t>
      </w:r>
      <w:r>
        <w:rPr>
          <w:rFonts w:ascii="Consolas" w:hAnsi="Consolas" w:cs="Consolas"/>
          <w:b w:val="0"/>
          <w:i w:val="0"/>
        </w:rPr>
        <w:t>soporte</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desarrollo_web</w:t>
      </w:r>
      <w:r>
        <w:rPr>
          <w:b w:val="0"/>
          <w:i w:val="0"/>
        </w:rPr>
        <w:t>. Este valor no se aplica nunca a una selección hecha en el formulario.</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recibe la ponderación mínima.</w:t>
      </w:r>
      <w:r>
        <w:rPr>
          <w:b w:val="0"/>
          <w:i w:val="0"/>
        </w:rPr>
        <w:t xml:space="preserve"> Al traducirse a </w:t>
      </w:r>
      <w:r>
        <w:rPr>
          <w:rFonts w:ascii="Consolas" w:hAnsi="Consolas" w:cs="Consolas"/>
          <w:b w:val="0"/>
          <w:i w:val="0"/>
        </w:rPr>
        <w:t>soporte</w:t>
      </w:r>
      <w:r>
        <w:rPr>
          <w:b w:val="0"/>
          <w:i w:val="0"/>
        </w:rPr>
        <w:t>, todo proyecto atípico obtiene 5 puntos por tipo de servicio: la penalización máxima. El sesgo empuja hacia COLD, precisamente, las oportunidades que el sistema no supo clasificar, incluidas las de alto valor. Un presupuesto de 5000 dólares con urgencia alta y «Otro» alcanza 85 puntos y sigue siendo HOT, pero uno de 1000 dólares con urgencia media pasa de WARM a COLD por esta única razón. Una asignación neutra —o dejar el lead pendiente de revisión manual— sería preferible; se registra como mejora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20 y la suma del embudo, 21.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El propio cliente —o cualquier reenvío, registro intermedio o rastreador de enlaces— puede marcar una factura como COBRADO sin haber pagado.</w:t>
            </w:r>
          </w:p>
        </w:tc>
        <w:tc>
          <w:tcPr>
            <w:tcW w:type="dxa" w:w="2494"/>
          </w:tcPr>
          <w:p>
            <w:pPr>
              <w:spacing w:after="40" w:before="40"/>
              <w:jc w:val="left"/>
            </w:pPr>
            <w:r>
              <w:rPr>
                <w:b w:val="0"/>
                <w:i w:val="0"/>
                <w:sz w:val="13"/>
              </w:rPr>
              <w:t>Convertir a POST con firma; establecer que COBRADO solo puede originarse en el proveedor de pagos.</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advertencia sobre el estado de este capítulo. La columna «Resultado esperado» de la Tabla 12 consigna valores derivados aritméticamente de las reglas declaradas en la Tabla 5, de modo que puede verificarse sin ejecutar el sistema. La columna «Resultado observado», en cambio, exige registrar el valor efectivamente producido en cada corrida —el score numérico, el identificador del lead, el estado persistido y la marca temporal— y no admite una paráfrasis del resultado esperado: un resultado observado que reformula al esperado no constituye evidencia. Las celdas marcadas «[registrar]» corresponden a ejecuciones cuyos valores deben consignarse tras reejecutar los escenarios conforme al protocolo. Se optó por dejarlas explícitas antes que completarlas con afirmaciones no respaldadas por una corrida documentada.</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Los trece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i w:val="0"/>
                <w:sz w:val="13"/>
              </w:rPr>
              <w:t>Pendiente:</w:t>
            </w:r>
            <w:r>
              <w:rPr>
                <w:b w:val="0"/>
                <w:i w:val="0"/>
                <w:sz w:val="13"/>
              </w:rPr>
              <w:t xml:space="preserve"> la Figura 16 documenta un caso de </w:t>
            </w:r>
            <w:r>
              <w:rPr>
                <w:b w:val="0"/>
                <w:i w:val="0"/>
                <w:sz w:val="13"/>
                <w:rFonts w:ascii="Consolas" w:hAnsi="Consolas" w:cs="Consolas"/>
              </w:rPr>
              <w:t>diseno_ui</w:t>
            </w:r>
            <w:r>
              <w:rPr>
                <w:b w:val="0"/>
                <w:i w:val="0"/>
                <w:sz w:val="13"/>
              </w:rPr>
              <w:t xml:space="preserve"> por USD 1000 (score 50), que no es el declarado en este escenario. Debe reejecutarse E2 con la entrada declarada y capturarse la fila resultante, o bien redeclararse el escenario conforme al caso efectivamente ejecutado.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i w:val="0"/>
                <w:sz w:val="13"/>
              </w:rPr>
              <w:t>Pendiente:</w:t>
            </w:r>
            <w:r>
              <w:rPr>
                <w:b w:val="0"/>
                <w:i w:val="0"/>
                <w:sz w:val="13"/>
              </w:rPr>
              <w:t xml:space="preserve"> la Figura 16 documenta un caso de </w:t>
            </w:r>
            <w:r>
              <w:rPr>
                <w:b w:val="0"/>
                <w:i w:val="0"/>
                <w:sz w:val="13"/>
                <w:rFonts w:ascii="Consolas" w:hAnsi="Consolas" w:cs="Consolas"/>
              </w:rPr>
              <w:t>soporte</w:t>
            </w:r>
            <w:r>
              <w:rPr>
                <w:b w:val="0"/>
                <w:i w:val="0"/>
                <w:sz w:val="13"/>
              </w:rPr>
              <w:t xml:space="preserve"> por USD 100 (score 10), que no es el declarado en este escenario. Debe reejecutarse E3 con la entrada declarada y capturarse la fila resultante, o bien redeclararse el escenario conforme al caso efectivamente ejecutado.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[registrar] · fila de logs = [registrar] · mensaje devuelto = [registrar]</w:t>
            </w:r>
          </w:p>
        </w:tc>
        <w:tc>
          <w:tcPr>
            <w:tcW w:type="dxa" w:w="1928"/>
          </w:tcPr>
          <w:p>
            <w:pPr>
              <w:spacing w:after="40" w:before="40"/>
              <w:jc w:val="left"/>
            </w:pPr>
            <w:r>
              <w:rPr>
                <w:b w:val="0"/>
                <w:i w:val="0"/>
                <w:sz w:val="13"/>
              </w:rPr>
              <w:t xml:space="preserve">Figura 17. </w:t>
            </w:r>
            <w:r>
              <w:rPr>
                <w:b/>
                <w:i w:val="0"/>
                <w:sz w:val="13"/>
              </w:rPr>
              <w:t>Pendiente:</w:t>
            </w:r>
            <w:r>
              <w:rPr>
                <w:b w:val="0"/>
                <w:i w:val="0"/>
                <w:sz w:val="13"/>
              </w:rPr>
              <w:t xml:space="preserve"> la captura actual muestra un único mensaje de error (el del nombre) y no las tres condiciones inválidas simultáneas que declara el escenario.</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lead_id = [registrar] · factura_id = [registrar] · fecha_emision = [registrar] · fecha_vencimiento = [registrar] · estado = [registrar]</w:t>
            </w:r>
          </w:p>
        </w:tc>
        <w:tc>
          <w:tcPr>
            <w:tcW w:type="dxa" w:w="1928"/>
          </w:tcPr>
          <w:p>
            <w:pPr>
              <w:spacing w:after="40" w:before="40"/>
              <w:jc w:val="left"/>
            </w:pPr>
            <w:r>
              <w:rPr>
                <w:b w:val="0"/>
                <w:i w:val="0"/>
                <w:sz w:val="13"/>
              </w:rPr>
              <w:t xml:space="preserve">Figura 18 (aceptación satisfactoria), Figura 13 (correo de propuesta), Figura 14 (correo de factura) y Figura 15 (comprobante en PDF, </w:t>
            </w:r>
            <w:r>
              <w:rPr>
                <w:b/>
                <w:i w:val="0"/>
                <w:sz w:val="13"/>
              </w:rPr>
              <w:t>a regenerar</w:t>
            </w:r>
            <w:r>
              <w:rPr>
                <w:b w:val="0"/>
                <w:i w:val="0"/>
                <w:sz w:val="13"/>
              </w:rPr>
              <w:t>).</w:t>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filas en facturas = [registrar] · respuestas devueltas = [registrar] · fecha y hora de cada invocación = [registrar]</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[registrar] · filas en facturas = [registrar] · fecha y hora = [registrar]</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[registrar] · mensaje persistido = [registrar] · fecha y hora = [registrar]</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antes/después = [registrar] · respuesta de la API de Notion = [registrar]</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enviado = [registrar] · fila de seguimientos = [registrar] · contador antes/después = [registrar]</w:t>
            </w:r>
          </w:p>
        </w:tc>
        <w:tc>
          <w:tcPr>
            <w:tcW w:type="dxa" w:w="1928"/>
          </w:tcPr>
          <w:p>
            <w:pPr>
              <w:spacing w:after="40" w:before="40"/>
              <w:jc w:val="left"/>
            </w:pPr>
            <w:r>
              <w:rPr>
                <w:b/>
                <w:i w:val="0"/>
                <w:sz w:val="13"/>
              </w:rPr>
              <w:t>Pendiente:</w:t>
            </w:r>
            <w:r>
              <w:rPr>
                <w:b w:val="0"/>
                <w:i w:val="0"/>
                <w:sz w:val="13"/>
              </w:rPr>
              <w:t xml:space="preserve"> captura del correo recibido y de la fila insertada.</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[registrar] · correo enviado = [registrar] · notificación de Telegram = [registrar]</w:t>
            </w:r>
          </w:p>
        </w:tc>
        <w:tc>
          <w:tcPr>
            <w:tcW w:type="dxa" w:w="1928"/>
          </w:tcPr>
          <w:p>
            <w:pPr>
              <w:spacing w:after="40" w:before="40"/>
              <w:jc w:val="left"/>
            </w:pPr>
            <w:r>
              <w:rPr>
                <w:b/>
                <w:i w:val="0"/>
                <w:sz w:val="13"/>
              </w:rPr>
              <w:t>Pendiente:</w:t>
            </w:r>
            <w:r>
              <w:rPr>
                <w:b w:val="0"/>
                <w:i w:val="0"/>
                <w:sz w:val="13"/>
              </w:rPr>
              <w:t xml:space="preserve"> captura del correo y de la notificación.</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contenido del mensaje = [registrar] · coincidencia con el tablero = [registrar]</w:t>
            </w:r>
          </w:p>
        </w:tc>
        <w:tc>
          <w:tcPr>
            <w:tcW w:type="dxa" w:w="1928"/>
          </w:tcPr>
          <w:p>
            <w:pPr>
              <w:spacing w:after="40" w:before="40"/>
              <w:jc w:val="left"/>
            </w:pPr>
            <w:r>
              <w:rPr>
                <w:b/>
                <w:i w:val="0"/>
                <w:sz w:val="13"/>
              </w:rPr>
              <w:t>Pendiente:</w:t>
            </w:r>
            <w:r>
              <w:rPr>
                <w:b w:val="0"/>
                <w:i w:val="0"/>
                <w:sz w:val="13"/>
              </w:rPr>
              <w:t xml:space="preserve"> captura del mensaje de Telegram. Es la única evidencia que acredita OE5 y hoy no existe en el Anexo A.</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Durante el desarrollo se ejecutaron de forma informal los trece escenarios, sin registro documentado del momento ni de los valores obtenidos; esa ejecución no constituye evidencia y no se invoca como tal. Lo que este capítulo no puede acreditar todavía, y por ello se consigna con precisión, son los valores asociados a cada corrida: los escenarios se ejecutaron una sola vez cada uno, sin registrar el score numérico, el identificador del lead ni la marca temporal, de modo que no puede establecerse repetibilidad. Reejecutarlos conforme al protocolo de la Tabla 4 es la tarea pendiente de mayor rendimiento de todo el capítulo, y no exige modificar el sistema.</w:t>
      </w:r>
      <w:r>
        <w:rPr>
          <w:b w:val="0"/>
          <w:i/>
        </w:rPr>
      </w:r>
      <w:r>
        <w:rPr>
          <w:b w:val="0"/>
          <w:i w:val="0"/>
        </w:rPr>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 xml:space="preserve">De esa delimitación se sigue una carencia que corresponde declarar: </w:t>
      </w:r>
      <w:r>
        <w:rPr>
          <w:b w:val="0"/>
          <w:i/>
        </w:rPr>
        <w:t>el trabajo no dispone de pruebas funcionales automatizadas</w:t>
      </w:r>
      <w:r>
        <w:rPr>
          <w:b w:val="0"/>
          <w:i w:val="0"/>
        </w:rPr>
        <w:t>. No existe una sola aserción sobre el valor del score, sobre los umbrales de clasificación en niveles ni sobre las transiciones de estado, que son precisamente las reglas que constituyen el aporte declarado. Un conjunto mínimo de aserciones sobre los casos de la Tabla 5 y sobre las transiciones de la Tabla 9 —comprobar, por ejemplo, que la entrada de E1 produce 100 y que la de E2 produce 47— cerraría la brecha con un esfuerzo acotado, y protegería frente a regresiones el componente más sensible del sistema. Se registra en el Capítulo 8.</w:t>
      </w:r>
    </w:p>
    <w:p>
      <w:pPr/>
      <w:r>
        <w:rPr>
          <w:b w:val="0"/>
          <w:i w:val="0"/>
        </w:rPr>
        <w:t>Ninguno de los once requisitos funcionales ni de los siete requisitos no funcionales se verifica hoy de forma individual. La Tabla 2 los enuncia con umbral y método de verificación precisamente para hacerlo posible; el Anexo E incorpora las columnas que trazan cada requisito contra el escenario que lo ejercita, con las celdas de resultado pendientes de completar.</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recibe la ponderación mínima, lo que sesga hacia COLD precisamente las oportunidades que el sistema no supo clasificar.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el pago se representó de forma simulada.</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y no resueltas. La Tabla 11 las enumera. La más grave, por su consecuencia de negocio, es que el modo de desarrollo del webhook de pago sigue siendo alcanzable desde el enlace que recibe el propio deudor cuando no hay credenciales de MercadoPago configuradas. La más amplia es que siete de los doce webhooks no autentican el origen de la invocación. Ninguna de las dos impide la demostración de viabilidad técnica, pero ambas impiden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asignada a la opción «Otro»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F.,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J.,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680000" cy="9692845"/>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680000" cy="9692845"/>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400000" cy="4384158"/>
            <wp:docPr id="24" name="Picture 24"/>
            <wp:cNvGraphicFramePr>
              <a:graphicFrameLocks noChangeAspect="1"/>
            </wp:cNvGraphicFramePr>
            <a:graphic>
              <a:graphicData uri="http://schemas.openxmlformats.org/drawingml/2006/picture">
                <pic:pic>
                  <pic:nvPicPr>
                    <pic:cNvPr id="0" name="image3_redactado.png"/>
                    <pic:cNvPicPr/>
                  </pic:nvPicPr>
                  <pic:blipFill>
                    <a:blip r:embed="rId32"/>
                    <a:stretch>
                      <a:fillRect/>
                    </a:stretch>
                  </pic:blipFill>
                  <pic:spPr>
                    <a:xfrm>
                      <a:off x="0" y="0"/>
                      <a:ext cx="5400000" cy="4384158"/>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La dirección de correo del usuario se sustituyó por una de ejemplo. Obsérvese que el indicador «LEADS» (20) y la suma del embudo (21) no coinciden: responden a alcances temporales distintos, según se detalla en la Tabla 8.</w:t>
      </w:r>
    </w:p>
    <w:p>
      <w:pPr>
        <w:jc w:val="center"/>
        <w:keepNext/>
      </w:pPr>
      <w:r>
        <w:drawing>
          <wp:inline xmlns:a="http://schemas.openxmlformats.org/drawingml/2006/main" xmlns:pic="http://schemas.openxmlformats.org/drawingml/2006/picture">
            <wp:extent cx="4320000" cy="3823617"/>
            <wp:docPr id="25" name="Picture 2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20000" cy="3823617"/>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208301"/>
            <wp:docPr id="27" name="Picture 27"/>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580000" cy="1208301"/>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del PDF y persistencia de la factura (§4.3.2).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4852416" cy="2200656"/>
            <wp:docPr id="28" name="Picture 2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852416" cy="2200656"/>
                    </a:xfrm>
                    <a:prstGeom prst="rect"/>
                  </pic:spPr>
                </pic:pic>
              </a:graphicData>
            </a:graphic>
          </wp:inline>
        </w:drawing>
      </w:r>
    </w:p>
    <w:p>
      <w:pPr>
        <w:keepLines/>
      </w:pPr>
      <w:r>
        <w:rPr>
          <w:b/>
          <w:i w:val="0"/>
          <w:sz w:val="17"/>
        </w:rPr>
        <w:t>Figura 10.</w:t>
      </w:r>
      <w:r>
        <w:rPr>
          <w:b w:val="0"/>
          <w:i w:val="0"/>
          <w:sz w:val="17"/>
        </w:rPr>
        <w:t xml:space="preserve"> Flujo de confirmación de pago simulado en n8n (§4.3.3).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t>[ Figura 15 — pendiente de regeneración ]</w:t>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w:t>
      </w:r>
      <w:r>
        <w:rPr>
          <w:b w:val="0"/>
          <w:i w:val="0"/>
          <w:sz w:val="17"/>
        </w:rPr>
        <w:t xml:space="preserve"> Contenía un dato de prueba inadmisible en el campo «Cliente», la plantilla del emisor sin configurar —«[TU NOMBRE / EMPRESA]», «[tu@email.com]», «[Tu CBU / Alias / PayPal]»— y la dirección de correo personal de uno de los autores; además correspondía a una factura distinta de la referida en la Figura 14, de modo que la cadena de evidencia no podía seguirse de punta a punta. Debe reemplazarse por una captura de una ejecución única y trazable, con datos de prueba neutros conforme al protocolo de la Tabla 4 y con la plantilla del emisor completa.</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3240000" cy="788922"/>
            <wp:docPr id="34" name="Picture 3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240000" cy="788922"/>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486400" cy="4274849"/>
            <wp:docPr id="39" name="Picture 39"/>
            <wp:cNvGraphicFramePr>
              <a:graphicFrameLocks noChangeAspect="1"/>
            </wp:cNvGraphicFramePr>
            <a:graphic>
              <a:graphicData uri="http://schemas.openxmlformats.org/drawingml/2006/picture">
                <pic:pic>
                  <pic:nvPicPr>
                    <pic:cNvPr id="0" name="figura-panel-18-21.png"/>
                    <pic:cNvPicPr/>
                  </pic:nvPicPr>
                  <pic:blipFill>
                    <a:blip r:embed="rId33"/>
                    <a:stretch>
                      <a:fillRect/>
                    </a:stretch>
                  </pic:blipFill>
                  <pic:spPr>
                    <a:xfrm>
                      <a:off x="0" y="0"/>
                      <a:ext cx="5486400" cy="4274849"/>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w:t>
            </w:r>
            <w:r>
              <w:rPr>
                <w:b w:val="0"/>
                <w:i w:val="0"/>
                <w:sz w:val="14"/>
                <w:rFonts w:ascii="Consolas" w:hAnsi="Consolas" w:cs="Consolas"/>
              </w:rPr>
              <w:t>desarrollo_web</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[registrar tras la reejecución]</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[registrar tras la reejecución]. Salvedad declarada: la validez del scoring es de diseño y no empírica (Cap. 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[registrar tras la reejecución]. Salvedad declarada: el pago está representado de forma simulada.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[registrar tras la reejecución]</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[registrar tras la reejecución]. En versiones anteriores este objetivo se declaraba cumplido sin evidencia documental; los escenarios E11 a E13 se incorporan precisamente para producirla.</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 xml:space="preserve">[registrar]. </w:t>
            </w:r>
            <w:r>
              <w:rPr>
                <w:b/>
                <w:i w:val="0"/>
                <w:sz w:val="14"/>
              </w:rPr>
              <w:t>Pendiente:</w:t>
            </w:r>
            <w:r>
              <w:rPr>
                <w:b w:val="0"/>
                <w:i w:val="0"/>
                <w:sz w:val="14"/>
              </w:rPr>
              <w:t xml:space="preserve"> no existe hoy un escenario formal para el cierre; conviene añadir E14.</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[registrar]</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[registrar]</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ARS</w:t>
            </w:r>
          </w:p>
        </w:tc>
        <w:tc>
          <w:tcPr>
            <w:tcW w:type="dxa" w:w="4025"/>
          </w:tcPr>
          <w:p>
            <w:pPr>
              <w:spacing w:after="40" w:before="40"/>
              <w:jc w:val="left"/>
            </w:pPr>
            <w:r>
              <w:rPr>
                <w:b w:val="0"/>
                <w:i w:val="0"/>
                <w:sz w:val="14"/>
              </w:rPr>
              <w:t>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1</w:t>
            </w:r>
          </w:p>
        </w:tc>
        <w:tc>
          <w:tcPr>
            <w:tcW w:type="dxa" w:w="4025"/>
          </w:tcPr>
          <w:p>
            <w:pPr>
              <w:spacing w:after="40" w:before="40"/>
              <w:jc w:val="left"/>
            </w:pPr>
            <w:r>
              <w:rPr>
                <w:b w:val="0"/>
                <w:i w:val="0"/>
                <w:sz w:val="14"/>
              </w:rPr>
              <w:t>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Secreto para validar la firma del webhook de notificación. Vacía por defecto: no valida (Tabla 11, S8).</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refleja sin recarga. Ese recorrido corresponde a los escenarios E1 y E7 del Capítulo 5.</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