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rP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las normas de la American Psychological Association (APA) en su séptima edición, declaradas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t>El trabajo aborda la carga administrativa que enfrenta el freelancer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frontend desarrollado en Next.js y React que expone un formulario público de captación y un tablero de control autenticado; un motor de orquestación de bajo código, n8n, que coordina la normalización, el scoring, la generación de propuestas y facturas, y las notificaciones multicanal; y una base de datos relacional gestionada, Supabase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cuatro procesos programados: seguimiento, recordatorio de pago y reporte diario de métricas, más una reconciliación periódica que audita la facturación. La validación mediante escenarios controlados verificó el funcionamiento integral de los flujos de captación, calificación, aceptación y facturación, y también la actualización en tiempo real del tablero, cuya latencia se midió por debajo del umbral fijado. El trabajo demuestra la viabilidad técnica de la automatización propuesta; la magnitud de la reducción de la carga administrativa no se midió y se declara fuera de alcance.</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four scheduled processes: follow-up, payment reminder and daily metrics reporting, plus a periodic reconciliation that audits invoicing. Validation through controlled scenarios verified the end-to-end operation of the capture, qualification, acceptance and invoicing flows, as well as the dashboard's real-time updating, whose latency was measured below the established threshold.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2"/>
      </w:pPr>
      <w:r>
        <w:t>2.9 Encuadre normativo: datos personales y comprobantes fiscales</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Propuesta, aceptación y facturación (webhooks de propuesta enviar y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rPr>
        <w:t>6.3 Incidente de seguridad: exposición y cierre de credenciales</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 Corresponde declarar además bajo qué condición la respuesta habría sido negativa, porque las dos mitades de la pregunta no se responden con el mismo rigor. La primera —si la automatización es técnicamente viable— se acredita por construcción: un artefacto que ejecuta el ciclo de extremo a extremo la responde afirmativamente, y sólo un flujo que no pudiera completarse la habría refutado. La segunda —si eso ocurre «sin sacrificar la trazabilidad ni el control del profesional»— sí es refutable de forma sustantiva. Es la que ordena el trabajo: la respuesta habría sido negativa si el sistema hubiera tomado por el profesional una decisión de negocio reservada a él, o si el estado de una oportunidad no hubiera podido reconstruirse a partir de lo registrado. El primero de esos dos criterios fue efectivamente incumplido por un diseño intermedio, en el que el importe de la propuesta provenía del formulario que completaba el propio interesado, y la condición se restituyó devolviendo esa decisión al profesional (§4.3.2 y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rsidR="00D60FC7" w:rsidRDefault="00000000">
      <w:pPr/>
      <w:proofErr w:type="spellStart"/>
      <w:proofErr w:type="spellEnd"/>
      <w:proofErr w:type="spellStart"/>
      <w:proofErr w:type="spellEnd"/>
      <w:r>
        <w:rPr>
          <w:i w:val="0"/>
        </w:rPr>
        <w:t>Este trabajo no formula una hipótesis en sentido convencional: al tratarse de un desarrollo tecnológico de carácter aplicado y no de una investigación empírica, se lo orienta mediante la pregunta de investigación del §1.3 y los objetivos aquí definidos. Su cumplimiento se verifica en el Capítulo 5. El §3.1 desarrolla en detalle el fundamento metodológico de esta decisión.</w:t>
      </w:r>
    </w:p>
    <w:p>
      <w:pPr/>
      <w:r>
        <w:rPr>
          <w:b/>
        </w:rPr>
        <w:t>Delimitación del objetivo general. Este objetivo excluye deliberadamente el resultado «reducir la carga administrativa manual». La razón no es que la variable quede indefinida —a continuación se le da una definición operacional y se mide uno de sus dos componentes—. Es que el componente que decide esa promesa, el tiempo y el esfuerzo que cada acción cuesta, exigiría una línea de base previa y una medición posterior sobre operación real que este trabajo no realiza. Incluir la promesa dejaría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 El OE3 reúne dos resultados que se verifican por separado —el ciclo comercial hasta la emisión del comprobante y el registro del cobro—. Su grado de cumplimiento se declara de forma independiente para cada uno en el Capítulo 7, porque el segundo depende de una pasarela externa y el primero no:</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 La variable sí se define operacionalmente y su componente contable se mide: de las dieciocho acciones del ciclo, el sistema ejecuta dieciséis (§1.5). Lo que queda fuera de alcance es el otro componente, el tiempo y el esfuerzo que esas acciones cuestan, que exigiría un estudio con usuarios (Capítulo 8). El trabajo acredita cuántas acciones quedan delegadas,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rPr>
        <w:t>Pasarela de pago real.</w:t>
      </w:r>
      <w:r>
        <w:t xml:space="preserve"> La integración con MercadoPago (§4.3.3) no se validó con una operación en producción. La activación de credenciales de prueba falló del lado del proveedor, de modo que la rama de cobro se ejercitó contra un doble que reproduce el contrato documentado de su API (§5); eso verifica el artefacto, no el servicio. Cuando no hay credenciales reales configuradas, el sistema cae a un modo de desarrollo que confirma el cobro sin depender del proveedor.</w:t>
      </w:r>
    </w:p>
    <w:p>
      <w:pPr>
        <w:pStyle w:val="Prrafodelista"/>
      </w:pPr>
      <w:r>
        <w:rPr>
          <w:b/>
        </w:rPr>
        <w:t>Validez fiscal de los comprobantes.</w:t>
      </w:r>
      <w:r>
        <w:t xml:space="preserve"> El documento que el sistema genera y titula «FACTURA» es un comprobante interno sin valor fiscal: no solicita el Código de Autorización Electrónico (CAE) que exige el régimen de facturación electrónica argentino, ni consigna CUIT del emisor, punto de venta ni tipo de comprobante. El §2.9 desarrolla el régimen aplicable y su incorporación se plantea como trabajo futuro (Capítulo 8).</w:t>
      </w:r>
    </w:p>
    <w:p>
      <w:pPr>
        <w:pStyle w:val="Prrafodelista"/>
      </w:pPr>
      <w:r>
        <w:rPr>
          <w:b/>
        </w:rPr>
        <w:t>Tratamiento de datos personales. El sistema capta, almacena y transfiere a terceros (Supabase, el servicio de correo, Telegram y Notion) datos de contacto de personas físicas identificables. No se implementan aviso de privacidad, consentimiento informado, política de retención ni inscripción de la base conforme a la Ley 25.326 de Protección de Datos Personales. Además, varios de esos destinatarios están domiciliados en países que la Disposición 60-E/2016 no considera de protección adecuada, lo que activa el régimen de transferencia internacional de su art. 12. El §2.9 desarrolla las obligaciones aplicables; la dimensión se retoma en el Capítulo 6 y se difiere al Capítulo 8.</w:t>
      </w:r>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proofErr w:type="spellStart"/>
      <w:proofErr w:type="spellEnd"/>
      <w:proofErr w:type="spellStart"/>
      <w:proofErr w:type="spellEnd"/>
      <w:r>
        <w:rPr/>
        <w:t>n8n es una plataforma de automatización de flujos de trabajo que permite integrar aplicaciones y servicios mediante nodos configurables conectados en un lienzo visual (n8n,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Next.js es un framework de desarrollo web construido sobre la biblioteca React que habilita un modelo de renderizado híbrido: combina componentes que se ejecutan en el servidor (React Server Components) con componentes de cliente. Además, organiza la aplicación mediante un enrutador basado en el sistema de archivos (App Router) (Vercel, 2024). Este modelo permite ejecutar en el servidor las verificaciones sensibles —como la validación de la sesión antes de renderizar una página protegida— y reservar para el cliente la interactividad, lo que resulta pertinente para una aplicación que combina un formulario público con un tablero de control autenticado.</w:t>
      </w:r>
      <w:proofErr w:type="spellStart"/>
      <w:r/>
      <w:proofErr w:type="spellEnd"/>
      <w:r/>
      <w:proofErr w:type="spellStart"/>
      <w:r/>
      <w:proofErr w:type="spellEnd"/>
      <w:r/>
      <w:proofErr w:type="spellStart"/>
      <w:r>
        <w:rPr>
          <w:i/>
        </w:rPr>
      </w:r>
      <w:proofErr w:type="spellEnd"/>
      <w:r>
        <w:rPr>
          <w:i/>
        </w:rPr>
      </w:r>
      <w:proofErr w:type="spellStart"/>
      <w:r>
        <w:rPr>
          <w:i/>
        </w:rPr>
      </w:r>
      <w:proofErr w:type="spellEnd"/>
      <w:r/>
      <w:r>
        <w:rPr>
          <w:i/>
        </w:rPr>
      </w:r>
      <w:proofErr w:type="spellStart"/>
      <w:r>
        <w:rPr>
          <w:i/>
        </w:rPr>
      </w:r>
      <w:proofErr w:type="spellEnd"/>
      <w:r/>
      <w:proofErr w:type="spellStart"/>
      <w:r/>
      <w:proofErr w:type="spellEnd"/>
      <w:r/>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i w:val="0"/>
        </w:rPr>
        <w:t>Dos antecedentes arbitrados estrechan esa laguna, sin cerrarla del todo. Domański, Wojciechowski, Lewandowicz y Hadaś (2023) revisan y evalúan mediante una metodología arbitrada un conjunto de plataformas low-code/no-code orientadas específicamente a pequeñas y medianas empresas, el mismo segmento —un freelancer es, como señala este trabajo, un caso límite de PyME— en el que se sitúa la comparación de este apartado. Muhammad, Prybutok y Sinha (2025) revisan sistemáticamente la literatura sobre los factores que determinan la efectividad de quien construye con herramientas de bajo código sin ser un desarrollador de oficio —el «desarrollador ciudadano»—. Esa revisión respalda con literatura arbitrada la figura invocada en el §2.8 para justificar la decisión de construir. Ninguno de los dos trata la adopción de plataformas iPaaS en particular, de modo que esa laguna específica —Zapier y Make como categoría— se mantiene.</w:t>
      </w:r>
    </w:p>
    <w:p>
      <w:pPr>
        <w:pStyle w:val="Prrafodelista"/>
      </w:pPr>
      <w:r>
        <w:rPr>
          <w:b/>
          <w:i w:val="0"/>
        </w:rPr>
        <w:t>Las fuentes de la comparación son, en su mayor parte, las de los propios evaluados. Las cuatro herramientas se caracterizan a partir de su documentación y de sus páginas de precios, consultadas el 17 de agosto de 2026, fecha que cada celda de la Tabla 13 consigna. Para que la comparación no dependa además de un recorte arbitrario de aspectos, las dimensiones que se contrastan se fijaron antes de compararlas y se derivan del problema planteado en §1.2: sistema de registro propio, reglas de calificación propias, cierre del ciclo hasta el comprobante, control sobre la lógica de negocio, custodia del dato, esfuerzo de puesta en marcha y madurez operativa. Son las siete que ordena la Tabla 14, y constituyen una aplicación reducida del tipo de marco multicriterio que propone Lamanna (2025), no una evaluación exhaustiva. Subsiste, con todo, la limitación de fondo: no se incorporaron análisis independientes ni estudios de adopción de terceros, de modo que las afirmaciones funcionales sobre los cuatro productos describen lo que cada proveedor declara de sí mismo y no lo que un tercero verificó.</w:t>
      </w:r>
      <w:r>
        <w:rPr>
          <w:b w:val="0"/>
          <w:i w:val="0"/>
        </w:rPr>
      </w:r>
    </w:p>
    <w:p>
      <w:pPr>
        <w:pStyle w:val="Prrafodelista"/>
      </w:pPr>
      <w:r>
        <w:rPr>
          <w:i w:val="0"/>
        </w:rPr>
        <w:t>Un relevamiento adicional matiza, sin revertirla, esa dependencia de las fuentes de los proveedores. Lamanna (2025) propone un marco de evaluación estructurado y multicriterio para plataformas de bajo código, formulado precisamente para superar la brecha entre comparaciones dirigidas por el marketing de los proveedores y una evaluación rigurosa basada en criterios explícitos; aplicarlo en profundidad a las cuatro herramientas revisadas excede el alcance de este trabajo, pero su existencia confirma que la limitación señalada aquí es un problema metodológico reconocido en la literatura, no una omisión aislada de este documento. Por otra parte, un estudio de caso reciente compara la ejecución manual y automatizada de un flujo de captación de leads con n8n en un entorno de negocio a pequeña escala —el mismo tipo de operación que describe este trabajo—. Registra una reducción del tiempo de ejecución de 185,35 a 1,23 segundos y la eliminación de la tasa de error del 5 % observada en la ejecución manual (Amir, 2026, un preprint todavía sin revisión por pares). Aporta así evidencia empírica independiente —aunque preliminar y no arbitrada— a favor de automatizar precisamente el tipo de tarea que aborda este trabajo. Ninguna de las dos fuentes evalúa de forma independiente a HubSpot, Pipedrive, Zapier o Make en particular, de modo que la comparación de precios y prestaciones de este apartado sigue apoyada en las páginas de los proveedores; lo que cambia es que la decisión de automatizar en sí —y el criterio para evaluarla con rigor— ya no depende solo de la argumentación propia de los autores.</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Las otras dos lo hacen de forma parcial y así se declaran: el argumento de costo se estima en el Capítulo 6 y el de propiedad del dato se limita a la capa de orquestación.</w:t>
      </w:r>
    </w:p>
    <w:p w:rsidR="00D60FC7" w:rsidRDefault="00000000">
      <w:pPr>
        <w:pStyle w:val="Ttulo2"/>
      </w:pPr>
      <w:proofErr w:type="spellStart"/>
      <w:proofErr w:type="spellEnd"/>
      <w:r>
        <w:t>2.9 Encuadre normativo: datos personales y comprobantes fiscales</w:t>
      </w:r>
    </w:p>
    <w:p w:rsidR="00D60FC7" w:rsidRDefault="00000000">
      <w:pPr/>
      <w:proofErr w:type="spellStart"/>
      <w:proofErr w:type="spellEnd"/>
      <w:r>
        <w:t>El sistema capta datos de contacto de personas físicas identificables y emite un documento que titula «FACTURA». Ambas cosas están reguladas en Argentina, de modo que corresponde enunciar qué obligaciones son aplicables antes de declarar, en §1.7 y en el Capítulo 6, cuáles el prototipo no satisface. Encuadrar el límite es parte del trabajo: un prototipo académico puede legítimamente no cumplir un régimen que no lo alcanza todavía, pero no puede desconocerlo.</w:t>
      </w:r>
    </w:p>
    <w:p w:rsidR="00D60FC7" w:rsidRDefault="00000000">
      <w:pPr/>
      <w:proofErr w:type="spellStart"/>
      <w:proofErr w:type="spellEnd"/>
      <w:r>
        <w:rPr>
          <w:b/>
        </w:rPr>
        <w:t>Protección de datos personales (Ley 25.326). La Ley 25.326 define como dato personal toda «información de cualquier tipo referida a personas físicas o de existencia ideal determinadas o determinables» (art. 2), categoría en la que caen el nombre, el correo, el teléfono y el presupuesto declarado que capta el formulario del §4.2.1. Ninguno de ellos es un dato sensible en el sentido del art. 7, lo que excluye el régimen agravado de esa categoría, pero sí quedan alcanzados por el régimen general. Cinco obligaciones son directamente pertinentes. El art. 4 exige que los datos sean pertinentes y no excesivos respecto de la finalidad, que no se usen para fines incompatibles con los que motivaron su obtención y que se destruyan cuando dejen de ser necesarios. El art. 5 exige consentimiento libre, expreso e informado, por escrito o medio equivalente; su inciso 2.d exceptúa los datos que derivan de una relación contractual o profesional y resultan necesarios para su desarrollo. Esa excepción podría cubrir parte del tratamiento posterior a la aceptación de una propuesta, pero no la captación inicial, que ocurre antes de que exista relación alguna. El art. 6 obliga a informar, al recolectar, la finalidad del tratamiento, quiénes son sus destinatarios, la identidad del responsable, el carácter obligatorio o facultativo de cada respuesta y la posibilidad de ejercer los derechos de acceso, rectificación y supresión. El art. 9 exige medidas técnicas y organizativas de seguridad y confidencialidad. Y el art. 21 obliga a inscribir la base ante el organismo de control, hoy la Agencia de Acceso a la Información Pública.</w:t>
      </w:r>
      <w:r/>
    </w:p>
    <w:p w:rsidR="00D60FC7" w:rsidRDefault="00000000">
      <w:pPr/>
      <w:proofErr w:type="spellStart"/>
      <w:proofErr w:type="spellEnd"/>
      <w:r>
        <w:rPr>
          <w:b/>
        </w:rPr>
        <w:t>Cesión y transferencia internacional. Es la dimensión que este trabajo tiene más comprometida, y la que conviene enunciar con precisión. El art. 11 sujeta la cesión de datos a terceros al consentimiento previo del titular, informándole la finalidad de la cesión e identificando al cesionario. El art. 12, más exigente, prohíbe la transferencia a países que no proporcionen «niveles de protección adecuados». La Disposición 60-E/2016 de la entonces Dirección Nacional de Protección de Datos Personales enumera cuáles se consideran adecuados —los Estados miembros de la Unión Europea y del Espacio Económico Europeo, Suiza, Guernsey, Jersey, Isla de Man, Islas Feroe, Canadá sólo respecto de su sector privado, Andorra, Nueva Zelanda, Uruguay e Israel sólo respecto de datos de tratamiento automatizado—. Además, aprueba cláusulas contractuales tipo para transferir hacia los que no lo son. Los Estados Unidos no integran esa lista, y allí tienen su domicilio varios de los servicios a los que la arquitectura de este trabajo transfiere datos de contacto: Supabase, Notion, Telegram y el servicio de correo. En consecuencia, la arquitectura híbrida que el §2.8 justifica por razones de costo y de control tiene, además, una consecuencia regulatoria que no puede resolverse eligiendo mejor el proveedor. Para operar con clientes reales haría falta consentimiento expreso del titular para la transferencia, o bien las cláusulas contractuales tipo con cada encargado.</w:t>
      </w:r>
      <w:r/>
    </w:p>
    <w:p w:rsidR="00D60FC7" w:rsidRDefault="00000000">
      <w:pPr/>
      <w:proofErr w:type="spellStart"/>
      <w:proofErr w:type="spellEnd"/>
      <w:r>
        <w:rPr>
          <w:b/>
        </w:rPr>
        <w:t>Comprobantes fiscales. La emisión de comprobantes está regida por el régimen de facturación electrónica que administra la Agencia de Recaudación y Control Aduanero (ARCA, continuadora de la AFIP desde 2024; ARCA, 2026). Un comprobante tiene validez fiscal sólo si el organismo le asigna un Código de Autorización Electrónico (CAE), que se solicita por servicio web al emitir. Además debe consignar los datos que el régimen exige: CUIT del emisor, punto de venta habilitado, tipo de comprobante según la condición de emisor y receptor frente al IVA, y el propio CAE con su fecha de vencimiento. El documento que genera este sistema (§4.3.2) no solicita CAE, no declara CUIT ni punto de venta, y numera con un identificador aleatorio dentro del año en lugar de la secuencia correlativa que el régimen supone (Tabla 7). No es, por lo tanto, una factura en sentido fiscal, sino un comprobante interno de la operación; el trabajo lo declara así en §1.7 y evita presentarlo de otro modo.</w:t>
      </w:r>
    </w:p>
    <w:p w:rsidR="00D60FC7" w:rsidRDefault="00000000">
      <w:pPr/>
      <w:proofErr w:type="spellStart"/>
      <w:proofErr w:type="spellEnd"/>
      <w:r>
        <w:rPr>
          <w:b/>
        </w:rPr>
        <w:t>Qué se sigue de esto para el alcance del trabajo.</w:t>
      </w:r>
      <w:r>
        <w:t xml:space="preserve"> El prototipo no satisface ninguno de los dos regímenes, y esa distancia es admisible únicamente por lo que el trabajo es: un artefacto validado en un entorno controlado, con datos de prueba ficticios y sin operación con clientes reales, según fija el protocolo de la Tabla 4, que prohíbe expresamente usar datos personales reales. Lo que no sería admisible es operar en producción en ese estado. Por eso el cumplimiento normativo no figura como una mejora deseable sino como condición previa a cualquier uso real, en los mismos términos en que lo son las deudas de seguridad (Capítulo 8). Las obligaciones enunciadas aquí son las que ese trabajo futuro debe satisfacer, y no una lista genérica de buenas prácticas.</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t>La Tabla 2 presenta los requisitos no funcionales (RNF), organizados según las características de calidad de la norma ISO/IEC 25010:2023 (ISO/IEC, 2023). Esta es la segunda edición del modelo de calidad del producto de software vigente y reemplaza a la edición de 2011. Dos características cambiaron de nombre respecto de esa edición previa: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Revisión en tres anchos (360, 768 y 1440 px). Recuento automatizado de los códigos cubiertos por translateAuthError sobre el conjunto de códigos que la plataforma puede devolver en los tres flujos que la aplicación invoca (signUp, signInWithPassword y verifyOtp), declarados uno por uno en tests/auth_errores.js.</w:t>
            </w:r>
            <w:r>
              <w:rPr>
                <w:b w:val="0"/>
                <w:i w:val="0"/>
                <w:sz w:val="14"/>
                <w:rFonts w:ascii="Consolas" w:hAnsi="Consolas" w:cs="Consolas"/>
              </w:rPr>
            </w:r>
            <w:r>
              <w:rPr>
                <w:b w:val="0"/>
                <w:i w:val="0"/>
                <w:sz w:val="14"/>
              </w:rPr>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sz w:val="14"/>
              </w:rPr>
              <w:t>Veinte escrituras consecutivas sobre leads con una suscripción abierta al canal postgres_changes, midiendo el intervalo entre la escritura y la recepción del evento. Criterio: los veinte eventos recibidos, con el peor caso por debajo de 3 s. El repintado de la fila añade a ese intervalo el tiempo de render del cliente, de orden de milisegundos.</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rPr>
              <w:t>Frontend en el despliegue de Vercel; n8n y Gotenberg en contenedores locales levantados con docker compose up -d (Anexo G); base de datos en el proyecto gestionado de Supabase. Máquina de ejecución: Microsoft Windows 11 Pro, versión 10.0.26100; Docker 29.6.2 (build dfc4efb) con Docker Compose v5.3.1.</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161 nodos funcionales —178 en total, incluidas 17 notas de documentación— organizados en trece webhooks y cuatro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w:t>
      </w:r>
    </w:p>
    <w:p>
      <w:pPr>
        <w:jc w:val="center"/>
        <w:keepNext/>
      </w:pPr>
      <w:r>
        <w:drawing>
          <wp:inline xmlns:a="http://schemas.openxmlformats.org/drawingml/2006/main" xmlns:pic="http://schemas.openxmlformats.org/drawingml/2006/picture">
            <wp:extent cx="5486400" cy="3627479"/>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3627479"/>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El frontend se organiza con el App Router de Next.js. Las rutas principales son el formulario público (/), las pantallas de autenticación (/login, /register), el tablero protegido (/dashboard) y la página de aceptación (/aceptar/[leadId]). A ellas se suman los manejadores de confirmación y cierre de sesión (/auth/confirm, /auth/signout), el tablero de tickets (/dashboard/tickets, correspondiente al módulo fuera de alcance que declara el Anexo B) y las tres páginas de retorno del checkout de MercadoPago (/pago-exitoso, /pago-pendiente y /pago-fallido), que son las back_urls declaradas en la preferencia de pago (§4.3.3).</w:t>
      </w:r>
      <w:proofErr w:type="spellStart"/>
      <w:r/>
      <w:proofErr w:type="spellEnd"/>
      <w:r/>
      <w:proofErr w:type="spellStart"/>
      <w:r/>
      <w:proofErr w:type="spellEnd"/>
      <w:r/>
      <w:r>
        <w:rPr>
          <w:rFonts w:ascii="Consolas" w:hAnsi="Consolas" w:cs="Consolas"/>
        </w:rPr>
      </w:r>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t>El componente lead-form.tsx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NEXT_PUBLIC_N8N_BASE. Ante una respuesta satisfactoria se muestra una confirmación; ante un error, un mensaje de alerta. Con esto se satisface el OE1 (Figura 5, véase Anexo A). En §4.3.1 se analizan tres consecuencias de este diseño. La primera es el desajuste entre el rango del control deslizante y los tramos de puntaje. La segunda, que cuatro de los nueve valores ponderados del scoring no pueden originarse en este formulario. Y la tercera, el sesgo con que la opción «Otro» penalizaba a los leads que el sistema no supo clasificar. La Figura 17 documenta el comportamiento de esa validación ante una entrada inválida (véase Anexo A).</w:t>
      </w:r>
      <w:r>
        <w:rPr>
          <w:rFonts w:ascii="Consolas" w:hAnsi="Consolas"/>
        </w:rPr>
      </w:r>
      <w:r/>
      <w:r>
        <w:rPr>
          <w:rFonts w:ascii="Consolas" w:hAnsi="Consolas"/>
        </w:rPr>
      </w:r>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El acceso al tablero se resuelve con Supabase Auth por correo y contraseña. El registro (register-form.tsx) invoca signUp —crea la cuenta y dispara el correo de confirmación— con redirección a /auth/confirm; el inicio de sesión (login-form.tsx) invoca signInWithPassword —valida las credenciales y abre la sesión—; el manejador /auth/confirm verifica el código de un solo uso (verifyOtp, que canjea el enlace del correo por una sesión válida) y el manejador /auth/signout cierra la sesión. Los códigos de error de Supabase se traducen a mensajes en español mediante la función translateAuthError del módulo auth-errors.ts, en cumplimiento del RNF5.</w:t>
      </w:r>
      <w:proofErr w:type="spellStart"/>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rPr>
          <w:rFonts w:ascii="Consolas" w:hAnsi="Consolas" w:cs="Consolas"/>
        </w:rPr>
      </w:r>
      <w:proofErr w:type="spellEnd"/>
      <w:r/>
      <w:r>
        <w:rPr>
          <w:rFonts w:ascii="Consolas" w:hAnsi="Consolas" w:cs="Consolas"/>
        </w:rPr>
      </w:r>
      <w:proofErr w:type="spellStart"/>
      <w:r>
        <w:rPr>
          <w:rFonts w:ascii="Consolas" w:hAnsi="Consolas" w:cs="Consolas"/>
        </w:rPr>
      </w:r>
      <w:proofErr w:type="spellEnd"/>
      <w:r>
        <w:rPr>
          <w:rFonts w:ascii="Consolas" w:hAnsi="Consolas" w:cs="Consolas"/>
        </w:rPr>
      </w:r>
      <w:proofErr w:type="spellStart"/>
      <w:r>
        <w:rPr>
          <w:rFonts w:ascii="Consolas" w:hAnsi="Consolas" w:cs="Consolas"/>
        </w:rPr>
      </w:r>
      <w:proofErr w:type="spellEnd"/>
      <w:r/>
      <w:proofErr w:type="spellStart"/>
      <w:r/>
      <w:proofErr w:type="spellEnd"/>
      <w:r/>
      <w:proofErr w:type="spellStart"/>
      <w:r>
        <w:rPr>
          <w:rFonts w:ascii="Consolas" w:hAnsi="Consolas" w:cs="Consolas"/>
        </w:rPr>
      </w:r>
      <w:proofErr w:type="spellEnd"/>
      <w:r/>
      <w:proofErr w:type="spellStart"/>
      <w:r>
        <w:rPr>
          <w:rFonts w:ascii="Consolas" w:hAnsi="Consolas" w:cs="Consolas"/>
        </w:rPr>
      </w:r>
      <w:proofErr w:type="spellEnd"/>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La protección de rutas se resuelve en dos niveles, en un esquema de defensa en profundidad. El primero es el archivo proxy.ts —la convención vigente en Next.js 16, que reemplaza al histórico middleware.ts—, apoyado en el ayudante updateSession del módulo lib/supabase/middleware.ts. En cada petición comprueba si la ruta pertenece al conjunto de rutas protegidas (PROTECTED_ROUTES, que incluye /dashboard) y, mediante getUser —que consulta la sesión vigente contra Supabase—, valida la sesión. Si no hay usuario, redirige a /login conservando el destino original en el parámetro redirectTo.</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t>Conviene precisar la naturaleza de esa capa: no se ejecuta en el borde ni implementa por sí misma la protección de las rutas.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p>
    <w:p>
      <w:pPr/>
      <w:r>
        <w:t xml:space="preserve">El segundo nivel —y el único que constituye un control de acceso efectivo— es el componente de servidor de la ruta protegida. </w:t>
      </w:r>
      <w:r>
        <w:rPr>
          <w:rFonts w:ascii="Consolas" w:hAnsi="Consolas"/>
        </w:rPr>
        <w:t>dashboard/page.tsx</w:t>
      </w:r>
      <w:r>
        <w:t xml:space="preserve"> vuelve a resolver </w:t>
      </w:r>
      <w:r>
        <w:rPr>
          <w:rFonts w:ascii="Consolas" w:hAnsi="Consolas"/>
        </w:rPr>
        <w:t>getUser</w:t>
      </w:r>
      <w:r>
        <w:t xml:space="preserve"> y, además, consulta la tabla </w:t>
      </w:r>
      <w:r>
        <w:rPr>
          <w:rFonts w:ascii="Consolas" w:hAnsi="Consolas"/>
        </w:rPr>
        <w:t>profiles</w:t>
      </w:r>
      <w:r>
        <w:t xml:space="preserve"> y redirige a la raíz a todo usuario cuyo </w:t>
      </w:r>
      <w:r>
        <w:rPr>
          <w:rFonts w:ascii="Consolas" w:hAnsi="Consolas"/>
        </w:rPr>
        <w:t>role</w:t>
      </w:r>
      <w:r>
        <w:t xml:space="preserve"> no sea </w:t>
      </w:r>
      <w:r>
        <w:rPr>
          <w:rFonts w:ascii="Consolas" w:hAnsi="Consolas"/>
        </w:rPr>
        <w:t>admin</w:t>
      </w:r>
      <w:r>
        <w:t>. No alcanza, por tanto, con estar autenticado: el tablero exige rol de administrador.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(client.ts), un cliente de servidor que gestiona la sesión mediante cookies (server.ts) y un cliente para la comprobación de sesión en la capa de proxy (middleware.ts). Este último se ejecuta en el entorno de Node.js. Todos comparten un criterio defensivo: si faltan las variables de entorno, devuelven un valor nulo en lugar de interrumpir la construcción de la aplicación, lo que permite desplegar sin configurar y evita caídas del despliegue (RNF3).</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161 nodos funcionales (178 en total, incluidas 17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El proceso se dispara con el webhook POST /lead/nuevo. El primer nodo, Normalizar Lead, ejecuta código JavaScript que recorta y estandariza los campos: convierte el correo a minúsculas e interpreta el presupuesto como entero. Restringe además la urgencia al conjunto {alta, media, baja} —con media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LD-&lt;timestamp&gt;-&lt;aleatorio&gt; y trunca la descripción a 2000 caracteres. El lead normalizado se persiste con el nodo Insert Lead en la tabla leads.</w:t>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b w:val="0"/>
          <w:i/>
        </w:rPr>
      </w:r>
      <w:r>
        <w:rPr>
          <w:b w:val="0"/>
          <w:i w:val="0"/>
        </w:rPr>
      </w:r>
      <w:r>
        <w:rPr>
          <w:rFonts w:ascii="Consolas" w:hAnsi="Consolas" w:cs="Consolas"/>
          <w:b w:val="0"/>
          <w:i w:val="0"/>
        </w:rPr>
      </w:r>
      <w:r>
        <w:rPr>
          <w:b w:val="0"/>
          <w:i w:val="0"/>
        </w:rPr>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Un servicio que no reconoce recibe, de este modo,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se declaran aquí antes que en el capítulo de conclusiones; el primero se resolvió en el curso del trabajo y el segundo sigue abierto. El primero era la </w:t>
      </w:r>
      <w:r>
        <w:rPr>
          <w:b w:val="0"/>
          <w:i/>
        </w:rPr>
        <w:t>ausencia de idempotencia en la captación</w:t>
      </w:r>
      <w:r>
        <w:rPr>
          <w:b w:val="0"/>
          <w:i w:val="0"/>
        </w:rPr>
        <w:t>: el webhook no declaraba clave de idempotencia, ni deduplicación por correo dentro de una ventana temporal, ni bloqueo del botón de envío. Un doble clic generaba dos leads con identificadores distintos, dos cálculos de score y dos avisos por el mismo interesado, lo que contradice el objetivo de proyectar una imagen profesional. El contraste con el cuidado puesto en la idempotencia de la aceptación (§4.3.2) y del pago (§4.3.3) era deliberado señalarlo: la garantía se había aplicado donde el riesgo era la doble facturación y no donde el riesgo era el duplicado comercial. El 27 de agosto de 2026 se cerró en las dos puntas que el diagnóstico proponía. En el formulario, el envío queda bloqueado mientras la petición está en vuelo. En el flujo, la inserción del lead pasó a ser condicional: no inserta si en los últimos DEDUP_VENTANA_MINUTOS —diez por defecto— ya entró un lead con el mismo correo, y sin fila el proceso termina en un nodo de operación nula, sin segundo puntaje ni segundo aviso. Dos precisiones importan. La primera es que el webhook responde en el momento en que recibe la petición, de modo que quien hizo doble clic ve éxito y no un error, que es lo que corresponde desde su punto de vista: su consulta llegó. La segunda es que la comparación por correo, sola, no alcanzaba. Dos peticiones solapadas abren transacciones distintas y, bajo el nivel de aislamiento por defecto de PostgreSQL, ninguna ve la fila que la otra todavía no confirmó; se comprobó ejecutando dos envíos simultáneos contra el sistema levantado, que insertaban dos leads igual. La inserción se serializa por eso con un cerrojo consultivo sobre el correo, que sólo una de las dos transacciones obtiene. Con esa corrección, los dos envíos simultáneos dejan un único lead y un único aviso.</w:t>
      </w:r>
    </w:p>
    <w:p>
      <w:pPr/>
      <w:r>
        <w:rPr>
          <w:b w:val="0"/>
          <w:i w:val="0"/>
        </w:rPr>
        <w:t>El segundo es que un lead calificado como HOT o WARM quede sin que el profesional envíe la propuesta: el cálculo del puntaje precede a la inserción, de modo que todo lead se persiste ya calificado. Sin embargo, desde que esa decisión pasó a depender de una acción manual desde el tablero (§4.3.2), el estado NUEVO ya no es solo el punto de partida del ciclo, sino también la sala de espera de toda propuesta pendiente de enviarse. Un proceso programado que detecte leads HOT o WARM sin propuesta enviada con antigüedad superior a un umbral resolvería el caso; se registra en el Capítulo 8.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r>
        <w:rPr>
          <w:b w:val="0"/>
          <w:i/>
        </w:rPr>
      </w:r>
      <w:r>
        <w:rPr>
          <w:b w:val="0"/>
          <w:i w:val="0"/>
        </w:rPr>
      </w:r>
    </w:p>
    <w:p>
      <w:pPr/>
      <w:r>
        <w:rPr>
          <w:b w:val="0"/>
          <w:i w:val="0"/>
        </w:rPr>
        <w:t>El mapeo de servicios merece una precisión, porque son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t>De este modo, toda selección del formulario recibe una ponderación de servicio determinada y trazable. Corresponde, no obstante, señalar tres consecuencias del diseño que acotan el alcance del modelo de puntaje:</w:t>
      </w:r>
    </w:p>
    <w:p>
      <w:pPr>
        <w:pStyle w:val="Prrafodelista"/>
      </w:pPr>
      <w:r>
        <w:rPr>
          <w:b/>
          <w:i w:val="0"/>
        </w:rPr>
        <w:t>Cuatro valores ponderados son inalcanzables desde el formulario. La lista blanca contempla nueve servicios, pero las seis opciones del desplegable se traducen a sólo cinco de ellos, porque «Consultoría» y «Otro» comparten destino. Los valores ecommerce (20 puntos), app_movil (18) y automatizacion (18) —precisamente los de ponderación alta e intermedia— y también soporte (5), el más bajo de la tabla, solo pueden originarse si el webhook se invoca desde fuera del formulario; es por esa vía que el escenario E3 ejercita soporte. En la práctica, casi la mitad del modelo de ponderación no se ejercita por la única fuente de entrada declarada.</w:t>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t xml:space="preserve">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rsidR="00D60FC7" w:rsidRDefault="00000000">
      <w:pPr>
        <w:pStyle w:val="Ttulo3"/>
      </w:pPr>
      <w:bookmarkStart w:id="39" w:name="_Toc233808445"/>
      <w:r>
        <w:t>4.3.2 Propuesta, aceptación y facturación (webhooks de propuesta enviar y lead acepta)</w:t>
      </w:r>
      <w:proofErr w:type="spellStart"/>
      <w:r/>
      <w:proofErr w:type="spellEnd"/>
      <w:r/>
      <w:bookmarkEnd w:id="39"/>
    </w:p>
    <w:p>
      <w:pPr/>
      <w:r>
        <w:rPr/>
        <w:t>Los términos de la propuesta los fija el profesional. Un diseño alternativo, descartado, consistía en generar y enviar la propuesta automáticamente en cuanto el scoring clasificara al lead como HOT o WARM, tomando el importe de la columna presupuesto, es decir del valor que el propio interesado elige en el control deslizante del formulario público. Ese valor se habría convertido después en el monto de la factura, en el importe del comprobante en PDF y en el precio de la preferencia de cobro de MercadoPago. De ese modo, el sistema habría comprometido al profesional con un precio que él no fija en ningún punto del recorrido, contradiciendo la condición de la pregunta de investigación de automatizar «sin sacrificar el control del profesional sobre el proceso» (§1.3). El diseño adoptado evita ese resultado mediante el webhook POST /propuesta-enviar, invocado desde el tablero interno con la misma protección que el resto de las acciones internas: el lead calificado permanece en estado NUEVO y aparece en la sección «Propuestas por enviar». Ahí el profesional carga precio, plazo y alcance. El nodo Guardar Términos aplica una actualización condicional —UPDATE … WHERE estado = 'NUEVO' AND tier IN ('HOT','WARM')— del mismo tipo que la de la aceptación, de modo que repetir la petición no reabre una propuesta ya enviada.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Enviada la propuesta, el webhook /lead-acepta recibe el identificador del lead y el token. El nodo Validar Token comprueba la presencia de ambos parámetros y el nodo Buscar Lead consulta la tabla leads por identificador y por token de aceptación (accept_token), interpretado como valor de tipo UUID. Si el lead es válido, el nodo Marcar Aceptado lo actualiza al estado ACEPTADO y registra la fecha de aceptación; en caso contrario, se responde que el enlace ya fue procesado o es inválido, lo que impide la reutilización del token (OE3, RNF2). A partir de la aceptación, el flujo genera la página de confirmación que ve el cliente y, en paralelo, produce la factura en HTML, la convierte a PDF mediante el servicio Gotenberg (Figura 15, véase Anexo A) y la envía por correo. Persiste la factura con Insert Factura en la tabla facturas y actualiza el lead al estado FACTURADO. El evento se notifica por Telegram y se registra en Notion mediante peticiones HTTP a su API (Figura 9, véase Anexo A).</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 Esa atomicidad se limita, sin embargo, a un único nodo. Entre la transición a ACEPTADO y la persistencia de la factura median cuatro operaciones sobre servicios externos: la generación del HTML, la conversión a PDF por Gotenberg, el envío por correo y la inserción en la tabla facturas.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implementó el 27 de agosto de 2026 y se describe en §4.3.5. Conviene ser preciso sobre lo que cierra y lo que no: repara después de la falla en lugar de evitarla, de modo que la frontera transaccional sigue sin existir y la inconsistencia dura hasta media hora. Además, reemite el comprobante sin reenviar el correo con el PDF, que queda a cargo del proceso de recordatorios de pago en su siguiente pasada o del profesional, avisado por Telegram. La Figura 2 representa la secuencia completa y delimita el alcance de la transacción. El correo con el que la factura llega al cliente y el comprobante en PDF que lleva adjunto se reproducen en las Figuras 14 y 15 (véase Anexo A).</w:t>
      </w:r>
      <w:r>
        <w:rPr>
          <w:b w:val="0"/>
          <w:i w:val="0"/>
        </w:rPr>
      </w:r>
      <w:r>
        <w:rPr>
          <w:rFonts w:ascii="Consolas" w:hAnsi="Consolas" w:cs="Consolas"/>
          <w:b w:val="0"/>
          <w:i w:val="0"/>
        </w:rPr>
      </w:r>
      <w:r>
        <w:rPr>
          <w:b w:val="0"/>
          <w:i w:val="0"/>
        </w:rPr>
      </w:r>
      <w:r>
        <w:rPr>
          <w:b w:val="0"/>
          <w:i w:val="0"/>
        </w:rPr>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3051445"/>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3051445"/>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(Figura 10, véase Anexo A).</w:t>
      </w:r>
    </w:p>
    <w:p>
      <w:pPr/>
      <w:r>
        <w:rPr>
          <w:b/>
        </w:rPr>
        <w:t>Modelo de confianza del modo de desarrollo.</w:t>
      </w:r>
      <w:r>
        <w:t xml:space="preserve"> El endpoint GET /webhook/pago-confirmado —vigente solo cuando no hay credenciales reales configuradas— conserva un defecto conocido: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Cuatro disparadores por calendario ejecutan tareas desatendidas. Los tres primeros responden a OE5; el cuarto se incorporó el 27 de agosto de 2026 para cerrar la deuda S5 de la Tabla 11:</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Prrafodelista"/>
        <w:numPr>
          <w:ilvl w:val="0"/>
          <w:numId w:val="1"/>
        </w:numPr>
      </w:pPr>
      <w:proofErr w:type="spellStart"/>
      <w:proofErr w:type="spellEnd"/>
      <w:proofErr w:type="spellStart"/>
      <w:proofErr w:type="spellEnd"/>
      <w:r>
        <w:rPr>
          <w:b/>
          <w:i w:val="0"/>
        </w:rPr>
        <w:t>Reconciliación de facturas (cada 30 minutos). Cierra la deuda S5 de la Tabla 11. Busca el lead más antiguo en estado ACEPTADO que no tenga factura asociada y cuya aceptación date de hace más de RECONCILIACION_GRACIA_MINUTOS —quince por defecto, para no pisar una aceptación todavía en curso—. Emite el comprobante que la cadena de facturación no llegó a persistir. Trabaja de a un lead por corrida, la misma unidad sobre la que razona la cadena de facturación normal. La emisión es idempotente por dos vías independientes: la inserción está condicionada a que no exista ya una factura para ese lead, y el identificador de la factura se deriva del propio lead, de modo que una segunda corrida chocaría además contra la restricción de unicidad. La factura recuperada no es de segunda categoría: nace PENDIENTE, lleva el precio que el profesional comprometió y el mismo enlace de pago que habría tenido de emitirse a tiempo, con lo que entra al proceso de recordatorios descrito más arriba. El proceso no depende del correo, y por eso sobrevive a una credencial de Gmail vencida: persiste, marca el lead como FACTURADO y avisa al profesional por Telegram.</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t>El modelo relacional se compone de cinco tablas y dos vistas: cuatro tablas de negocio —</w:t>
      </w:r>
      <w:r>
        <w:rPr>
          <w:rFonts w:ascii="Consolas" w:hAnsi="Consolas"/>
        </w:rPr>
        <w:t>leads</w:t>
      </w:r>
      <w:r>
        <w:t xml:space="preserve">, </w:t>
      </w:r>
      <w:r>
        <w:rPr>
          <w:rFonts w:ascii="Consolas" w:hAnsi="Consolas"/>
        </w:rPr>
        <w:t>facturas</w:t>
      </w:r>
      <w:r>
        <w:t xml:space="preserve">, </w:t>
      </w:r>
      <w:r>
        <w:rPr>
          <w:rFonts w:ascii="Consolas" w:hAnsi="Consolas"/>
        </w:rPr>
        <w:t>seguimientos</w:t>
      </w:r>
      <w:r>
        <w:t xml:space="preserve"> y </w:t>
      </w:r>
      <w:r>
        <w:rPr>
          <w:rFonts w:ascii="Consolas" w:hAnsi="Consolas"/>
        </w:rPr>
        <w:t>logs</w:t>
      </w:r>
      <w:r>
        <w:t xml:space="preserve">— y la tabla </w:t>
      </w:r>
      <w:r>
        <w:rPr>
          <w:rFonts w:ascii="Consolas" w:hAnsi="Consolas"/>
        </w:rPr>
        <w:t>profiles</w:t>
      </w:r>
      <w: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rPr>
        <w:t>db/schema.sql</w:t>
      </w:r>
      <w:r>
        <w:t xml:space="preserve"> del repositorio; la Tabla 6 describe la tabla </w:t>
      </w:r>
      <w:r>
        <w:rPr>
          <w:rFonts w:ascii="Consolas" w:hAnsi="Consolas"/>
        </w:rPr>
        <w:t>leads</w:t>
      </w:r>
      <w:r>
        <w:t>, núcleo del sistema, y la Tabla 7 resume las restantes. El esquema declara siete tipos enumerados, integridad referencial con borrado en cascada, once índices —tres de ellos compuestos o parciales— y un disparador que mantiene actualizada la marca temporal de modificación.</w:t>
      </w:r>
    </w:p>
    <w:p>
      <w:pPr>
        <w:jc w:val="center"/>
        <w:keepNext/>
      </w:pPr>
      <w:r>
        <w:drawing>
          <wp:inline xmlns:a="http://schemas.openxmlformats.org/drawingml/2006/main" xmlns:pic="http://schemas.openxmlformats.org/drawingml/2006/picture">
            <wp:extent cx="5472000" cy="4026748"/>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4026748"/>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2253176"/>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2253176"/>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junto al propósito de cada webhook, el origen real de cada invocación y el control de origen aplicado. Esta última columna hace visible la principal deuda de seguridad del sistema, que se analiza en §4.6.</w:t>
      </w:r>
    </w:p>
    <w:p>
      <w:pPr/>
      <w:r>
        <w:rPr>
          <w:b w:val="0"/>
          <w:i w:val="0"/>
        </w:rPr>
        <w:t>Se observa además una inconsistencia de nomenclatura que conviene declarar: de los trece webhooks, dos emplean barra como separador —/lead/nuevo y /mp/notificacion— y los once restantes emplean guion (/lead-acepta, /lead-rechaza, etc.). La ruta de captación diverge por motivos históricos —fue la primera en construirse—; la de MercadoPago diverge porque su formato lo impone el proveedor. Ninguna de las dos tiene efecto funcional, pero rompen la uniformidad del contrato de integración. Unificar el criterio de las rutas propias exige actualizar la variable de entorno del frontend y el nodo correspondiente del flujo; se registra en el Capítulo 8.</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y /mp/notificacion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agravó, mientras estuvo abierto, por el incidente de credenciales descrito en el §6.3, cerrado el 27 de agosto de 2026.</w:t>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deja el lead en ACEPTADO sin factura emitida. Mientras no hubo reparación automática, la factura se perdía salvo que alguien advirtiera el hueco y la rehiciera a mano.</w:t>
            </w:r>
          </w:p>
        </w:tc>
        <w:tc>
          <w:tcPr>
            <w:tcW w:type="dxa" w:w="2494"/>
          </w:tcPr>
          <w:p>
            <w:pPr>
              <w:spacing w:after="40" w:before="40"/>
              <w:jc w:val="left"/>
            </w:pPr>
            <w:r>
              <w:rPr>
                <w:b w:val="0"/>
                <w:i w:val="0"/>
                <w:sz w:val="13"/>
              </w:rPr>
              <w:t>Implementada el 27-ago-2026: un cuarto proceso programado (cada 30 minutos) busca leads en ACEPTADO sin factura asociada, con más antigüedad que RECONCILIACION_GRACIA_MINUTOS para no pisar una aceptación en curso, y emite el comprobante que faltaba. La emisión es idempotente por partida doble —la inserción lleva WHERE NOT EXISTS sobre lead_id y el identificador de la factura se deriva del lead—, de modo que dos corridas no producen dos facturas. La factura recuperada nace PENDIENTE, conserva el precio comprometido y queda tomada por el proceso de recordatorios de pago (§4.3.5).</w:t>
            </w:r>
          </w:p>
        </w:tc>
        <w:tc>
          <w:tcPr>
            <w:tcW w:type="dxa" w:w="1191"/>
          </w:tcPr>
          <w:p>
            <w:pPr>
              <w:spacing w:after="40" w:before="40"/>
              <w:jc w:val="left"/>
            </w:pPr>
            <w:r>
              <w:rPr>
                <w:b w:val="0"/>
                <w:i w:val="0"/>
                <w:sz w:val="13"/>
              </w:rPr>
              <w:t>Parcial — 27-ago-2026: la mitigación propuesta está implementada y verificada, pero la frontera transaccional propiamente dicha sigue sin existir. Lo que hay es un proceso compensatorio que repara después de la falla en vez de evitarla, con una ventana de hasta media hora, y que no reenvía el correo con el PDF.</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Mientras estuvo abierta: un doble envío generaba dos leads con identificadores distintos, dos cálculos de score y dos avisos al profesional por el mismo interesado.</w:t>
            </w:r>
          </w:p>
        </w:tc>
        <w:tc>
          <w:tcPr>
            <w:tcW w:type="dxa" w:w="2494"/>
          </w:tcPr>
          <w:p>
            <w:pPr>
              <w:spacing w:after="40" w:before="40"/>
              <w:jc w:val="left"/>
            </w:pPr>
            <w:r>
              <w:rPr>
                <w:b w:val="0"/>
                <w:i w:val="0"/>
                <w:sz w:val="13"/>
              </w:rPr>
              <w:t>Implementada el 27-ago-2026 en las dos puntas que el propio diagnóstico proponía. En el formulario, un cerrojo por referencia —que no depende del ciclo de repintado— descarta el segundo envío mientras el primero está en vuelo. En el flujo, la inserción del lead pasó a ser condicional: no inserta si en los últimos DEDUP_VENTANA_MINUTOS (diez por defecto) ya entró un lead con el mismo correo, y sin fila el proceso termina en un nodo de operación nula, sin segundo score ni segundo aviso. Como el webhook responde al recibir la petición, quien hizo doble clic ve éxito y no un error.</w:t>
            </w:r>
          </w:p>
        </w:tc>
        <w:tc>
          <w:tcPr>
            <w:tcW w:type="dxa" w:w="1191"/>
          </w:tcPr>
          <w:p>
            <w:pPr>
              <w:spacing w:after="40" w:before="40"/>
              <w:jc w:val="left"/>
            </w:pPr>
            <w:r>
              <w:rPr>
                <w:b w:val="0"/>
                <w:i w:val="0"/>
                <w:sz w:val="13"/>
              </w:rPr>
              <w:t>Cerrada — 27-ago-2026: verificada con dos peticiones simultáneas contra el sistema levantado —un solo lead y un solo aviso— y con la verificación automatizada tests/idempotencia.mjs, que ejecuta la consulta del propio nodo sobre el esquema real (§4.3.1).</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rPr>
              <w:t>Mientras estuvo abierto: la confidencialidad y la integridad de los datos no estaban garantizadas. Riesgo cerrado con la rotación de las claves.</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val="0"/>
              </w:rPr>
              <w:t>Cerrado — 27-ago-2026: rotación de la service_role key y deshabilitación de las claves JWT legacy.</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Se destacan tres decisiones. Primera, el patrón de tres clientes de Supabase, que separa las responsabilidades de navegador, servidor y capa de proxy —esta última también en el entorno de Node.js, no en el borde (§4.2.3)—. Esto está en línea con el modelo de renderizado híbrido de Next.js. Segunda, la degradación defensiva ante la ausencia de variables de entorno, que privilegia la resiliencia del despliegue. Tercera, la elección de tiempo real por suscripción frente al sondeo periódico para el tablero, que reduce la latencia de actualización y el consumo innecesario de recursos.</w:t>
      </w:r>
      <w:r>
        <w:rPr>
          <w:b/>
        </w:rPr>
      </w:r>
      <w:proofErr w:type="spellStart"/>
      <w:r>
        <w:rPr>
          <w:b/>
        </w:rPr>
      </w:r>
      <w:proofErr w:type="spellEnd"/>
      <w:r/>
      <w:r>
        <w:rPr>
          <w:b/>
        </w:rPr>
      </w:r>
      <w:r/>
      <w:r>
        <w:rPr>
          <w:b/>
        </w:rPr>
      </w:r>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se inserta ya calificado: el cálculo del puntaje precede a la persistencia, no al revés. Permanece en estado NUEVO hasta que el profesional envía la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rPr>
        <w:t>El desarrollo de este capítulo identificó ocho riesgos de diseño y conviene reunirlos para que la discusión (Capítulo 6) y los trabajos futuros (Capítulo 8) los retomen sin dispersión. Seis son de seguridad y están consignados en la Tabla 11: S1 a S5 y S8, esta última la validación de firma del webhook de MercadoPago, opcional y deshabilitada por defecto (§4.3.3). S7, el incidente de credenciales de Supabase que no es un riesgo de diseño sino un episodio puntual, se cerró el 27 de agosto de 2026 y se detalla en el §6.3. Los dos restantes son de consistencia funcional: la ausencia de idempotencia en la captación (S6) y la ausencia de un proceso desatendido que reclame a un lead calificado que el profesional no llega a enviar (§4.3.1). De los ocho, dos dejaron de estar abiertos el 27 de agosto de 2026, y por la vía que la propia Tabla 11 tenía escrita. La ausencia de idempotencia en la captación (S6) se cerró con la deduplicación por correo dentro de una ventana temporal y el bloqueo del envío (§4.3.1). La falta de recuperación entre la aceptación y la facturación (S5) se mitigó con un cuarto proceso programado de reconciliación (§4.3.5), aunque la frontera transaccional propiamente dicha sigue sin existir: lo incorporado repara después de la falla y no la evita. Quedan abiertos, en distinto grado, S1, S3, S4 y S8, y la falta de un proceso que reclame al lead calificado que queda a la espera de que el profesional envíe su propuesta.</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se ejecutó contra un doble de prueba, por la indisponibilidad de las credenciales del proveedor; el procedimiento y su alcance se detallan más abajo.</w:t>
      </w:r>
    </w:p>
    <w:p>
      <w:pPr/>
      <w: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cubre la rama de cobro con MercadoPago, ejecutada contra un doble de prueba por la indisponibilidad de las credenciales del proveedor, según se detalla más adelante en este capítulo (§4.3.3). Los quince escenarios se trazan en la matriz del Anexo E.</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20 de 20 eventos recibidos · latencia p95 = 0,79 s · máxima 0,82 s · mínima 0,27 s, en la corrida de veinte repeticiones del 26 de agosto de 2026. Tres corridas previas de cinco repeticiones habían dado p95 de 0,56 s, 1,06 s y 0,55 s. Todos los valores por debajo del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El 28-ago-2026 se ejecutó el escenario contra el sistema real y la cadena llegó hasta el final: la API de Telegram devolvió ok = true y message_id = 594, y el texto entregado reproduce los indicadores del mes —mes = 2026-08, 6 leads (3 HOT), facturado 11.700 USD, cobrado 7.200, pendiente 4.500, tasa de cobro 61,5 % y 8 propuestas esperando términos—, idénticos a los que devuelve metrics_mensuales</w:t>
            </w:r>
          </w:p>
        </w:tc>
        <w:tc>
          <w:tcPr>
            <w:tcW w:type="dxa" w:w="1928"/>
          </w:tcPr>
          <w:p>
            <w:pPr>
              <w:spacing w:after="40" w:before="40"/>
              <w:jc w:val="left"/>
            </w:pPr>
            <w:r>
              <w:rPr>
                <w:b/>
                <w:i w:val="0"/>
                <w:sz w:val="13"/>
              </w:rPr>
              <w:t>Respuesta de la API de Telegram con ok = true y message_id = 594 (28-ago-2026), que consigna el texto exacto entregado y permite contrastarlo con la vista. El disparo se hizo por la vía que el protocolo contempla para los procesos programados, sobre los nodos reales del flujo. La causa por la que este escenario no producía evidencia se había corregido el 24-ago-2026:</w:t>
            </w:r>
            <w:r>
              <w:rPr>
                <w:b w:val="0"/>
                <w:i w:val="0"/>
                <w:sz w:val="13"/>
              </w:rPr>
              <w:t xml:space="preserve">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t>estado_pago antes/después = PENDIENTE → COBRADO · mp_payment_id persistido = 900000001 · notificación duplicada aplicada una sola vez (estado y mp_payment_id sin cambios tras la repetición). Corrida del 27-ago-2026 contra el doble de prueba.</w:t>
            </w:r>
          </w:p>
        </w:tc>
        <w:tc>
          <w:tcPr>
            <w:tcW w:type="dxa" w:w="1928"/>
          </w:tcPr>
          <w:p>
            <w:pPr>
              <w:spacing w:after="40" w:before="40"/>
              <w:jc w:val="left"/>
            </w:pPr>
            <w:r>
              <w:t>Ejecutado contra un doble que reproduce el contrato documentado de la API de MercadoPago (tests/e14-cobro-mp.mjs, tests/mp-doble.mjs, tests/fixtures-e14/), no contra el servicio real: la activación de credenciales de prueba del proveedor falla por una causa ajena al artefacto (§5). La validación con una operación real queda como trabajo futuro (Capítulo 8, punto 6).</w:t>
            </w:r>
          </w:p>
        </w:tc>
      </w:tr>
    </w:tbl>
    <w:p>
      <w:pPr/>
      <w:r>
        <w:rPr>
          <w:b w:val="0"/>
          <w:i/>
        </w:rPr>
        <w:t>Nota. Elaboración propia. Los valores de la columna «Resultado esperado» se derivan de las reglas de la Tabla 5 y son verificables por cálculo. Las celdas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E1b y E2 a E6 más E8 a E10: diez escenarios, ya que E1 se desdobló en la calificación y el envío de la propuesta, y E7 se mide aparte)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La corrida que acredita el requisito es la de veinte repeticiones que su método exige: se recibieron los 20 eventos esperados, con una latencia p95 de 0,79 s y un peor caso de 0,82 s, frente al umbral de 3 s del RNF6. Tres corridas previas de cinco repeticiones, todas en verde, habían anticipado el resultado con un peor caso de 1,06 s.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quedaba actividad de agosto para que la vista agregue. Corregida esa causa el 24 de agosto, el escenario se reejecutó el 28 y esta vez sí entregó el reporte, con los valores que consigna su fila de la Tabla 12. Queda, entonces, un solo escenario que no pudo ejercitarse contra el proveedor real: E14, que requiere credenciales de prueba de MercadoPago; se lo ejecutó contra un doble que reproduce el contrato documentado de su API, según se detalla a continuación.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Pr/>
      <w:proofErr w:type="spellStart"/>
      <w:proofErr w:type="spellEnd"/>
      <w:r>
        <w:t>El escenario E14 merece una explicación aparte, porque su ejecución siguió un camino distinto del resto. El 27 de agosto de 2026 se intentó activar credenciales de prueba en el panel de desarrolladores de MercadoPago para la aplicación registrada del proyecto. La activación falló de forma consistente con un error 422 del propio backend del proveedor (endpoint interno testUserAutomation/create), sin devolver un motivo específico. Se descartó que fuera un problema de la cuenta o de la aplicación: el mismo error se reprodujo creando una cuenta de prueba vendedor nueva y probando desde la cuenta de un tercero independiente. El patrón —una falla intermitente de la activación de usuarios de prueba en el entorno de sandbox— está documentado en reportes de otros desarrolladores en foros públicos de MercadoPago. La causa es, por lo tanto, del proveedor y no del artefacto.</w:t>
      </w:r>
    </w:p>
    <w:p w:rsidR="00D60FC7" w:rsidRDefault="00000000">
      <w:pPr/>
      <w:proofErr w:type="spellStart"/>
      <w:proofErr w:type="spellEnd"/>
      <w:r>
        <w:t>Ante esa indisponibilidad, el escenario se ejecutó contra un doble de prueba que reproduce el contrato documentado de los dos únicos endpoints de MercadoPago que el flujo consume: la creación de la preferencia de Checkout Pro y la consulta del pago. Para poder hacerlo se parametrizó la base de la API como variable de entorno (MP_API_BASE, Tabla 21), con el servicio real como valor por omisión, de modo que el comportamiento de producción no cambia y el artefacto gana testabilidad. Los nodos que intervienen son los reales del flujo, sin modificar. La corrida verificó, con los valores que consigna la Tabla 12: que la preferencia se crea y su identificador se persiste en la factura; que la notificación de pago dispara la consulta del pago contra la API —el flujo no confía en el cuerpo notificado— y que la factura pasa de PENDIENTE a COBRADO con su mp_payment_id; y que una notificación repetida no vuelve a aplicar el efecto. El instrumento es tests/e14-cobro-mp.mjs, con el doble en tests/mp-doble.mjs y el andamiaje en tests/fixtures-e14/, todo versionado en el repositorio, de modo que la corrida es repetible por un tercero.</w:t>
      </w:r>
    </w:p>
    <w:p w:rsidR="00D60FC7" w:rsidRDefault="00000000">
      <w:pPr/>
      <w:proofErr w:type="spellStart"/>
      <w:proofErr w:type="spellEnd"/>
      <w:r>
        <w:rPr>
          <w:b/>
        </w:rPr>
        <w:t>Alcance de lo que esa corrida acredita.</w:t>
      </w:r>
      <w:r>
        <w:t xml:space="preserve"> Verifica el comportamiento del artefacto contra el contrato documentado del proveedor, no el del proveedor mismo: un cambio no anunciado en la API de MercadoPago no sería detectado por esta prueba. La validación con una operación real sigue pendiente y se registra como trabajo futuro (Capítulo 8, punto 6). Corresponde una segunda precisión, de método: la factura en estado PENDIENTE sobre la que opera el escenario se sembró directamente en la base como precondición, en lugar de producirse recorriendo el flujo de aceptación, porque los nodos de envío de correo detienen la cadena cuando la credencial OAuth del servicio está vencida, como ocurría en el entorno de la corrida. La emisión de la factura por el camino completo es lo que verifica el escenario E5, ya ejecutado; lo que E14 verifica, y lo que esta corrida ejercita de punta a punta, es la rama de cobro.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41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tests/idempotencia.mjs hace lo mismo con las dos garantías de idempotencia que la Tabla 11 da por resueltas: sobre ese mismo PostgreSQL desechable ejecuta —leídas del propio flujo exportado, no copiadas a mano— la inserción condicional del lead y las tres consultas del proceso de reconciliación, y comprueba en veintidós aserciones que un envío repetido no cree un segundo lead, que dos envíos simultáneos tampoco lo hagan, y que dos corridas del proceso de reconciliación no emitan dos facturas. tests/auth_errores.js cierra la mitad medible del RNF5: declara los veintidós códigos de error que la plataforma de autenticación puede devolver en los tres flujos que la aplicación invoca y comprueba que todos tengan mensaje en español.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el seguimiento y los recordatorios dejaron evidencia en la base y quedan verificados parcialmente, por los tramos que no se ejercitaron y que sus filas del Anexo E detallan. El reporte diario quedó pendiente hasta el 28 de agosto de 2026, cuando se lo ejecutó contra el sistema real: la API de Telegram confirmó la entrega (ok = true, message_id = 594) y los indicadores del mensaje coinciden con los de la vista metrics_mensuales, de modo que el RF10 queda verificado.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cuatro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Cada importe consigna el plan concreto y la fecha en que se consultó la tarifa publicada, de modo que la estimación es auditable y su vigencia, acotada. Los totales a doce meses son el producto directo del costo mensual por doce. La estimación no incorpora el costo del desarrollo ni el del mantenimiento, que se consignan por separado en la última fila por no ser monetizables sin una tarifa horaria declarada.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 Las siete dimensiones se fijaron antes de la comparación y se derivan del problema planteado en §1.2, según se explica en §2.7. Las celdas de la solución construida se resuelven contra el artefacto —el esquema db/schema.sql, el flujo exportado y la Tabla 5—; las de las cuatro alternativas, contra la documentación y las páginas de precios de cada proveedor consultadas el 17 de agosto de 2026, con la limitación de fuente que §2.7 declara.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rPr>
        <w:t>La arquitectura es híbrida, no autoalojada.</w:t>
      </w:r>
      <w:r>
        <w:rPr>
          <w:b w:val="0"/>
        </w:rPr>
        <w:t xml:space="preserve"> El sistema depende de cinco servicios gestionados por terceros: Supabase, Vercel, Gmail, Telegram y Notion. Solo n8n es efectivamente autoalojado, y en un equipo local. La «propiedad total del dato» que §2.8 invoca como razón para construir no se verifica, por tanto, en el artefacto.</w:t>
      </w:r>
    </w:p>
    <w:p>
      <w:pPr>
        <w:pStyle w:val="Prrafodelista"/>
      </w:pPr>
      <w:r>
        <w:rPr>
          <w:b/>
        </w:rPr>
        <w:t>El sistema tenía deudas de seguridad conocidas; cuatro se cerraron o se mitigaron en el camino y las demás siguen abiertas. La Tabla 11 las enumera. La primera,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La segunda fue el incidente de credenciales de Supabase (S7, §6.3), cerrado el 27-ago-2026 con la rotación de la service_role key y la deshabilitación de las claves JWT legacy. Las otras dos se cerraron el mismo 27 de agosto, y son las dos que la propia tabla declaraba junto con su remedio: la captación dejó de admitir envíos duplicados —deduplicación por correo dentro de una ventana configurable, más el bloqueo del envío en el formulario (S6)—. Además, la facturación dejó de perder comprobantes ante una falla intermedia, gracias a un proceso programado de reconciliación idempotente (S5). De esta última queda pendiente la frontera transaccional propiamente dicha, porque lo incorporado repara después de la falla en vez de evitarla. La deuda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p>
    <w:p>
      <w:pPr>
        <w:pStyle w:val="Prrafodelista"/>
      </w:pPr>
      <w:r>
        <w:rPr>
          <w:b/>
        </w:rPr>
        <w:t>El sistema opera fuera de dos marcos normativos aplicables. El comprobante que genera no cumple los requisitos del régimen de facturación electrónica argentino y el tratamiento de datos de contacto de personas identificables no contempla la Ley 25.326. A eso se suma que la transferencia de esos datos a encargados domiciliados en países que la Disposición 60-E/2016 no reconoce como de protección adecuada agrega el régimen del art. 12 de esa ley (§2.9 y §1.7). Ambas dimensiones son directamente aplicables al artefacto y su omisión es una limitación del trabajo, no una decisión de alcance neutra: acota su validez a un entorno de prueba con datos ficticios y excluye la operación con clientes reales hasta que se satisfagan.</w:t>
      </w:r>
    </w:p>
    <w:p>
      <w:pPr>
        <w:pStyle w:val="Ttulo2"/>
      </w:pPr>
      <w:r>
        <w:rPr>
          <w:b w:val="0"/>
        </w:rPr>
        <w:t>6.3 Incidente de seguridad: exposición y cierre de credenciales</w:t>
      </w:r>
    </w:p>
    <w:p>
      <w:pPr/>
      <w:r>
        <w:t xml:space="preserve">Durante la configuración inicial del proyecto de Supabase, la </w:t>
      </w:r>
      <w:r>
        <w:rPr>
          <w:rFonts w:ascii="Consolas" w:hAnsi="Consolas"/>
        </w:rPr>
        <w:t>secret key</w:t>
      </w:r>
      <w:r>
        <w:t xml:space="preserve"> y la </w:t>
      </w:r>
      <w:r>
        <w:rPr>
          <w:rFonts w:ascii="Consolas" w:hAnsi="Consolas"/>
        </w:rPr>
        <w:t>service_role key</w:t>
      </w:r>
      <w:r>
        <w:t xml:space="preserve"> se compartieron por un canal de mensajería no seguro. Ninguna de las dos se utilizó en el código ni se almacenó en el repositorio: el frontend emplea únicamente la clave pública, y el motor de automatización guarda la </w:t>
      </w:r>
      <w:r>
        <w:rPr>
          <w:rFonts w:ascii="Consolas" w:hAnsi="Consolas"/>
        </w:rPr>
        <w:t>service_role key</w:t>
      </w:r>
      <w:r>
        <w:t xml:space="preserve"> en sus credenciales internas. Pese a eso, la exposición ocurrió. El 27 de agosto de 2026 se rotó la </w:t>
      </w:r>
      <w:r>
        <w:rPr>
          <w:rFonts w:ascii="Consolas" w:hAnsi="Consolas"/>
        </w:rPr>
        <w:t>service_role key</w:t>
      </w:r>
      <w:r>
        <w:t xml:space="preserve"> del proyecto y se deshabilitaron las claves JWT legacy que permanecían activas, cerrando ambos frentes de la exposición.</w:t>
      </w:r>
    </w:p>
    <w:p>
      <w:pPr/>
      <w:r>
        <w:t xml:space="preserve">Mientras estuvo abierto, no fue una línea de trabajo futuro sino un incidente de seguridad activo, y así se consignó aquí y en la Tabla 11 (S7). Su relevancia era directa: según §4.6, la </w:t>
      </w:r>
      <w:r>
        <w:rPr>
          <w:rFonts w:ascii="Consolas" w:hAnsi="Consolas"/>
        </w:rPr>
        <w:t>service_role key</w:t>
      </w:r>
      <w:r>
        <w:t xml:space="preserve"> evade por diseño la seguridad a nivel de fila y es la única credencial con permiso de escritura sobre las cinco tablas; mientras no se rotara, la integridad de los datos no estaba garantizada. Con la rotación de esa clave y la deshabilitación de las claves JWT legacy completadas el 27 de agosto de 2026, la integridad de los datos vuelve a depender exclusivamente de la custodia normal de credenciales descrita en el §4.6, y no de una exposición sin resolver.</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 Se diseñó el modelo de datos relacional con seguridad a nivel de fila y se expuso el tablero autenticado con métricas del mes, embudo y facturas pendientes. Cumplido. El modelo de datos y la RLS están verificados (npm run test:rls), y la actualización en tiempo real del tablero (escenario E7) se midió el 26 de agosto de 2026 con scripts/medir-realtime.mjs, en tres corridas independientes. La corrida acreditante, de veinte repeticiones como exige el método del RNF6, recibió los 20 eventos esperados con una latencia p95 de 0,79 s y un peor caso de 0,82 s, por debajo del umbral de 3 s.</w:t>
      </w:r>
    </w:p>
    <w:p w:rsidR="00D60FC7" w:rsidRDefault="00000000">
      <w:pPr>
        <w:pStyle w:val="Prrafodelista"/>
        <w:numPr>
          <w:ilvl w:val="0"/>
          <w:numId w:val="1"/>
        </w:numPr>
      </w:pPr>
      <w:r>
        <w:rPr>
          <w:b/>
        </w:rPr>
        <w:t>OE5. Se incorporaron los procesos programados de seguimiento, recordatorio de pago y reporte diario. Cumplido. El seguimiento y los recordatorios de pago se ejercitaron manualmente el 23-ago-2026 (E11, E12), lo que reveló y permitió corregir tres defectos reales. El reporte diario (E13) se ejecutó el 28-ago-2026 contra el sistema real: la API de Telegram confirmó la entrega (ok = true, message_id = 594) y los indicadores del mensaje coinciden con los de la vista metrics_mensuales (Capítulo 5). Subsiste, dentro de los dos primeros, la cobertura parcial que declaran los requisitos RF8 y RF9: la transición a PERDIDO del tercer seguimiento y el escalón RECORDATORIO de los vencimientos no se ejercitaron por falta de datos de prueba en ese rango.</w:t>
      </w:r>
      <w:r/>
      <w:r>
        <w:rPr>
          <w:b/>
        </w:rPr>
      </w:r>
    </w:p>
    <w:p w:rsidR="00D60FC7" w:rsidRDefault="00000000">
      <w:proofErr w:type="spellStart"/>
      <w:proofErr w:type="spellEnd"/>
      <w:proofErr w:type="spellStart"/>
      <w:proofErr w:type="spellEnd"/>
      <w:r>
        <w:rPr>
          <w:b/>
          <w:i w:val="0"/>
        </w:rPr>
        <w:t>Respuesta al objetivo general.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cuatro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logs y un tablero que expone el embudo completo.</w:t>
      </w:r>
      <w:r>
        <w:rPr>
          <w:b w:val="0"/>
          <w:i w:val="0"/>
        </w:rPr>
      </w:r>
      <w:r>
        <w:rPr>
          <w:rFonts w:ascii="Consolas" w:hAnsi="Consolas" w:cs="Consolas"/>
          <w:b w:val="0"/>
          <w:i w:val="0"/>
        </w:rPr>
      </w:r>
      <w:r>
        <w:rPr>
          <w:b w:val="0"/>
          <w:i w:val="0"/>
        </w:rPr>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 sugerida, pero no demostrada, la mejora de indicadores comerciales reales, que dependería de una operación en producción. El menor costo operativo, en cambio, sí está estimado: la Tabla 13 lo cifra en USD 56,40 a doce meses frente a USD 588,00 de un CRM comercial y USD 359,88 de una plataforma de integración, con el plan y la fecha de consulta declarados en cada celda. La salvedad es de naturaleza distinta: esa comparación no incorpora el costo del desarrollo ni el del mantenimiento, que recaen sobre el profesional y que ninguna de las alternativas le cobra.</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Esta lista ya no excluye la rotación de credenciales comprometidas: el incidente de seguridad que la motivaba se cerró el 27 de agosto de 2026 y se documenta, resuelto, en el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Completar la frontera transaccional y la reconciliación que queda. De los tres encargos que esta línea reunía, dos se resolvieron el 27 de agosto de 2026: el proceso programado que detecta leads en estado ACEPTADO sin factura asociada y reemite el comprobante de forma idempotente (§4.3.5), y la deduplicación por correo en la captación (§4.3.1). Queda el proceso que detecte, entre los leads en NUEVO, a la propuesta calificada que el profesional dejó sin enviar (§4.3.1 y §4.3.2): hoy sólo se mitiga con la notificación inmediata y la visibilidad en el tablero. Queda también la frontera transaccional propiamente dicha: la reconciliación repara después de la falla y no la evita, deja una ventana de hasta media hora y no reenvía el comprobante por correo. Cerrarla de verdad exige llevar la aceptación y la facturación a una única unidad de trabajo, o adoptar un patrón de saga con compensación explícita.</w:t>
      </w:r>
      <w:r>
        <w:rPr>
          <w:b w:val="0"/>
          <w:i w:val="0"/>
        </w:rPr>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rPr>
        <w:t>5. Completar el cumplimiento normativo. Es condición previa a operar con clientes reales, no una mejora opcional (§2.9). En materia de datos personales, corresponde incorporar al formulario el aviso del art. 6 de la Ley 25.326 —finalidad, destinatarios, identidad del responsable, carácter de cada respuesta y derechos de acceso, rectificación y supresión— con consentimiento expreso y separado para la cesión a terceros (art. 11) y para la transferencia internacional (art. 12), o bien suscribir las cláusulas contractuales tipo de la Disposición 60-E/2016 con cada encargado domiciliado fuera de los países de protección adecuada. Falta además definir una política de retención que opere la supresión que exige el art. 4.7, e inscribir la base ante la Agencia de Acceso a la Información Pública (art. 21). En materia fiscal: integrar el servicio web de ARCA para solicitar el CAE de cada comprobante y completar CUIT, punto de venta, tipo de comprobante y numeración correlativa, de modo que el documento deje de ser un comprobante interno y pase a tener validez fiscal.</w:t>
      </w:r>
    </w:p>
    <w:p>
      <w:pPr/>
      <w:r>
        <w:rPr>
          <w:b/>
        </w:rPr>
        <w:t>6. Cerrar lo que queda de la integración de pagos. La pasarela de pago real ya está integrada (MercadoPago, §4.3.3) y su rama de cobro está verificada contra un doble de prueba (escenario E14). Quedan tres tareas. La primera es repetir esa verificación contra el servicio real cuando la activación de credenciales de prueba del proveedor vuelva a estar disponible, que es lo único que la corrida actual no puede acreditar. Las otras dos son habilitar por defecto la validación de firma del webhook (MP_WEBHOOK_SECRET), hoy opcional, y evaluar el split de pagos vía la API de Marketplace de MercadoPago cuando el sistema pase a operar con más de un profesional cobrando a cuentas distintas (§4.5).</w:t>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cuatro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Unificar la nomenclatura de las rutas de integración, hoy dividida entre barra (/lead/nuevo y /mp/notificacion, esta última impuesta por el proveedor) y guion (el resto). No tiene efecto funcional, pero rompe la uniformidad del contrato; unificarla exige actualizar la variable de entorno del frontend y el nodo correspondiente del flujo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 Contrastar además la comparación de §2.7 contra evaluaciones de analistas independientes o datos agregados de usuarios, de modo que las afirmaciones funcionales sobre las cuatro alternativas dejen de apoyarse únicamente en lo que cada proveedor declara de sí mismo.</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ind w:left="720" w:hanging="720"/>
      </w:pPr>
      <w:bookmarkStart w:id="53" w:name="_Toc233808459"/>
      <w:bookmarkEnd w:id="53"/>
      <w:r>
        <w:t xml:space="preserve">Agencia de Recaudación y Control Aduanero. (2026). </w:t>
      </w:r>
      <w:r>
        <w:rPr>
          <w:i/>
        </w:rPr>
        <w:t>Facturación electrónica</w:t>
      </w:r>
      <w:r>
        <w:t>. Recuperado el 27 de agosto de 2026, de https://www.arca.gob.ar</w:t>
      </w:r>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Amir, A. R. (2026). </w:t>
      </w:r>
      <w:r>
        <w:rPr>
          <w:i/>
        </w:rPr>
        <w:t>Evaluating workflow automation efficiency using n8n: A small-scale business case study</w:t>
      </w:r>
      <w:r>
        <w:rPr>
          <w:i w:val="0"/>
        </w:rPr>
        <w:t xml:space="preserve"> [Preprint]. ScienceOpen. https://doi.org/10.14293/PR2199.002882.v1</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r>
        <w:t xml:space="preserve">Dirección Nacional de Protección de Datos Personales. (2016). </w:t>
      </w:r>
      <w:r>
        <w:rPr>
          <w:i/>
        </w:rPr>
        <w:t>Disposición 60-E/2016</w:t>
      </w:r>
      <w:r>
        <w:t>. Ministerio de Justicia y Derechos Humanos. https://servicios.infoleg.gob.ar/infolegInternet/anexos/265000-269999/267922/norma.htm</w:t>
      </w:r>
    </w:p>
    <w:p w:rsidR="00D60FC7" w:rsidRDefault="00000000">
      <w:pPr>
        <w:spacing w:after="120"/>
        <w:ind w:left="720" w:hanging="720"/>
      </w:pPr>
      <w:r>
        <w:rPr>
          <w:i w:val="0"/>
        </w:rPr>
        <w:t xml:space="preserve">Domański, R., Wojciechowski, H., Lewandowicz, J., &amp; Hadaś, Ł. (2023). Digitalization of management processes in small and medium-sized enterprises—An overview of low-code and no-code platforms. </w:t>
      </w:r>
      <w:r>
        <w:rPr>
          <w:i/>
        </w:rPr>
        <w:t>Applied Sciences, 13</w:t>
      </w:r>
      <w:r>
        <w:rPr>
          <w:i w:val="0"/>
        </w:rPr>
        <w:t>(24), Article 13078. https://doi.org/10.3390/app132413078</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r>
        <w:rPr>
          <w:i w:val="0"/>
        </w:rPr>
        <w:t xml:space="preserve">Lamanna, A. (2025). </w:t>
      </w:r>
      <w:r>
        <w:rPr>
          <w:i/>
        </w:rPr>
        <w:t>A structured evaluation framework for low-code platform selection: A multi-criteria decision model for enterprise digital transformation</w:t>
      </w:r>
      <w:r>
        <w:rPr>
          <w:i w:val="0"/>
        </w:rPr>
        <w:t xml:space="preserve"> [Preprint]. arXiv. https://doi.org/10.48550/arXiv.2510.18590</w:t>
      </w:r>
    </w:p>
    <w:p w:rsidR="00D60FC7" w:rsidRDefault="00000000">
      <w:pPr>
        <w:spacing w:after="120"/>
        <w:ind w:left="720" w:hanging="720"/>
      </w:pPr>
      <w:r>
        <w:t xml:space="preserve">Ley 25.326 de Protección de los Datos Personales. (2000). </w:t>
      </w:r>
      <w:r>
        <w:rPr>
          <w:i/>
        </w:rPr>
        <w:t>Boletín Oficial de la República Argentina</w:t>
      </w:r>
      <w:r>
        <w:t>, 30 de octubre de 2000. https://servicios.infoleg.gob.ar/infolegInternet/anexos/60000-64999/64790/norma.htm</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r>
        <w:rPr>
          <w:i w:val="0"/>
        </w:rPr>
        <w:t xml:space="preserve">Muhammad, S., Prybutok, V., &amp; Sinha, V. (2025). Unlocking citizen developer potential: A systematic review and model for digital transformation. </w:t>
      </w:r>
      <w:r>
        <w:rPr>
          <w:i/>
        </w:rPr>
        <w:t>Encyclopedia, 5</w:t>
      </w:r>
      <w:r>
        <w:rPr>
          <w:i w:val="0"/>
        </w:rPr>
        <w:t>(1), Article 36. https://doi.org/10.3390/encyclopedia5010036</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1216995"/>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1216995"/>
                    </a:xfrm>
                    <a:prstGeom prst="rect"/>
                  </pic:spPr>
                </pic:pic>
              </a:graphicData>
            </a:graphic>
          </wp:inline>
        </w:drawing>
      </w:r>
    </w:p>
    <w:p>
      <w:pPr>
        <w:keepLines/>
      </w:pPr>
      <w:r>
        <w:rPr>
          <w:b/>
          <w:i w:val="0"/>
          <w:sz w:val="17"/>
        </w:rPr>
        <w:t>Figura 8. Flujo de captación y calificación en n8n: webhook de nuevo lead, normalización, verificación de duplicados, scoring, inserción ya calificada y el aviso de que la propuesta queda pendiente de que el profesional la envíe (§4.3.1). Nota. Captura propia del lienzo de n8n.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Los otros dos procesos programados —el reporte diario de métricas y la reconciliación de facturas, incorporada el 27 de agosto de 2026— no están documentados en esta captura; la evidencia del primero corresponde al escenario E13 y está pendiente de incorporación.</w:t>
      </w:r>
    </w:p>
    <w:p>
      <w:pPr>
        <w:jc w:val="center"/>
        <w:keepNext/>
      </w:pPr>
      <w:r>
        <w:drawing>
          <wp:inline xmlns:a="http://schemas.openxmlformats.org/drawingml/2006/main" xmlns:pic="http://schemas.openxmlformats.org/drawingml/2006/picture">
            <wp:extent cx="3675887" cy="4741894"/>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4741894"/>
                    </a:xfrm>
                    <a:prstGeom prst="rect"/>
                  </pic:spPr>
                </pic:pic>
              </a:graphicData>
            </a:graphic>
          </wp:inline>
        </w:drawing>
      </w:r>
    </w:p>
    <w:p>
      <w:pPr>
        <w:keepLines/>
      </w:pPr>
      <w:r>
        <w:rPr>
          <w:b/>
          <w:i w:val="0"/>
          <w:sz w:val="17"/>
        </w:rPr>
        <w:t>Figura 13. Correo de propuesta generado por el sistema, con los términos fijados por el profesional (§4.3.1, escenario E5). Nota. La captura anterior mostraba el correo personal de uno de los autores como remitente y como lead de prueba, en incumplimiento del protocolo de la Tabla 4. Esta figura se generó ejecutando el nodo real Code - Generar Propuesta con datos neutros conforme a ese protocolo (Cliente Demo 1, dominio ejemplo.com) y los valores reales de E5 (precio 7200, plazo 3 semanas), renderizando el HTML resultante. El envío por Gmail no se ejecutó por la credencial vencida (Tabla 11); el contenido es el que ese nodo produce sin variación.</w:t>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1834025"/>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1834025"/>
                    </a:xfrm>
                    <a:prstGeom prst="rect"/>
                  </pic:spPr>
                </pic:pic>
              </a:graphicData>
            </a:graphic>
          </wp:inline>
        </w:drawing>
      </w:r>
    </w:p>
    <w:p>
      <w:pPr>
        <w:keepLines/>
      </w:pPr>
      <w:r>
        <w:rPr>
          <w:b/>
          <w:i w:val="0"/>
          <w:sz w:val="17"/>
        </w:rPr>
        <w:t>Figura 14. Correo de envío de la factura con el comprobante adjunto en PDF (§4.3.2, escenario E5). Nota. La captura anterior mostraba el correo personal de uno de los autores. Esta figura se generó del mismo modo que la Figura 13, con los mismos datos neutros, ejecutando el mensaje real del nodo Gmail - Enviar Factura PDF. El nombre del adjunto es un identificador que el nodo HTTP Request de n8n asigna automáticamente a la respuesta binaria de Gotenberg cuando no se declara un nombre de archivo explícito; se verificó contra el código del flujo que no deriva del accept_token del lead ni de ningún otro dato sensible, sino que es un valor interno de n8n ajeno a la aplicación.</w:t>
      </w:r>
      <w:r>
        <w:rPr>
          <w:b w:val="0"/>
          <w:i w:val="0"/>
          <w:sz w:val="17"/>
        </w:rPr>
      </w:r>
      <w:r>
        <w:rPr>
          <w:b w:val="0"/>
          <w:i/>
          <w:sz w:val="17"/>
        </w:rPr>
      </w:r>
      <w:r>
        <w:rPr>
          <w:b w:val="0"/>
          <w:i w:val="0"/>
          <w:sz w:val="17"/>
        </w:rPr>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69057"/>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69057"/>
                    </a:xfrm>
                    <a:prstGeom prst="rect"/>
                  </pic:spPr>
                </pic:pic>
              </a:graphicData>
            </a:graphic>
          </wp:inline>
        </w:drawing>
      </w:r>
    </w:p>
    <w:p>
      <w:pPr>
        <w:keepLines/>
      </w:pPr>
      <w:r>
        <w:rPr>
          <w:b/>
          <w:i w:val="0"/>
          <w:sz w:val="17"/>
        </w:rPr>
        <w:t>Figura 16. Clasificación de leads por score y nivel: ejemplos HOT, WARM y COLD registrados en la tabla leads (§4.3.1, escenarios E1 a E3). Nota. La captura anterior usaba a los propios autores como leads de prueba y valores que no correspondían a E1-E3. Esta figura se generó enviando tres leads reales con los datos de la Tabla 4 (Cliente Demo 1 a 3, dominio ejemplo.com) y las entradas exactas de E1, E2 y E3, y consultando la tabla leads resultante: los tres puntajes (100, 47, 20) coinciden con la Tabla 12.</w:t>
      </w:r>
      <w:r>
        <w:rPr>
          <w:b w:val="0"/>
          <w:i w:val="0"/>
          <w:sz w:val="17"/>
        </w:rPr>
      </w:r>
      <w:r>
        <w:rPr>
          <w:rFonts w:ascii="Consolas" w:hAnsi="Consolas" w:cs="Consolas"/>
          <w:b w:val="0"/>
          <w:i w:val="0"/>
          <w:sz w:val="17"/>
        </w:rPr>
      </w:r>
      <w:r>
        <w:rPr>
          <w:b w:val="0"/>
          <w:i w:val="0"/>
          <w:sz w:val="17"/>
        </w:rPr>
      </w:r>
      <w:r>
        <w:rPr>
          <w:b w:val="0"/>
          <w:i/>
          <w:sz w:val="17"/>
        </w:rPr>
      </w:r>
      <w:r>
        <w:rPr>
          <w:b w:val="0"/>
          <w:i w:val="0"/>
          <w:sz w:val="17"/>
        </w:rPr>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pPr/>
      <w:r>
        <w:t>Corrida completa de tests/escenarios.mjs, ejecutada el 29 de agosto de 2026 a las 03:05 UTC contra el sistema levantado (n8n en http://localhost:5678, Supabase en la URL declarada en .env.local), sin editar. Los escenarios E1, E2 y E3 verifican el desglose del puntaje contra la Tabla 5, no sólo el total; las cuatro entradas inválidas de la Tabla 12 se verifican en una sola corrida (lead-invalido). A partir de E1b, todo lo que depende de que la propuesta o la factura salgan por correo falla por la credencial de Gmail vencida, ya señalada en §4.3.5; el proceso de reconciliación (§4.3.5) existe precisamente porque no depende de ella.</w:t>
      </w:r>
    </w:p>
    <w:p>
      <w:pPr/>
      <w:r>
        <w:t>Salida de la corrida (tests/escenarios.mjs, 29 de agosto de 2026, 03:05 UTC):</w:t>
      </w:r>
    </w:p>
    <w:tbl>
      <w:tblPr>
        <w:tblW w:type="auto" w:w="0"/>
        <w:tblLook w:firstColumn="1" w:firstRow="1" w:lastColumn="0" w:lastRow="0" w:noHBand="0" w:noVBand="1" w:val="04A0"/>
      </w:tblPr>
      <w:tblGrid>
        <w:gridCol w:w="2197"/>
        <w:gridCol w:w="2197"/>
        <w:gridCol w:w="2197"/>
        <w:gridCol w:w="2197"/>
      </w:tblGrid>
      <w:tr>
        <w:tc>
          <w:tcPr>
            <w:tcW w:type="dxa" w:w="2197"/>
          </w:tcPr>
          <w:p>
            <w:r>
              <w:t>Escenario</w:t>
            </w:r>
          </w:p>
        </w:tc>
        <w:tc>
          <w:tcPr>
            <w:tcW w:type="dxa" w:w="2197"/>
          </w:tcPr>
          <w:p>
            <w:r>
              <w:t>Descripción</w:t>
            </w:r>
          </w:p>
        </w:tc>
        <w:tc>
          <w:tcPr>
            <w:tcW w:type="dxa" w:w="2197"/>
          </w:tcPr>
          <w:p>
            <w:r>
              <w:t>Resultado</w:t>
            </w:r>
          </w:p>
        </w:tc>
        <w:tc>
          <w:tcPr>
            <w:tcW w:type="dxa" w:w="2197"/>
          </w:tcPr>
          <w:p>
            <w:r>
              <w:t>Tiempo</w:t>
            </w:r>
          </w:p>
        </w:tc>
      </w:tr>
      <w:tr>
        <w:tc>
          <w:tcPr>
            <w:tcW w:type="dxa" w:w="2197"/>
          </w:tcPr>
          <w:p>
            <w:r>
              <w:t>E1</w:t>
            </w:r>
          </w:p>
        </w:tc>
        <w:tc>
          <w:tcPr>
            <w:tcW w:type="dxa" w:w="2197"/>
          </w:tcPr>
          <w:p>
            <w:r>
              <w:t>Un lead de presupuesto alto se califica HOT y queda esperando propuesta</w:t>
            </w:r>
          </w:p>
        </w:tc>
        <w:tc>
          <w:tcPr>
            <w:tcW w:type="dxa" w:w="2197"/>
          </w:tcPr>
          <w:p>
            <w:r>
              <w:t>OK</w:t>
            </w:r>
          </w:p>
        </w:tc>
        <w:tc>
          <w:tcPr>
            <w:tcW w:type="dxa" w:w="2197"/>
          </w:tcPr>
          <w:p>
            <w:r>
              <w:t>5308 ms</w:t>
            </w:r>
          </w:p>
        </w:tc>
      </w:tr>
      <w:tr>
        <w:tc>
          <w:tcPr>
            <w:tcW w:type="dxa" w:w="2197"/>
          </w:tcPr>
          <w:p>
            <w:r>
              <w:t>E1b</w:t>
            </w:r>
          </w:p>
        </w:tc>
        <w:tc>
          <w:tcPr>
            <w:tcW w:type="dxa" w:w="2197"/>
          </w:tcPr>
          <w:p>
            <w:r>
              <w:t>El profesional fija precio, plazo y alcance, y recién ahí sale la propuesta</w:t>
            </w:r>
          </w:p>
        </w:tc>
        <w:tc>
          <w:tcPr>
            <w:tcW w:type="dxa" w:w="2197"/>
          </w:tcPr>
          <w:p>
            <w:r>
              <w:t>ERROR (Gmail vencido)</w:t>
            </w:r>
          </w:p>
        </w:tc>
        <w:tc>
          <w:tcPr>
            <w:tcW w:type="dxa" w:w="2197"/>
          </w:tcPr>
          <w:p>
            <w:r>
              <w:t>27473 ms</w:t>
            </w:r>
          </w:p>
        </w:tc>
      </w:tr>
      <w:tr>
        <w:tc>
          <w:tcPr>
            <w:tcW w:type="dxa" w:w="2197"/>
          </w:tcPr>
          <w:p>
            <w:r>
              <w:t>E2</w:t>
            </w:r>
          </w:p>
        </w:tc>
        <w:tc>
          <w:tcPr>
            <w:tcW w:type="dxa" w:w="2197"/>
          </w:tcPr>
          <w:p>
            <w:r>
              <w:t>Un lead de valor medio se califica WARM y también espera propuesta</w:t>
            </w:r>
          </w:p>
        </w:tc>
        <w:tc>
          <w:tcPr>
            <w:tcW w:type="dxa" w:w="2197"/>
          </w:tcPr>
          <w:p>
            <w:r>
              <w:t>OK</w:t>
            </w:r>
          </w:p>
        </w:tc>
        <w:tc>
          <w:tcPr>
            <w:tcW w:type="dxa" w:w="2197"/>
          </w:tcPr>
          <w:p>
            <w:r>
              <w:t>4834 ms</w:t>
            </w:r>
          </w:p>
        </w:tc>
      </w:tr>
      <w:tr>
        <w:tc>
          <w:tcPr>
            <w:tcW w:type="dxa" w:w="2197"/>
          </w:tcPr>
          <w:p>
            <w:r>
              <w:t>E3</w:t>
            </w:r>
          </w:p>
        </w:tc>
        <w:tc>
          <w:tcPr>
            <w:tcW w:type="dxa" w:w="2197"/>
          </w:tcPr>
          <w:p>
            <w:r>
              <w:t>Un lead de presupuesto bajo se califica COLD y NO recibe propuesta</w:t>
            </w:r>
          </w:p>
        </w:tc>
        <w:tc>
          <w:tcPr>
            <w:tcW w:type="dxa" w:w="2197"/>
          </w:tcPr>
          <w:p>
            <w:r>
              <w:t>FALLA (aviso por Gmail vencido)</w:t>
            </w:r>
          </w:p>
        </w:tc>
        <w:tc>
          <w:tcPr>
            <w:tcW w:type="dxa" w:w="2197"/>
          </w:tcPr>
          <w:p>
            <w:r>
              <w:t>4616 ms</w:t>
            </w:r>
          </w:p>
        </w:tc>
      </w:tr>
      <w:tr>
        <w:tc>
          <w:tcPr>
            <w:tcW w:type="dxa" w:w="2197"/>
          </w:tcPr>
          <w:p>
            <w:r>
              <w:t>E4</w:t>
            </w:r>
          </w:p>
        </w:tc>
        <w:tc>
          <w:tcPr>
            <w:tcW w:type="dxa" w:w="2197"/>
          </w:tcPr>
          <w:p>
            <w:r>
              <w:t>Un lead inválido se rechaza sin persistirse y queda registrado</w:t>
            </w:r>
          </w:p>
        </w:tc>
        <w:tc>
          <w:tcPr>
            <w:tcW w:type="dxa" w:w="2197"/>
          </w:tcPr>
          <w:p>
            <w:r>
              <w:t>OK</w:t>
            </w:r>
          </w:p>
        </w:tc>
        <w:tc>
          <w:tcPr>
            <w:tcW w:type="dxa" w:w="2197"/>
          </w:tcPr>
          <w:p>
            <w:r>
              <w:t>5529 ms</w:t>
            </w:r>
          </w:p>
        </w:tc>
      </w:tr>
      <w:tr>
        <w:tc>
          <w:tcPr>
            <w:tcW w:type="dxa" w:w="2197"/>
          </w:tcPr>
          <w:p>
            <w:r>
              <w:t>E5/E6</w:t>
            </w:r>
          </w:p>
        </w:tc>
        <w:tc>
          <w:tcPr>
            <w:tcW w:type="dxa" w:w="2197"/>
          </w:tcPr>
          <w:p>
            <w:r>
              <w:t>Aceptación válida y reutilización del enlace: una sola factura</w:t>
            </w:r>
          </w:p>
        </w:tc>
        <w:tc>
          <w:tcPr>
            <w:tcW w:type="dxa" w:w="2197"/>
          </w:tcPr>
          <w:p>
            <w:r>
              <w:t>ERROR (depende de E1b)</w:t>
            </w:r>
          </w:p>
        </w:tc>
        <w:tc>
          <w:tcPr>
            <w:tcW w:type="dxa" w:w="2197"/>
          </w:tcPr>
          <w:p>
            <w:r>
              <w:t>0 ms</w:t>
            </w:r>
          </w:p>
        </w:tc>
      </w:tr>
      <w:tr>
        <w:tc>
          <w:tcPr>
            <w:tcW w:type="dxa" w:w="2197"/>
          </w:tcPr>
          <w:p>
            <w:r>
              <w:t>E8</w:t>
            </w:r>
          </w:p>
        </w:tc>
        <w:tc>
          <w:tcPr>
            <w:tcW w:type="dxa" w:w="2197"/>
          </w:tcPr>
          <w:p>
            <w:r>
              <w:t>El rechazo de la propuesta deja el lead en PERDIDO</w:t>
            </w:r>
          </w:p>
        </w:tc>
        <w:tc>
          <w:tcPr>
            <w:tcW w:type="dxa" w:w="2197"/>
          </w:tcPr>
          <w:p>
            <w:r>
              <w:t>ERROR (depende de E1b)</w:t>
            </w:r>
          </w:p>
        </w:tc>
        <w:tc>
          <w:tcPr>
            <w:tcW w:type="dxa" w:w="2197"/>
          </w:tcPr>
          <w:p>
            <w:r>
              <w:t>28433 ms</w:t>
            </w:r>
          </w:p>
        </w:tc>
      </w:tr>
      <w:tr>
        <w:tc>
          <w:tcPr>
            <w:tcW w:type="dxa" w:w="2197"/>
          </w:tcPr>
          <w:p>
            <w:r>
              <w:t>E9</w:t>
            </w:r>
          </w:p>
        </w:tc>
        <w:tc>
          <w:tcPr>
            <w:tcW w:type="dxa" w:w="2197"/>
          </w:tcPr>
          <w:p>
            <w:r>
              <w:t>El pedido de cambios vuelve el lead a EN_SEGUIMIENTO y guarda el mensaje</w:t>
            </w:r>
          </w:p>
        </w:tc>
        <w:tc>
          <w:tcPr>
            <w:tcW w:type="dxa" w:w="2197"/>
          </w:tcPr>
          <w:p>
            <w:r>
              <w:t>ERROR (depende de E1b)</w:t>
            </w:r>
          </w:p>
        </w:tc>
        <w:tc>
          <w:tcPr>
            <w:tcW w:type="dxa" w:w="2197"/>
          </w:tcPr>
          <w:p>
            <w:r>
              <w:t>28996 ms</w:t>
            </w:r>
          </w:p>
        </w:tc>
      </w:tr>
      <w:tr>
        <w:tc>
          <w:tcPr>
            <w:tcW w:type="dxa" w:w="2197"/>
          </w:tcPr>
          <w:p>
            <w:r>
              <w:t>E10</w:t>
            </w:r>
          </w:p>
        </w:tc>
        <w:tc>
          <w:tcPr>
            <w:tcW w:type="dxa" w:w="2197"/>
          </w:tcPr>
          <w:p>
            <w:r>
              <w:t>El estado del trabajo se actualiza desde el panel y se sincroniza</w:t>
            </w:r>
          </w:p>
        </w:tc>
        <w:tc>
          <w:tcPr>
            <w:tcW w:type="dxa" w:w="2197"/>
          </w:tcPr>
          <w:p>
            <w:r>
              <w:t>ERROR (depende de E1b)</w:t>
            </w:r>
          </w:p>
        </w:tc>
        <w:tc>
          <w:tcPr>
            <w:tcW w:type="dxa" w:w="2197"/>
          </w:tcPr>
          <w:p>
            <w:r>
              <w:t>0 ms</w:t>
            </w:r>
          </w:p>
        </w:tc>
      </w:tr>
    </w:tbl>
    <w:p>
      <w:pPr/>
      <w:r>
        <w:t>Nota. El lead COLD no recibe una propuesta por diseño (Tabla 5); lo que falla en esa fila es el aviso de cortesía por Telegram y Gmail al lead, agrupado bajo la misma causa raíz. El detalle completo, con cada aserción, vive en docs/evidencia-validacion.md, que este mismo comando regenera en cada corrida.</w:t>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161 nodos funcionales —178 en total, incluidas 17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35</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31</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17</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15</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5</w:t>
            </w:r>
          </w:p>
        </w:tc>
        <w:tc>
          <w:tcPr>
            <w:tcW w:type="dxa" w:w="4139"/>
          </w:tcPr>
          <w:p>
            <w:pPr>
              <w:spacing w:after="40" w:before="40"/>
              <w:jc w:val="left"/>
            </w:pPr>
            <w:r>
              <w:rPr>
                <w:b w:val="0"/>
                <w:i w:val="0"/>
                <w:sz w:val="14"/>
              </w:rPr>
              <w:t>Operación nula (ramas de aceptación duplicada, lead duplicado y factura ya emitida).</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4</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178</w:t>
            </w:r>
          </w:p>
        </w:tc>
        <w:tc>
          <w:tcPr>
            <w:tcW w:type="dxa" w:w="4139"/>
          </w:tcPr>
          <w:p>
            <w:pPr>
              <w:spacing w:after="40" w:before="40"/>
              <w:jc w:val="left"/>
            </w:pPr>
            <w:r>
              <w:rPr>
                <w:b w:val="0"/>
                <w:i w:val="0"/>
                <w:sz w:val="14"/>
              </w:rPr>
              <w:t>161 funcionales + 17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Scoring → Insert Lead (INSERT condicional: descarta el correo repetido dentro de la ventana) → IF - Lead Nuevo? → IF por nivel. Rama HOT/WARM: Telegram de propuesta por enviar. Rama COLD: Telegram + acuse por correo. Rama duplicada: operación nula.</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Reconciliación de facturas</w:t>
            </w:r>
          </w:p>
        </w:tc>
        <w:tc>
          <w:tcPr>
            <w:tcW w:type="dxa" w:w="1814"/>
          </w:tcPr>
          <w:p>
            <w:pPr>
              <w:spacing w:after="40" w:before="40"/>
              <w:jc w:val="left"/>
            </w:pPr>
            <w:r>
              <w:rPr>
                <w:b w:val="0"/>
                <w:i w:val="0"/>
                <w:sz w:val="14"/>
              </w:rPr>
              <w:t>Cron */30 * * * *</w:t>
            </w:r>
          </w:p>
        </w:tc>
        <w:tc>
          <w:tcPr>
            <w:tcW w:type="dxa" w:w="5046"/>
          </w:tcPr>
          <w:p>
            <w:pPr>
              <w:spacing w:after="40" w:before="40"/>
              <w:jc w:val="left"/>
            </w:pPr>
            <w:r>
              <w:rPr>
                <w:b w:val="0"/>
                <w:i w:val="0"/>
                <w:sz w:val="14"/>
              </w:rPr>
              <w:t>Leer Aceptado Sin Factura (ACEPTADO, sin factura y fuera del período de gracia, LIMIT 1) → Preparar Factura Reconciliada → preferencia de MercadoPago → Resolver Link → Insert Factura Reconciliada (INSERT condicional) → IF - Factura Reconciliada? → Lead a FACTURADO → Telegram; si ya existía, operación nula.</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 En el lienzo de n8n estos procesos se agrupan bajo notas adhesivas tituladas «RAMA n», rotulación visual que no se corresponde con un orden ni se usa en el cuerpo del texto: RAMA 1 es la captación y calificación, RAMA 2 la aceptación y facturación, RAMA 3 el seguimiento de propuestas, RAMA 4 los recordatorios de pago, RAMA 5 el cierre de proyecto, RAMA 6 el reporte diario de métricas, RAMA 7 el manejo de errores, RAMA 8 la confirmación de pago con MercadoPago y RAMA 9 la reconciliación de facturas. Las figuras del Anexo A que muestran el lienzo conservan esa rotulación.</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rPr>
              <w:t>Alcanzado en cuanto a viabilidad técnica y trazabilidad. Del par de componentes de la carga administrativa se mide el contable —dieciséis de dieciocho acciones delegadas (§1.5)—; el tiempo y el esfuerzo quedan excluidos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t>Verificado. El modelo de datos y la seguridad a nivel de fila se comprueban con npm run test:rls (24 casos rol por rol sobre un PostgreSQL real). La actualización en tiempo real del tablero (E7) se midió el 26 de agosto de 2026 con scripts/medir-realtime.mjs: 20 eventos sobre 20 —las veinte repeticiones que exige el método del RNF6—, p95 de 0,79 s y peor caso de 0,82 s, por debajo del umbral de 3 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Los procesos de seguimiento y recordatorios de pago (E11, E12) se dispararon manualmente el 23-ago-2026, lo que reveló y permitió corregir tres defectos de expresión reales, y el reporte diario (E13) se ejecutó el 28-ago-2026 contra el sistema real: la API de Telegram confirmó la entrega (ok = true, message_id = 594) y los indicadores del mensaje coinciden con los de la vista metrics_mensuales. El cuarto proceso programado, la reconciliación de facturas incorporada el 27-ago-2026, se verifica por separado en tests/idempotencia.mjs (§5).</w:t>
            </w:r>
          </w:p>
        </w:tc>
        <w:tc>
          <w:tcPr>
            <w:tcW w:type="dxa" w:w="907"/>
          </w:tcPr>
          <w:p>
            <w:pPr>
              <w:spacing w:after="40" w:before="40"/>
              <w:jc w:val="left"/>
            </w:pPr>
            <w:r>
              <w:rPr>
                <w:b w:val="0"/>
                <w:i w:val="0"/>
                <w:sz w:val="14"/>
              </w:rPr>
              <w:t>Cap. 7</w:t>
            </w:r>
          </w:p>
        </w:tc>
      </w:tr>
    </w:tbl>
    <w:p>
      <w:pPr/>
      <w:r>
        <w:rPr>
          <w:b w:val="0"/>
          <w:i/>
        </w:rPr>
        <w:t>Nota. Elaboración propia.</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t>Verificado parcialmente. El registro del cobro está verificado por las dos vías que el sistema contempla: el modo de desarrollo (pago idempotente, E5) y la rama real de MercadoPago, ejercitada en E14 con los nodos reales contra un doble que reproduce el contrato documentado de su API —la factura pasa de PENDIENTE a COBRADO, persiste el mp_payment_id y una notificación repetida no vuelve a aplicar el efecto—. Queda sin acreditar la validación contra el servicio real del proveedor (Capítulo 8, punto 6). El cierre del proyecto sigue sin escenario propio: se verificó manualmente.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(E13): el reporte diario se ejecutó el 28-ago-2026 contra el sistema real y la API de Telegram confirmó la entrega (ok = true, message_id = 594) y los indicadores del mensaje coinciden con los de la vista metrics_mensuales. Antes,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t>Verificado: el tablero lee y muestra los siete conjuntos de datos, y la actualización en vivo (E7) se comprobó sobre veinte repeticiones con una latencia p95 de 0,79 s y un peor caso de 0,82 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La interfaz no desborda horizontalmente en los tres anchos revisados. El recuento formal, que hasta el 28 de agosto de 2026 estaba pendiente, se automatizó en tests/auth_errores.js (npm run test:autherrores): declara uno por uno los veintidós códigos que Supabase Auth puede devolver en los flujos de signUp, signInWithPassword y verifyOtp, y falla si alguno no tiene mensaje en español. Su primera ejecución acreditó que el requisito no se cumplía —once de veintidós—: faltaban, entre otros, los del enlace de confirmación vencido, que son los más probables en operación real. Incorporadas las traducciones faltantes, la cobertura es de 22/22.</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sz w:val="14"/>
              </w:rPr>
              <w:t>20 escrituras consecutivas midiendo la latencia hasta la recepción del evento (E7).</w:t>
            </w:r>
          </w:p>
        </w:tc>
        <w:tc>
          <w:tcPr>
            <w:tcW w:type="dxa" w:w="1247"/>
          </w:tcPr>
          <w:p>
            <w:pPr>
              <w:spacing w:after="40" w:before="40"/>
              <w:jc w:val="left"/>
            </w:pPr>
            <w:r>
              <w:rPr>
                <w:sz w:val="14"/>
              </w:rPr>
              <w:t>Verificado. La medición (scripts/medir-realtime.mjs, expuesta como npm run test:realtime) recibió los veinte eventos que el método exige, con una latencia p95 de 0,79 s y un peor caso de 0,82 s, por debajo del umbral de 3 s. La verificación es repetible: el script termina con código distinto de cero si el umbral no se cumple.</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sz w:val="14"/>
              </w:rPr>
              <w:t>Scripts de verificación</w:t>
            </w:r>
          </w:p>
        </w:tc>
        <w:tc>
          <w:tcPr>
            <w:tcW w:type="dxa" w:w="4025"/>
          </w:tcPr>
          <w:p>
            <w:pPr>
              <w:spacing w:after="40" w:before="40"/>
              <w:jc w:val="left"/>
            </w:pPr>
            <w:r>
              <w:rPr>
                <w:sz w:val="14"/>
              </w:rPr>
              <w:t>Secreta. Evade la RLS por diseño. La consumen únicamente la suite de escenarios (tests/escenarios.mjs) y la medición de tiempo real (scripts/medir-realtime.mjs): ningún componente del frontend la usa, en línea con el RNF4.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t>MP_API_BASE</w:t>
            </w:r>
          </w:p>
        </w:tc>
        <w:tc>
          <w:tcPr>
            <w:tcW w:type="dxa" w:w="1928"/>
          </w:tcPr>
          <w:p>
            <w:pPr>
              <w:spacing w:after="40" w:before="40"/>
              <w:jc w:val="left"/>
            </w:pPr>
            <w:r>
              <w:t>Contenedor de n8n</w:t>
            </w:r>
          </w:p>
        </w:tc>
        <w:tc>
          <w:tcPr>
            <w:tcW w:type="dxa" w:w="4025"/>
          </w:tcPr>
          <w:p>
            <w:pPr>
              <w:spacing w:after="40" w:before="40"/>
              <w:jc w:val="left"/>
            </w:pPr>
            <w:r>
              <w:t>Base de la API de MercadoPago. Por omisión https://api.mercadopago.com, es decir el servicio real: no cambia el comportamiento de producción. Se reapunta sólo para ejercitar el escenario E14 contra el doble de prueba (§5).</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sz w:val="14"/>
              </w:rPr>
              <w:t>Secreta. Valor del header de autenticación que exigen los seis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b w:val="0"/>
                <w:i w:val="0"/>
                <w:sz w:val="14"/>
                <w:rFonts w:ascii="Consolas" w:hAnsi="Consolas" w:cs="Consolas"/>
              </w:rPr>
              <w:t>DEDUP_VENTANA_MINUTOS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10 por defecto. Ventana de deduplicación de la captación: dentro de esos minutos, un segundo envío del formulario con el mismo correo no crea otro lead ni dispara otro aviso (S6, §4.3.1).</w:t>
            </w:r>
          </w:p>
        </w:tc>
      </w:tr>
      <w:tr>
        <w:tc>
          <w:tcPr>
            <w:tcW w:type="dxa" w:w="2835"/>
          </w:tcPr>
          <w:p>
            <w:pPr>
              <w:spacing w:after="40" w:before="40"/>
              <w:jc w:val="left"/>
            </w:pPr>
            <w:r>
              <w:rPr>
                <w:b w:val="0"/>
                <w:i w:val="0"/>
                <w:sz w:val="14"/>
                <w:rFonts w:ascii="Consolas" w:hAnsi="Consolas" w:cs="Consolas"/>
              </w:rPr>
              <w:t>RECONCILIACION_GRACIA_MINUTOS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Minutos que el proceso de reconciliación le concede a la cadena de aceptación antes de dar por perdida la factura de un lead en ACEPTADO (S5, §4.3.5).</w:t>
            </w:r>
          </w:p>
        </w:tc>
      </w:tr>
      <w:tr>
        <w:tc>
          <w:tcPr>
            <w:tcW w:type="dxa" w:w="2835"/>
          </w:tcPr>
          <w:p>
            <w:pPr>
              <w:spacing w:after="40" w:before="40"/>
              <w:jc w:val="left"/>
            </w:pPr>
            <w:r>
              <w:rPr>
                <w:b w:val="0"/>
                <w:i w:val="0"/>
                <w:sz w:val="14"/>
                <w:rFonts w:ascii="Consolas" w:hAnsi="Consolas" w:cs="Consolas"/>
              </w:rPr>
              <w:t>FACTURA_VENCIMIENTO_DIAS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15 por defecto. Días de vigencia de la factura que emite la reconciliación, alineados con los que aplica la rama de aceptación.</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