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 figura se trazó sobre una versión anterior del flujo, de modo que las cifras que muestra —doce webhooks, tres procesos programados y 141 nodos funcionales— ya no son las del flujo que acompaña al trabajo, que tiene trece webhooks, cuatro procesos programados y 161 nodos funcionales. Lo incorporado después del trazado son el webhook con el que el profesional fija los términos de la propuesta (§4.3.2) y el proceso programado de reconciliación de facturas (§4.3.5); ninguno altera la arquitectura en tres capas que la figura ilustra.</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tres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ventana entre la inserción del lead y su puntaje, que todavía no tiene ningún proceso desatendido que la reclame.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leads en NUEVO con antigüedad superior a un umbral.</w:t>
      </w:r>
      <w:r>
        <w:rPr>
          <w:b w:val="0"/>
          <w:i w:val="0"/>
        </w:rPr>
        <w:t xml:space="preserve"> En efecto, ese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