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
      <w:pPr>
        <w:jc w:val="center"/>
        <w:spacing w:before="0" w:after="120" w:line="240" w:lineRule="auto"/>
      </w:pPr>
      <w:r>
        <w:rPr>
          <w:b/>
          <w:sz w:val="28"/>
          <w:szCs w:val="28"/>
        </w:rPr>
        <w:t xml:space="preserve">Universidad Tecnológica Nacional</w:t>
      </w:r>
    </w:p>
    <w:p>
      <w:pPr>
        <w:jc w:val="center"/>
        <w:spacing w:before="0" w:after="120" w:line="240" w:lineRule="auto"/>
      </w:pPr>
      <w:r>
        <w:rPr>
          <w:sz w:val="24"/>
          <w:szCs w:val="24"/>
        </w:rPr>
        <w:t xml:space="preserve">Facultad Regional Mendoza</w:t>
      </w:r>
    </w:p>
    <w:p>
      <w:pPr>
        <w:jc w:val="center"/>
        <w:spacing w:before="0" w:after="120" w:line="240" w:lineRule="auto"/>
      </w:pPr>
      <w:r>
        <w:rPr>
          <w:sz w:val="24"/>
          <w:szCs w:val="24"/>
        </w:rPr>
        <w:t xml:space="preserve">Tecnicatura Universitaria en Programación</w:t>
      </w:r>
    </w:p>
    <w:p/>
    <w:p/>
    <w:p/>
    <w:p>
      <w:pPr>
        <w:pStyle w:val="Title"/>
      </w:pPr>
      <w:r>
        <w:t xml:space="preserve">Automatización de Sistema de Tickets para Freelancers con n8n</w:t>
      </w:r>
    </w:p>
    <w:p>
      <w:pPr>
        <w:jc w:val="center"/>
        <w:spacing w:before="0" w:after="120" w:line="240" w:lineRule="auto"/>
      </w:pPr>
      <w:r>
        <w:rPr>
          <w:sz w:val="22"/>
          <w:szCs w:val="22"/>
        </w:rPr>
        <w:t xml:space="preserve">Diseño e implementación de una plataforma web para la gestión automatizada del ciclo de vida del cliente (captación, calificación, propuesta, facturación y cobro)</w:t>
      </w:r>
    </w:p>
    <w:p/>
    <w:p/>
    <w:p/>
    <w:p>
      <w:pPr>
        <w:jc w:val="center"/>
        <w:spacing w:before="0" w:after="120" w:line="240" w:lineRule="auto"/>
      </w:pPr>
      <w:r>
        <w:rPr>
          <w:sz w:val="22"/>
          <w:szCs w:val="22"/>
        </w:rPr>
        <w:t xml:space="preserve">Trabajo Final presentado para optar al título de</w:t>
      </w:r>
    </w:p>
    <w:p>
      <w:pPr>
        <w:jc w:val="center"/>
        <w:spacing w:before="0" w:after="120" w:line="240" w:lineRule="auto"/>
      </w:pPr>
      <w:r>
        <w:rPr>
          <w:b/>
          <w:sz w:val="24"/>
          <w:szCs w:val="24"/>
        </w:rPr>
        <w:t xml:space="preserve">Técnico Universitario en Programación</w:t>
      </w:r>
    </w:p>
    <w:p/>
    <w:p/>
    <w:p>
      <w:pPr>
        <w:jc w:val="center"/>
        <w:spacing w:before="0" w:after="120" w:line="240" w:lineRule="auto"/>
      </w:pPr>
      <w:r>
        <w:rPr>
          <w:sz w:val="24"/>
          <w:szCs w:val="24"/>
        </w:rPr>
        <w:t xml:space="preserve">Autores: Mateo Morgui — Tobías Rivas</w:t>
      </w:r>
    </w:p>
    <w:p>
      <w:pPr>
        <w:jc w:val="center"/>
        <w:spacing w:before="0" w:after="120" w:line="240" w:lineRule="auto"/>
      </w:pPr>
      <w:r>
        <w:rPr>
          <w:sz w:val="24"/>
          <w:szCs w:val="24"/>
        </w:rPr>
        <w:t xml:space="preserve">Director de Tesis: Alberto Cortez</w:t>
      </w:r>
    </w:p>
    <w:p/>
    <w:p/>
    <w:p/>
    <w:p>
      <w:pPr>
        <w:jc w:val="center"/>
        <w:spacing w:before="0" w:after="120" w:line="240" w:lineRule="auto"/>
      </w:pPr>
      <w:r>
        <w:rPr>
          <w:sz w:val="24"/>
          <w:szCs w:val="24"/>
        </w:rPr>
        <w:t xml:space="preserve">Mendoza — Argentina</w:t>
      </w:r>
    </w:p>
    <w:p>
      <w:pPr>
        <w:jc w:val="center"/>
        <w:spacing w:before="0" w:after="120" w:line="240" w:lineRule="auto"/>
      </w:pPr>
      <w:r>
        <w:rPr>
          <w:b/>
          <w:sz w:val="24"/>
          <w:szCs w:val="24"/>
        </w:rPr>
        <w:t xml:space="preserve">2026</w:t>
      </w:r>
    </w:p>
    <w:p>
      <w:r>
        <w:br w:type="page"/>
      </w:r>
    </w:p>
    <w:p>
      <w:pPr>
        <w:pStyle w:val="Heading1"/>
      </w:pPr>
      <w:r>
        <w:t xml:space="preserve">Resumen</w:t>
      </w:r>
    </w:p>
    <w:p>
      <w:r>
        <w:t xml:space="preserve">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p>
      <w:r>
        <w:rPr>
          <w:b/>
        </w:rPr>
        <w:t xml:space="preserve">Palabras clave:</w:t>
      </w:r>
      <w:r>
        <w:t xml:space="preserve"> automatización de procesos; orquestación de flujos de trabajo; n8n; gestión de leads; scoring; arquitectura orientada a eventos; Supabase; Next.js.</w:t>
      </w:r>
    </w:p>
    <w:p/>
    <w:p>
      <w:pPr>
        <w:pStyle w:val="Heading2"/>
      </w:pPr>
      <w:r>
        <w:t xml:space="preserve">Abstract</w:t>
      </w:r>
    </w:p>
    <w:p>
      <w:r>
        <w:t xml:space="preserve">This work addresses the administrative burden faced by solo freelancers, for whom every prospective client requires a sequence of manual, repetitive tasks —answering enquiries, qualifying the opportunity, drafting and sending a proposal, following up, invoicing, recording payment and requesting a testimonial— which, with several concurrent clients, pile up, are delayed or forgotten, causing lost opportunities and an unprofessional image. In response, a web platform was designed and built to automate the complete client lifecycle through an event-driven architecture. The solution integrates three layers: a Next.js and React frontend exposing a public lead-capture form and an authenticated dashboard; a low-code orchestration engine, n8n, coordinating normalization, scoring, proposal and invoice generation and multichannel notifications; and a managed relational database, Supabase (PostgreSQL), with row-level security. The system automatically computes a priority score that classifies each lead into three tiers (HOT, WARM, COLD), triggers proposals by e-mail, enables acceptance through a single-use tokenized link, generates a PDF invoice and runs scheduled follow-up, payment-reminder and daily-metrics processes. Validation through controlled scenarios verified the end-to-end operation of the capture, qualification, acceptance and invoicing flows, as well as the real-time update of the dashboard.</w:t>
      </w:r>
    </w:p>
    <w:p/>
    <w:p>
      <w:r>
        <w:rPr>
          <w:b/>
        </w:rPr>
        <w:t xml:space="preserve">Keywords:</w:t>
      </w:r>
      <w:r>
        <w:t xml:space="preserve"> process automation; workflow orchestration; n8n; lead management; scoring; event-driven architecture; Supabase; Next.js.</w:t>
      </w:r>
    </w:p>
    <w:p>
      <w:r>
        <w:br w:type="page"/>
      </w:r>
    </w:p>
    <w:p>
      <w:pPr>
        <w:pStyle w:val="Heading1"/>
      </w:pPr>
      <w:r>
        <w:t xml:space="preserve">Índice</w:t>
      </w:r>
    </w:p>
    <w:p>
      <w:r>
        <w:fldChar w:fldCharType="begin"/>
      </w:r>
      <w:r>
        <w:instrText xml:space="preserve"> TOC \o "1-3" \h \z \u </w:instrText>
      </w:r>
      <w:r>
        <w:fldChar w:fldCharType="separate"/>
      </w:r>
      <w:r>
        <w:rPr>
          <w:i/>
        </w:rPr>
        <w:t xml:space="preserve">Actualice este índice en Word: clic derecho → Actualizar campos → Actualizar toda la tabla.</w:t>
      </w:r>
      <w:r>
        <w:fldChar w:fldCharType="end"/>
      </w:r>
    </w:p>
    <w:p>
      <w:r>
        <w:br w:type="page"/>
      </w:r>
    </w:p>
    <w:p>
      <w:pPr>
        <w:pStyle w:val="Heading1"/>
      </w:pPr>
      <w:r>
        <w:t xml:space="preserve">Capítulo 1: Introducción</w:t>
      </w:r>
    </w:p>
    <w:p>
      <w:r>
        <w:t xml:space="preserve">Este capítulo delimita el problema que motiva el trabajo, distingue el tema de la pregunta de investigación, justifica la relevancia de la propuesta y fija los objetivos y el alcance que ordenan el resto del documento.</w:t>
      </w:r>
    </w:p>
    <w:p>
      <w:pPr>
        <w:pStyle w:val="Heading2"/>
      </w:pPr>
      <w:r>
        <w:t xml:space="preserve">1.1 Contexto del problema</w:t>
      </w:r>
    </w:p>
    <w:p>
      <w:r>
        <w:t xml:space="preserve">El trabajo independiente en el sector del software y los servicios digitales ha crecido de forma sostenida: el Online Labour Index registró un aumento cercano al 21 % en la demanda de trabajo digital por proyecto entre 2016 y 2018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
        <w:t xml:space="preserve">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pPr>
        <w:pStyle w:val="Heading2"/>
      </w:pPr>
      <w:r>
        <w:t xml:space="preserve">1.2 Planteamiento del problema</w:t>
      </w:r>
    </w:p>
    <w:p>
      <w:r>
        <w:t xml:space="preserve">La gestión manual del ciclo comercial del freelancer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
        <w:t xml:space="preserve">Estas debilidades no se resuelven contratando más personal —el freelancer, por definición, trabaja solo— sino delegando las tareas repetitivas en un sistema que las ejecute de forma consistente, trazable y desatendida.</w:t>
      </w:r>
    </w:p>
    <w:p>
      <w:pPr>
        <w:pStyle w:val="Heading2"/>
      </w:pPr>
      <w:r>
        <w:t xml:space="preserve">1.3 Tema, problema y pregunta de investigación</w:t>
      </w:r>
    </w:p>
    <w:p>
      <w:r>
        <w:t xml:space="preserve">El </w:t>
      </w:r>
      <w:r>
        <w:rPr>
          <w:b/>
        </w:rPr>
        <w:t xml:space="preserve">tema</w:t>
      </w:r>
      <w:r>
        <w:t xml:space="preserve"> del trabajo es la automatización de procesos comerciales y administrativos para trabajadores independientes del sector digital. El </w:t>
      </w:r>
      <w:r>
        <w:rPr>
          <w:b/>
        </w:rPr>
        <w:t xml:space="preserve">problema</w:t>
      </w:r>
      <w:r>
        <w:t xml:space="preserve"> es la carga manual, la falta de priorización y la pérdida de trazabilidad en la gestión del ciclo de vida del cliente. De ambos se deriva la siguiente </w:t>
      </w:r>
      <w:r>
        <w:rPr>
          <w:b/>
        </w:rPr>
        <w:t xml:space="preserve">pregunta de investigación</w:t>
      </w:r>
      <w:r>
        <w:t xml:space="preserve">:</w:t>
      </w:r>
    </w:p>
    <w:p>
      <w:pPr>
        <w:ind w:left="720"/>
        <w:spacing w:after="120"/>
        <w:rPr>
          <w:i/>
        </w:rPr>
      </w:pPr>
      <w:r>
        <w:t xml:space="preserve">¿Cómo puede automatizarse el ciclo de vida completo de la gestión de clientes de un freelancer —captación, calificación, propuesta, facturación y cobro— mediante una arquitectura orientada a eventos de bajo código, de modo que se reduzca la carga administrativa manual sin sacrificar la trazabilidad ni el control del profesional sobre el proceso?</w:t>
      </w:r>
    </w:p>
    <w:p>
      <w:pPr>
        <w:pStyle w:val="Heading2"/>
      </w:pPr>
      <w:r>
        <w:t xml:space="preserve">1.4 Justificación</w:t>
      </w:r>
    </w:p>
    <w:p>
      <w:r>
        <w:t xml:space="preserve">La respuesta a esa pregunta tiene relevancia profesional y técnica. Desde lo profesional, un sistema que automatice la captación, la calificación y el seguimiento libera tiempo del freelancer para las tareas que efectivamente generan ingresos, mejora la velocidad y consistencia de la respuesta al cliente y ofrece una imagen más profesional.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
        <w:t xml:space="preserve">El posicionamiento de esta decisión frente a las soluciones existentes se desarrolla en el estado del arte (§2.7) y en la discusión de construir frente a configurar (§2.8).</w:t>
      </w:r>
    </w:p>
    <w:p>
      <w:pPr>
        <w:pStyle w:val="Heading2"/>
      </w:pPr>
      <w:r>
        <w:t xml:space="preserve">1.5 Objetivo general</w:t>
      </w:r>
    </w:p>
    <w:p>
      <w:r>
        <w:t xml:space="preserve">Desarrollar una plataforma web que automatice el ciclo de vida completo de la gestión de clientes para freelancers —desde la captación del lead hasta el cobro y el cierre— reduciendo la carga administrativa manual mediante la orquestación de eventos con n8n y la persistencia en una base de datos relacional gestionada con Supabase.</w:t>
      </w:r>
    </w:p>
    <w:p>
      <w:pPr>
        <w:pStyle w:val="Heading2"/>
      </w:pPr>
      <w:r>
        <w:t xml:space="preserve">1.6 Objetivos específicos</w:t>
      </w:r>
    </w:p>
    <w:p>
      <w:r>
        <w:t xml:space="preserve">Para alcanzar el objetivo general se definen los siguientes objetivos específicos (OE), redactados en infinitivo y retomados de forma trazable en los capítulos de diseño, en la validación y en las conclusiones (véase la matriz de trazabilidad del Anexo E):</w:t>
      </w:r>
    </w:p>
    <w:p>
      <w:pPr>
        <w:pStyle w:val="ListParagraph"/>
        <w:numPr>
          <w:ilvl w:val="0"/>
          <w:numId w:val="1"/>
        </w:numPr>
      </w:pPr>
      <w:r>
        <w:rPr>
          <w:b/>
        </w:rPr>
        <w:t xml:space="preserve">OE1.</w:t>
      </w:r>
      <w:r>
        <w:t xml:space="preserve"> Implementar un formulario web público de captación de leads, con validación, integrado a un backend de automatización mediante webhooks.</w:t>
      </w:r>
    </w:p>
    <w:p>
      <w:pPr>
        <w:pStyle w:val="ListParagraph"/>
        <w:numPr>
          <w:ilvl w:val="0"/>
          <w:numId w:val="1"/>
        </w:numPr>
      </w:pPr>
      <w:r>
        <w:rPr>
          <w:b/>
        </w:rPr>
        <w:t xml:space="preserve">OE2.</w:t>
      </w:r>
      <w:r>
        <w:t xml:space="preserve"> Diseñar e implementar un mecanismo de normalización y scoring automático que clasifique cada lead en niveles de prioridad (HOT, WARM y COLD).</w:t>
      </w:r>
    </w:p>
    <w:p>
      <w:pPr>
        <w:pStyle w:val="ListParagraph"/>
        <w:numPr>
          <w:ilvl w:val="0"/>
          <w:numId w:val="1"/>
        </w:numPr>
      </w:pPr>
      <w:r>
        <w:rPr>
          <w:b/>
        </w:rPr>
        <w:t xml:space="preserve">OE3.</w:t>
      </w:r>
      <w:r>
        <w:t xml:space="preserve"> Automatizar el ciclo comercial —generación y envío de propuestas, aceptación mediante enlace con token, facturación en PDF y registro del cobro— con notificaciones multicanal por correo electrónico y Telegram.</w:t>
      </w:r>
    </w:p>
    <w:p>
      <w:pPr>
        <w:pStyle w:val="ListParagraph"/>
        <w:numPr>
          <w:ilvl w:val="0"/>
          <w:numId w:val="1"/>
        </w:numPr>
      </w:pPr>
      <w:r>
        <w:rPr>
          <w:b/>
        </w:rPr>
        <w:t xml:space="preserve">OE4.</w:t>
      </w:r>
      <w:r>
        <w:t xml:space="preserve"> Diseñar un modelo de datos relacional en Supabase con seguridad a nivel de fila (RLS) y exponer un tablero de control autenticado con métricas en tiempo real.</w:t>
      </w:r>
    </w:p>
    <w:p>
      <w:pPr>
        <w:pStyle w:val="ListParagraph"/>
        <w:numPr>
          <w:ilvl w:val="0"/>
          <w:numId w:val="1"/>
        </w:numPr>
      </w:pPr>
      <w:r>
        <w:rPr>
          <w:b/>
        </w:rPr>
        <w:t xml:space="preserve">OE5.</w:t>
      </w:r>
      <w:r>
        <w:t xml:space="preserve"> Incorporar procesos programados —seguimiento de propuestas, recordatorios de pago y reporte diario de métricas— que operen sin intervención manual.</w:t>
      </w:r>
    </w:p>
    <w:p>
      <w:pPr>
        <w:pStyle w:val="Heading2"/>
      </w:pPr>
      <w:r>
        <w:t xml:space="preserve">1.7 Alcance y limitaciones</w:t>
      </w:r>
    </w:p>
    <w:p>
      <w:r>
        <w:t xml:space="preserve">El trabajo corresponde a un producto mínimo viable (MVP) orientado a demostrar la viabilidad técnica de la automatización propuesta. El alcance comprende el diseño, la implementación y la validación funcional de los flujos descritos en un entorno controlado.</w:t>
      </w:r>
    </w:p>
    <w:p>
      <w:r>
        <w:t xml:space="preserve">Quedan fuera del alcance, y se declaran explícitamente como limitaciones: (i) la operación en producción con tráfico real de clientes, por lo que no se reportan métricas operativas reales ni costos de infraestructura; (ii) la exposición pública del motor de automatización, que durante el desarrollo se ejecutó de forma autoalojada en un equipo local sin URL pública (véase el Capítulo 6); y (iii) la gestión de pagos con una pasarela real, que se representó mediante un webhook de pago simulado. Estas limitaciones se retoman en la discusión y orientan los trabajos futuros.</w:t>
      </w:r>
    </w:p>
    <w:p>
      <w:r>
        <w:br w:type="page"/>
      </w:r>
    </w:p>
    <w:p>
      <w:pPr>
        <w:pStyle w:val="Heading1"/>
      </w:pPr>
      <w:r>
        <w:t xml:space="preserve">Capítulo 2: Marco Teórico</w:t>
      </w:r>
    </w:p>
    <w:p>
      <w:r>
        <w:t xml:space="preserve">Este capítulo presenta los fundamentos conceptuales y tecnológicos sobre los que se apoya la solución, y define de manera operativa los términos clave que se emplean en el resto del documento.</w:t>
      </w:r>
    </w:p>
    <w:p>
      <w:pPr>
        <w:pStyle w:val="Heading2"/>
      </w:pPr>
      <w:r>
        <w:t xml:space="preserve">2.1 Automatización de procesos y arquitecturas orientadas a eventos</w:t>
      </w:r>
    </w:p>
    <w:p>
      <w:r>
        <w:t xml:space="preserve">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&amp; Woolf, 2003; Richardson, 2018). Este estilo desacopla al emisor del evento de sus consumidores y facilita incorporar nuevos pasos sin modificar los existentes.</w:t>
      </w:r>
    </w:p>
    <w:p>
      <w:r>
        <w:t xml:space="preserve">Un </w:t>
      </w:r>
      <w:r>
        <w:rPr>
          <w:b/>
        </w:rPr>
        <w:t xml:space="preserve">webhook</w:t>
      </w:r>
      <w:r>
        <w:t xml:space="preserve"> es el mecanismo habitual para propagar estos eventos entre sistemas a través de la web: una URL que permanece a la escucha y recibe, típicamente mediante una petición HTTP POST, los datos de un suceso ocurrido en otro sistema (Fielding, 2000). En la solución, los webhooks son el punto de entrada de cada flujo de negocio.</w:t>
      </w:r>
    </w:p>
    <w:p>
      <w:pPr>
        <w:pStyle w:val="Heading2"/>
      </w:pPr>
      <w:r>
        <w:t xml:space="preserve">2.2 Orquestación de bajo código: n8n</w:t>
      </w:r>
    </w:p>
    <w:p>
      <w:r>
        <w:t xml:space="preserve">n8n es una plataforma de automatización de flujos de trabajo de código abierto que permite integrar aplicaciones y servicios mediante nodos configurables conectados en un lienzo visual (n8n.io,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w:t>
      </w:r>
    </w:p>
    <w:p>
      <w:r>
        <w:t xml:space="preserve">Dentro de la arquitectura del sistema, n8n cumple el rol de motor de orquestación: es la capa que conecta el frontend, la base de datos y los servicios de mensajería, coordinando la secuencia de acciones sin trasladar la complejidad de integración al resto de los componentes.</w:t>
      </w:r>
    </w:p>
    <w:p>
      <w:pPr>
        <w:pStyle w:val="Heading2"/>
      </w:pPr>
      <w:r>
        <w:t xml:space="preserve">2.3 Gestión de leads: normalización, scoring y clasificación</w:t>
      </w:r>
    </w:p>
    <w:p>
      <w:r>
        <w:t xml:space="preserve">Un </w:t>
      </w:r>
      <w:r>
        <w:rPr>
          <w:b/>
        </w:rPr>
        <w:t xml:space="preserve">lead</w:t>
      </w:r>
      <w:r>
        <w:t xml:space="preserve"> es un contacto comercial que ha manifestado interés en un producto o servicio (Kotler &amp; Armstrong, 2017). La gestión de leads busca convertir ese interés en una operación concreta, y para ello ordena el recorrido del contacto a lo largo de un </w:t>
      </w:r>
      <w:r>
        <w:rPr>
          <w:b/>
        </w:rPr>
        <w:t xml:space="preserve">embudo de ventas</w:t>
      </w:r>
      <w:r>
        <w:t xml:space="preserve">: un conjunto de estados sucesivos, desde el primer contacto hasta el cierre.</w:t>
      </w:r>
    </w:p>
    <w:p>
      <w:r>
        <w:t xml:space="preserve">Dos procesos son centrales en esa gestión. La </w:t>
      </w:r>
      <w:r>
        <w:rPr>
          <w:b/>
        </w:rPr>
        <w:t xml:space="preserve">normalización</w:t>
      </w:r>
      <w:r>
        <w:t xml:space="preserve"> limpia y estandariza los datos de entrada —recortar espacios, unificar mayúsculas y minúsculas, validar formatos, aplicar valores por defecto— para garantizar la calidad y consistencia de la información. El </w:t>
      </w:r>
      <w:r>
        <w:rPr>
          <w:b/>
        </w:rPr>
        <w:t xml:space="preserve">scoring</w:t>
      </w:r>
      <w:r>
        <w:t xml:space="preserve"> asigna a cada lead un puntaje numérico según criterios ponderados (por ejemplo, presupuesto, urgencia o tipo de servicio) que permite priorizar las oportunidades más prometedoras y clasificarlas en niveles o </w:t>
      </w:r>
      <w:r>
        <w:rPr>
          <w:i/>
        </w:rPr>
        <w:t xml:space="preserve">tiers</w:t>
      </w:r>
      <w:r>
        <w:t xml:space="preserve">, habitualmente denominados HOT, WARM y COLD (Järvinen &amp; Taiminen, 2016). La calificación automática es, precisamente, uno de los aportes que la automatización hace a la eficiencia comercial.</w:t>
      </w:r>
    </w:p>
    <w:p>
      <w:pPr>
        <w:pStyle w:val="Heading2"/>
      </w:pPr>
      <w:r>
        <w:t xml:space="preserve">2.4 Backend como servicio y Supabase</w:t>
      </w:r>
    </w:p>
    <w:p>
      <w:r>
        <w:t xml:space="preserve">El patrón </w:t>
      </w:r>
      <w:r>
        <w:rPr>
          <w:i/>
        </w:rPr>
        <w:t xml:space="preserve">Backend as a Service</w:t>
      </w:r>
      <w:r>
        <w:t xml:space="preserve"> (BaaS) provee, como servicio gestionado, capacidades de backend —base de datos, autenticación, almacenamiento y APIs— que de otro modo el equipo debería implementar y operar. Supabase es una plataforma BaaS de código abierto construida sobre PostgreSQL, que expone la base de datos relacional junto con autenticación, APIs automáticas y suscripciones en tiempo real (Supabase, 2024). Al apoyarse en PostgreSQL, hereda su modelo relacional, su lenguaje SQL y, en particular, la </w:t>
      </w:r>
      <w:r>
        <w:rPr>
          <w:b/>
        </w:rPr>
        <w:t xml:space="preserve">seguridad a nivel de fila</w:t>
      </w:r>
      <w:r>
        <w:t xml:space="preserve"> (</w:t>
      </w:r>
      <w:r>
        <w:rPr>
          <w:i/>
        </w:rPr>
        <w:t xml:space="preserve">Row Level Security</w:t>
      </w:r>
      <w:r>
        <w:t xml:space="preserve">, RLS), que permite definir, mediante políticas declarativas, qué filas puede leer o modificar cada rol (PostgreSQL Global Development Group, 2024).</w:t>
      </w:r>
    </w:p>
    <w:p>
      <w:pPr>
        <w:pStyle w:val="Heading2"/>
      </w:pPr>
      <w:r>
        <w:t xml:space="preserve">2.5 Desarrollo web moderno: Next.js y renderizado híbrido</w:t>
      </w:r>
    </w:p>
    <w:p>
      <w:r>
        <w:t xml:space="preserve">Next.js es un framework de desarrollo web construido sobre la biblioteca React que habilita un modelo de renderizado híbrido: combina componentes que se ejecutan en el servidor (</w:t>
      </w:r>
      <w:r>
        <w:rPr>
          <w:i/>
        </w:rPr>
        <w:t xml:space="preserve">React Server Components</w:t>
      </w:r>
      <w:r>
        <w:t xml:space="preserve">) con componentes de cliente, y organiza la aplicación mediante un enrutador basado en el sistema de archivos (</w:t>
      </w:r>
      <w:r>
        <w:rPr>
          <w:i/>
        </w:rPr>
        <w:t xml:space="preserve">App Router</w:t>
      </w:r>
      <w:r>
        <w:t xml:space="preserve">)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
    <w:p>
      <w:pPr>
        <w:pStyle w:val="Heading2"/>
      </w:pPr>
      <w:r>
        <w:t xml:space="preserve">2.6 Seguridad: autenticación, RLS y tokens de un solo uso</w:t>
      </w:r>
    </w:p>
    <w:p>
      <w:r>
        <w:t xml:space="preserve">La solución articula tres mecanismos de seguridad complementarios. La </w:t>
      </w:r>
      <w:r>
        <w:rPr>
          <w:b/>
        </w:rPr>
        <w:t xml:space="preserve">autenticación</w:t>
      </w:r>
      <w:r>
        <w:t xml:space="preserve"> por correo y contraseña restringe el acceso al tablero de control a usuarios registrados. La </w:t>
      </w:r>
      <w:r>
        <w:rPr>
          <w:b/>
        </w:rPr>
        <w:t xml:space="preserve">seguridad a nivel de fila</w:t>
      </w:r>
      <w:r>
        <w:t xml:space="preserve"> garantiza que, aun con acceso a la API de datos, solo se puedan leer las filas autorizadas para el rol. Y los </w:t>
      </w:r>
      <w:r>
        <w:rPr>
          <w:b/>
        </w:rPr>
        <w:t xml:space="preserve">tokens de un solo uso</w:t>
      </w:r>
      <w:r>
        <w:t xml:space="preserve">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2021).</w:t>
      </w:r>
    </w:p>
    <w:p>
      <w:pPr>
        <w:pStyle w:val="Heading2"/>
      </w:pPr>
      <w:r>
        <w:t xml:space="preserve">2.7 Antecedentes y estado del arte</w:t>
      </w:r>
    </w:p>
    <w:p>
      <w:r>
        <w:t xml:space="preserve">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lo que motiva revisar dos categorías de soluciones comerciales: los CRM con funciones de automatización y las plataformas de integración de bajo código (iPaaS).</w:t>
      </w:r>
    </w:p>
    <w:p>
      <w:pPr>
        <w:pStyle w:val="ListParagraph"/>
        <w:numPr>
          <w:ilvl w:val="0"/>
          <w:numId w:val="1"/>
        </w:numPr>
      </w:pPr>
      <w:r>
        <w:rPr>
          <w:b/>
        </w:rPr>
        <w:t xml:space="preserve">HubSpot: </w:t>
      </w:r>
      <w:r>
        <w:t xml:space="preserve">CRM todo en uno que combina pipeline de ventas, marketing por correo y una capa de automatización con scoring de leads configurable. Su plan gratuito cubre el registro básico de contactos, pero el scoring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w:t>
      </w:r>
    </w:p>
    <w:p>
      <w:pPr>
        <w:pStyle w:val="ListParagraph"/>
        <w:numPr>
          <w:ilvl w:val="0"/>
          <w:numId w:val="1"/>
        </w:numPr>
      </w:pPr>
      <w:r>
        <w:rPr>
          <w:b/>
        </w:rPr>
        <w:t xml:space="preserve">Pipedrive: </w:t>
      </w:r>
      <w:r>
        <w:t xml:space="preserve">CRM centrado en la gestión visual del pipeline de ventas, con formularios web de captación y reportes de embudo. Al igual que HubSpot, su modelo comercial cobra por asiento y por mes; carece de un motor de scoring configurable a nivel de reglas propias y no incluye generación nativa de facturación, por lo que requiere integraciones externas para cerrar el ciclo comercial completo.</w:t>
      </w:r>
    </w:p>
    <w:p>
      <w:pPr>
        <w:pStyle w:val="ListParagraph"/>
        <w:numPr>
          <w:ilvl w:val="0"/>
          <w:numId w:val="1"/>
        </w:numPr>
      </w:pPr>
      <w:r>
        <w:rPr>
          <w:b/>
        </w:rPr>
        <w:t xml:space="preserve">Zapier: </w:t>
      </w:r>
      <w:r>
        <w:t xml:space="preserve">plataforma de integración (iPaaS)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w:t>
      </w:r>
    </w:p>
    <w:p>
      <w:pPr>
        <w:pStyle w:val="ListParagraph"/>
        <w:numPr>
          <w:ilvl w:val="0"/>
          <w:numId w:val="1"/>
        </w:numPr>
      </w:pPr>
      <w:r>
        <w:rPr>
          <w:b/>
        </w:rPr>
        <w:t xml:space="preserve">Make (anteriormente Integromat): </w:t>
      </w:r>
      <w:r>
        <w:t xml:space="preserve">junto con n8n, una de las plataformas de automatización visual por escenarios más cercanas en filosofía al presente trabajo. A diferencia de n8n, Make se ofrece exclusivamente como servicio en la nube, con planes tarifados por operaciones ejecutadas; los datos del proceso transitan por la infraestructura del proveedor y no existe una alternativa de auto-alojamiento equivalente a la que permite este trabajo.</w:t>
      </w:r>
    </w:p>
    <w:p>
      <w:r>
        <w:t xml:space="preserve">Ninguna de estas soluciones cubre, en un único producto, el problema tal como se lo plantea en este trabajo. HubSpot y Pipedrive ofrecen un CRM robusto pero con reglas de calificación y facturación limitadas o dependientes de terceros; Zapier y Make automatizan la integración entre sistemas pero no son, en sí mismos, un sistema de registro con reglas de negocio propias. En ambos casos, el costo recurrente por asiento, por tarea o por operación, y la dependencia de la infraestructura del proveedor, son barreras relevantes para un freelancer individual. El vacío que este trabajo cubre es, entonces, un pipeline auto-alojable, de bajo costo operativo y con propiedad total del dato, que encadena captación, normalización y scoring con reglas propias (Tabla 4), generación y envío de propuesta, aceptación mediante token de un solo uso, facturación en PDF (Gotenberg), registro de pago y cierre, sin las cuotas recurrentes por asiento o por tarea que caracterizan a las soluciones comerciales revisadas.</w:t>
      </w:r>
    </w:p>
    <w:p>
      <w:pPr>
        <w:pStyle w:val="Heading2"/>
      </w:pPr>
      <w:r>
        <w:t xml:space="preserve">2.8 Construir frente a configurar una herramienta existente</w:t>
      </w:r>
    </w:p>
    <w:p>
      <w:r>
        <w:t xml:space="preserve">Dado que existen CRMs y plataformas de integración capaces de cubrir partes del problema, cabe preguntarse por qué se optó por construir una solución propia en lugar de configurar alguna de ellas. La respuesta se apoya en cuatro razones.</w:t>
      </w:r>
    </w:p>
    <w:p>
      <w:pPr>
        <w:pStyle w:val="ListParagraph"/>
        <w:numPr>
          <w:ilvl w:val="0"/>
          <w:numId w:val="1"/>
        </w:numPr>
      </w:pPr>
      <w:r>
        <w:rPr>
          <w:b/>
        </w:rPr>
        <w:t xml:space="preserve">Costo y dependencia del proveedor: </w:t>
      </w:r>
      <w:r>
        <w:t xml:space="preserve">los planes de HubSpot, Pipedrive, Zapier y Make cobran cuotas recurrentes por asiento, por tarea o por operación que crecen con el uso. El stack elegido (n8n y Supabase) es auto-alojable y evita ese costo marginal creciente, lo que resulta relevante para un freelancer individual con presupuesto acotado.</w:t>
      </w:r>
    </w:p>
    <w:p>
      <w:pPr>
        <w:pStyle w:val="ListParagraph"/>
        <w:numPr>
          <w:ilvl w:val="0"/>
          <w:numId w:val="1"/>
        </w:numPr>
      </w:pPr>
      <w:r>
        <w:rPr>
          <w:b/>
        </w:rPr>
        <w:t xml:space="preserve">Propiedad del dato y seguridad: </w:t>
      </w:r>
      <w:r>
        <w:t xml:space="preserve">correr la base de datos y la orquestación sobre infraestructura propia permite aplicar políticas de seguridad a nivel de fila y tokens de un solo uso bajo control directo del equipo (véase §4.6 y Anexo C), en línea con las recomendaciones de OWASP (2021), en lugar de delegar la custodia del dato comercial a un tercero.</w:t>
      </w:r>
    </w:p>
    <w:p>
      <w:pPr>
        <w:pStyle w:val="ListParagraph"/>
        <w:numPr>
          <w:ilvl w:val="0"/>
          <w:numId w:val="1"/>
        </w:numPr>
      </w:pPr>
      <w:r>
        <w:rPr>
          <w:b/>
        </w:rPr>
        <w:t xml:space="preserve">Personalización de las reglas de negocio: </w:t>
      </w:r>
      <w:r>
        <w:t xml:space="preserve">las reglas de scoring (Tabla 4) y el encadenamiento completo captación–propuesta–aceptación–factura–cobro–cierre son específicas del flujo comercial de un freelancer y no están disponibles llave en mano en los productos revisados, que ofrecen scoring genérico o requieren integraciones adicionales para completar el ciclo.</w:t>
      </w:r>
    </w:p>
    <w:p>
      <w:pPr>
        <w:pStyle w:val="ListParagraph"/>
        <w:numPr>
          <w:ilvl w:val="0"/>
          <w:numId w:val="1"/>
        </w:numPr>
      </w:pPr>
      <w:r>
        <w:rPr>
          <w:b/>
        </w:rPr>
        <w:t xml:space="preserve">Objetivo formativo del trabajo: </w:t>
      </w:r>
      <w:r>
        <w:t xml:space="preserve">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
        <w:t xml:space="preserve">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
        <w:t xml:space="preserve">Para el alcance definido —un freelancer individual, con propiedad total del dato, un ciclo de vida comercial a medida y un objetivo formativo explícito—, construir la solución está justificado. El aporte original del trabajo no reside en un algoritmo aislado, sino en el pipeline integrado, propio, de bajo costo y extremo a extremo que encadena las etapas descritas, verificado componente a componente contra el código fuente (§4.1).</w:t>
      </w:r>
    </w:p>
    <w:p>
      <w:r>
        <w:br w:type="page"/>
      </w:r>
    </w:p>
    <w:p>
      <w:pPr>
        <w:pStyle w:val="Heading1"/>
      </w:pPr>
      <w:r>
        <w:t xml:space="preserve">Capítulo 3: Marco Metodológico</w:t>
      </w:r>
    </w:p>
    <w:p>
      <w:r>
        <w:t xml:space="preserve">Este capítulo describe la naturaleza del trabajo, la metodología de desarrollo adoptada, las técnicas de relevamiento, los requisitos que guiaron la construcción, las herramientas empleadas y la estrategia de validación del artefacto.</w:t>
      </w:r>
    </w:p>
    <w:p>
      <w:pPr>
        <w:pStyle w:val="Heading2"/>
      </w:pPr>
      <w:r>
        <w:t xml:space="preserve">3.1 Tipo y naturaleza del trabajo</w:t>
      </w:r>
    </w:p>
    <w:p>
      <w:r>
        <w:t xml:space="preserve">El trabajo se inscribe en la categoría de </w:t>
      </w:r>
      <w:r>
        <w:rPr>
          <w:b/>
        </w:rPr>
        <w:t xml:space="preserve">desarrollo tecnológico</w:t>
      </w:r>
      <w:r>
        <w:t xml:space="preserve"> de carácter aplicado: su resultado principal es un artefacto de software —una plataforma funcional— y no la contrastación de una hipótesis empírica. En consecuencia, y de acuerdo con la naturaleza del trabajo, el trabajo no formula una hipótesis en sentido estadístico; se orienta por la pregunta de investigación y por los objetivos, y su rigor se juzga por la justificación de las decisiones de diseño, la calidad de la solución y la validación del producto (Pressman &amp; Maxim, 2020).</w:t>
      </w:r>
    </w:p>
    <w:p>
      <w:pPr>
        <w:pStyle w:val="Heading2"/>
      </w:pPr>
      <w:r>
        <w:t xml:space="preserve">3.2 Metodología de desarrollo</w:t>
      </w:r>
    </w:p>
    <w:p>
      <w:r>
        <w:t xml:space="preserve">Se adoptó un enfoque </w:t>
      </w:r>
      <w:r>
        <w:rPr>
          <w:b/>
        </w:rPr>
        <w:t xml:space="preserve">iterativo e incremental</w:t>
      </w:r>
      <w:r>
        <w:t xml:space="preserve">, apropiado para un MVP con requisitos que se refinan a medida que el producto toma forma (Sommerville, 2016). El desarrollo avanzó por incrementos funcionales —captación, calificación, propuesta, aceptación y facturación, procesos programados— cada uno de los cuales se integró y validó antes de abordar el siguiente. El versionado del código y la documentación de las decisiones se llevaron con el sistema de control de versiones Git.</w:t>
      </w:r>
    </w:p>
    <w:p>
      <w:pPr>
        <w:pStyle w:val="Heading2"/>
      </w:pPr>
      <w:r>
        <w:t xml:space="preserve">3.3 Técnicas de relevamiento</w:t>
      </w:r>
    </w:p>
    <w:p>
      <w:r>
        <w:t xml:space="preserve">Dada la naturaleza del trabajo —un desarrollo tecnológico aplicado orientado a un MVP (§3.1)—, el relevamiento de requisitos se realizó mediante análisis documental del dominio del trabajo freelance en lugar de un estudio empírico con usuarios. Se caracterizó la secuencia de tareas administrativas del ciclo comercial del profesional independiente a partir de la literatura sobre gestión y automatización de leads (Järvinen y Taiminen, 2016) y de los datos sobre la expansión del trabajo independiente y mediado por plataformas (Kässi y Lehdonvirta, 2018; OIT, 2025), complementados con la experiencia directa de los autores en el desarrollo freelance. De ese análisis se derivaron los estados del ciclo de vida del cliente (Tabla 7) y las reglas de negocio (§4.8) que el sistema debía automatizar. Se reconoce como limitación metodológica la ausencia de un relevamiento primario con usuarios reales —encuestas o entrevistas a una muestra de freelancers—; su incorporación, que permitiría validar empíricamente las prioridades y los umbrales de scoring, se plantea como línea de trabajo futuro (Capítulo 8).</w:t>
      </w:r>
    </w:p>
    <w:p>
      <w:pPr>
        <w:pStyle w:val="Heading2"/>
      </w:pPr>
      <w:r>
        <w:t xml:space="preserve">3.4 Requisitos funcionales</w:t>
      </w:r>
    </w:p>
    <w:p>
      <w:r>
        <w:t xml:space="preserve">La Tabla 1 resume los requisitos funcionales (RF) que el sistema debe satisfacer.</w:t>
      </w:r>
    </w:p>
    <w:p>
      <w:pPr>
        <w:jc w:val="center"/>
        <w:spacing w:before="0" w:after="120" w:line="240" w:lineRule="auto"/>
      </w:pPr>
      <w:r>
        <w:rPr>
          <w:sz w:val="20"/>
          <w:szCs w:val="20"/>
        </w:rPr>
        <w:t xml:space="preserve">Tabla 1. Requisitos funcionales del sistema</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00"/>
        <w:gridCol w:w="8100"/>
      </w:tblGrid>
      <w:tr>
        <w:trPr>
          <w:tblHeader/>
        </w:trPr>
        <w:tc>
          <w:tcPr>
            <w:tcW w:w="900" w:type="dxa"/>
            <w:shd w:val="clear" w:color="auto" w:fill="1F2937"/>
          </w:tcPr>
          <w:p>
            <w:pPr>
              <w:spacing w:after="20" w:line="240" w:lineRule="auto"/>
              <w:jc w:val="left"/>
            </w:pPr>
            <w:r>
              <w:rPr>
                <w:b/>
                <w:color w:val="FFFFFF"/>
              </w:rPr>
              <w:t xml:space="preserve">ID</w:t>
            </w:r>
          </w:p>
        </w:tc>
        <w:tc>
          <w:tcPr>
            <w:tcW w:w="8100" w:type="dxa"/>
            <w:shd w:val="clear" w:color="auto" w:fill="1F2937"/>
          </w:tcPr>
          <w:p>
            <w:pPr>
              <w:spacing w:after="20" w:line="240" w:lineRule="auto"/>
              <w:jc w:val="left"/>
            </w:pPr>
            <w:r>
              <w:rPr>
                <w:b/>
                <w:color w:val="FFFFFF"/>
              </w:rPr>
              <w:t xml:space="preserve">Requisito funcional</w:t>
            </w:r>
          </w:p>
        </w:tc>
      </w:tr>
      <w:tr>
        <w:tc>
          <w:tcPr>
            <w:tcW w:w="900" w:type="dxa"/>
          </w:tcPr>
          <w:p>
            <w:pPr>
              <w:spacing w:after="20" w:line="240" w:lineRule="auto"/>
              <w:jc w:val="left"/>
            </w:pPr>
            <w:r>
              <w:t xml:space="preserve">RF1</w:t>
            </w:r>
          </w:p>
        </w:tc>
        <w:tc>
          <w:tcPr>
            <w:tcW w:w="8100" w:type="dxa"/>
          </w:tcPr>
          <w:p>
            <w:pPr>
              <w:spacing w:after="20" w:line="240" w:lineRule="auto"/>
              <w:jc w:val="left"/>
            </w:pPr>
            <w:r>
              <w:t xml:space="preserve">Permitir a un interesado enviar sus datos mediante un formulario público con validación.</w:t>
            </w:r>
          </w:p>
        </w:tc>
      </w:tr>
      <w:tr>
        <w:tc>
          <w:tcPr>
            <w:tcW w:w="900" w:type="dxa"/>
          </w:tcPr>
          <w:p>
            <w:pPr>
              <w:spacing w:after="20" w:line="240" w:lineRule="auto"/>
              <w:jc w:val="left"/>
            </w:pPr>
            <w:r>
              <w:t xml:space="preserve">RF2</w:t>
            </w:r>
          </w:p>
        </w:tc>
        <w:tc>
          <w:tcPr>
            <w:tcW w:w="8100" w:type="dxa"/>
          </w:tcPr>
          <w:p>
            <w:pPr>
              <w:spacing w:after="20" w:line="240" w:lineRule="auto"/>
              <w:jc w:val="left"/>
            </w:pPr>
            <w:r>
              <w:t xml:space="preserve">Normalizar y validar los datos recibidos y rechazar los que no cumplan las reglas mínimas.</w:t>
            </w:r>
          </w:p>
        </w:tc>
      </w:tr>
      <w:tr>
        <w:tc>
          <w:tcPr>
            <w:tcW w:w="900" w:type="dxa"/>
          </w:tcPr>
          <w:p>
            <w:pPr>
              <w:spacing w:after="20" w:line="240" w:lineRule="auto"/>
              <w:jc w:val="left"/>
            </w:pPr>
            <w:r>
              <w:t xml:space="preserve">RF3</w:t>
            </w:r>
          </w:p>
        </w:tc>
        <w:tc>
          <w:tcPr>
            <w:tcW w:w="8100" w:type="dxa"/>
          </w:tcPr>
          <w:p>
            <w:pPr>
              <w:spacing w:after="20" w:line="240" w:lineRule="auto"/>
              <w:jc w:val="left"/>
            </w:pPr>
            <w:r>
              <w:t xml:space="preserve">Calcular un puntaje (score) y clasificar cada lead en un nivel HOT, WARM o COLD.</w:t>
            </w:r>
          </w:p>
        </w:tc>
      </w:tr>
      <w:tr>
        <w:tc>
          <w:tcPr>
            <w:tcW w:w="900" w:type="dxa"/>
          </w:tcPr>
          <w:p>
            <w:pPr>
              <w:spacing w:after="20" w:line="240" w:lineRule="auto"/>
              <w:jc w:val="left"/>
            </w:pPr>
            <w:r>
              <w:t xml:space="preserve">RF4</w:t>
            </w:r>
          </w:p>
        </w:tc>
        <w:tc>
          <w:tcPr>
            <w:tcW w:w="8100" w:type="dxa"/>
          </w:tcPr>
          <w:p>
            <w:pPr>
              <w:spacing w:after="20" w:line="240" w:lineRule="auto"/>
              <w:jc w:val="left"/>
            </w:pPr>
            <w:r>
              <w:t xml:space="preserve">Generar y enviar por correo una propuesta a los leads HOT y WARM.</w:t>
            </w:r>
          </w:p>
        </w:tc>
      </w:tr>
      <w:tr>
        <w:tc>
          <w:tcPr>
            <w:tcW w:w="900" w:type="dxa"/>
          </w:tcPr>
          <w:p>
            <w:pPr>
              <w:spacing w:after="20" w:line="240" w:lineRule="auto"/>
              <w:jc w:val="left"/>
            </w:pPr>
            <w:r>
              <w:t xml:space="preserve">RF5</w:t>
            </w:r>
          </w:p>
        </w:tc>
        <w:tc>
          <w:tcPr>
            <w:tcW w:w="8100" w:type="dxa"/>
          </w:tcPr>
          <w:p>
            <w:pPr>
              <w:spacing w:after="20" w:line="240" w:lineRule="auto"/>
              <w:jc w:val="left"/>
            </w:pPr>
            <w:r>
              <w:t xml:space="preserve">Permitir la aceptación de la propuesta mediante un enlace con token de un solo uso.</w:t>
            </w:r>
          </w:p>
        </w:tc>
      </w:tr>
      <w:tr>
        <w:tc>
          <w:tcPr>
            <w:tcW w:w="900" w:type="dxa"/>
          </w:tcPr>
          <w:p>
            <w:pPr>
              <w:spacing w:after="20" w:line="240" w:lineRule="auto"/>
              <w:jc w:val="left"/>
            </w:pPr>
            <w:r>
              <w:t xml:space="preserve">RF6</w:t>
            </w:r>
          </w:p>
        </w:tc>
        <w:tc>
          <w:tcPr>
            <w:tcW w:w="8100" w:type="dxa"/>
          </w:tcPr>
          <w:p>
            <w:pPr>
              <w:spacing w:after="20" w:line="240" w:lineRule="auto"/>
              <w:jc w:val="left"/>
            </w:pPr>
            <w:r>
              <w:t xml:space="preserve">Generar la factura en PDF y enviarla por correo al aceptar la propuesta.</w:t>
            </w:r>
          </w:p>
        </w:tc>
      </w:tr>
      <w:tr>
        <w:tc>
          <w:tcPr>
            <w:tcW w:w="900" w:type="dxa"/>
          </w:tcPr>
          <w:p>
            <w:pPr>
              <w:spacing w:after="20" w:line="240" w:lineRule="auto"/>
              <w:jc w:val="left"/>
            </w:pPr>
            <w:r>
              <w:t xml:space="preserve">RF7</w:t>
            </w:r>
          </w:p>
        </w:tc>
        <w:tc>
          <w:tcPr>
            <w:tcW w:w="8100" w:type="dxa"/>
          </w:tcPr>
          <w:p>
            <w:pPr>
              <w:spacing w:after="20" w:line="240" w:lineRule="auto"/>
              <w:jc w:val="left"/>
            </w:pPr>
            <w:r>
              <w:t xml:space="preserve">Registrar el cobro de la factura y el cierre del proyecto.</w:t>
            </w:r>
          </w:p>
        </w:tc>
      </w:tr>
      <w:tr>
        <w:tc>
          <w:tcPr>
            <w:tcW w:w="900" w:type="dxa"/>
          </w:tcPr>
          <w:p>
            <w:pPr>
              <w:spacing w:after="20" w:line="240" w:lineRule="auto"/>
              <w:jc w:val="left"/>
            </w:pPr>
            <w:r>
              <w:t xml:space="preserve">RF8</w:t>
            </w:r>
          </w:p>
        </w:tc>
        <w:tc>
          <w:tcPr>
            <w:tcW w:w="8100" w:type="dxa"/>
          </w:tcPr>
          <w:p>
            <w:pPr>
              <w:spacing w:after="20" w:line="240" w:lineRule="auto"/>
              <w:jc w:val="left"/>
            </w:pPr>
            <w:r>
              <w:t xml:space="preserve">Ejecutar seguimientos automáticos de las propuestas sin respuesta.</w:t>
            </w:r>
          </w:p>
        </w:tc>
      </w:tr>
      <w:tr>
        <w:tc>
          <w:tcPr>
            <w:tcW w:w="900" w:type="dxa"/>
          </w:tcPr>
          <w:p>
            <w:pPr>
              <w:spacing w:after="20" w:line="240" w:lineRule="auto"/>
              <w:jc w:val="left"/>
            </w:pPr>
            <w:r>
              <w:t xml:space="preserve">RF9</w:t>
            </w:r>
          </w:p>
        </w:tc>
        <w:tc>
          <w:tcPr>
            <w:tcW w:w="8100" w:type="dxa"/>
          </w:tcPr>
          <w:p>
            <w:pPr>
              <w:spacing w:after="20" w:line="240" w:lineRule="auto"/>
              <w:jc w:val="left"/>
            </w:pPr>
            <w:r>
              <w:t xml:space="preserve">Enviar recordatorios de las facturas próximas a vencer o vencidas.</w:t>
            </w:r>
          </w:p>
        </w:tc>
      </w:tr>
      <w:tr>
        <w:tc>
          <w:tcPr>
            <w:tcW w:w="900" w:type="dxa"/>
          </w:tcPr>
          <w:p>
            <w:pPr>
              <w:spacing w:after="20" w:line="240" w:lineRule="auto"/>
              <w:jc w:val="left"/>
            </w:pPr>
            <w:r>
              <w:t xml:space="preserve">RF10</w:t>
            </w:r>
          </w:p>
        </w:tc>
        <w:tc>
          <w:tcPr>
            <w:tcW w:w="8100" w:type="dxa"/>
          </w:tcPr>
          <w:p>
            <w:pPr>
              <w:spacing w:after="20" w:line="240" w:lineRule="auto"/>
              <w:jc w:val="left"/>
            </w:pPr>
            <w:r>
              <w:t xml:space="preserve">Notificar al profesional los eventos relevantes por Telegram y emitir un reporte diario de métricas.</w:t>
            </w:r>
          </w:p>
        </w:tc>
      </w:tr>
      <w:tr>
        <w:tc>
          <w:tcPr>
            <w:tcW w:w="900" w:type="dxa"/>
          </w:tcPr>
          <w:p>
            <w:pPr>
              <w:spacing w:after="20" w:line="240" w:lineRule="auto"/>
              <w:jc w:val="left"/>
            </w:pPr>
            <w:r>
              <w:t xml:space="preserve">RF11</w:t>
            </w:r>
          </w:p>
        </w:tc>
        <w:tc>
          <w:tcPr>
            <w:tcW w:w="8100" w:type="dxa"/>
          </w:tcPr>
          <w:p>
            <w:pPr>
              <w:spacing w:after="20" w:line="240" w:lineRule="auto"/>
              <w:jc w:val="left"/>
            </w:pPr>
            <w:r>
              <w:t xml:space="preserve">Ofrecer un tablero de control autenticado con métricas, embudo y facturas pendientes en tiempo real.</w:t>
            </w:r>
          </w:p>
        </w:tc>
      </w:tr>
    </w:tbl>
    <w:p/>
    <w:p>
      <w:pPr>
        <w:pStyle w:val="Heading2"/>
      </w:pPr>
      <w:r>
        <w:t xml:space="preserve">3.5 Requisitos no funcionales</w:t>
      </w:r>
    </w:p>
    <w:p>
      <w:r>
        <w:t xml:space="preserve">La Tabla 2 presenta los requisitos no funcionales (RNF), organizados según las características de calidad de la norma ISO/IEC 25010 (2011).</w:t>
      </w:r>
    </w:p>
    <w:p>
      <w:pPr>
        <w:jc w:val="center"/>
        <w:spacing w:before="0" w:after="120" w:line="240" w:lineRule="auto"/>
      </w:pPr>
      <w:r>
        <w:rPr>
          <w:sz w:val="20"/>
          <w:szCs w:val="20"/>
        </w:rPr>
        <w:t xml:space="preserve">Tabla 2. Requisitos no funcionales del sistema</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00"/>
        <w:gridCol w:w="1800"/>
        <w:gridCol w:w="6300"/>
      </w:tblGrid>
      <w:tr>
        <w:trPr>
          <w:tblHeader/>
        </w:trPr>
        <w:tc>
          <w:tcPr>
            <w:tcW w:w="900" w:type="dxa"/>
            <w:shd w:val="clear" w:color="auto" w:fill="1F2937"/>
          </w:tcPr>
          <w:p>
            <w:pPr>
              <w:spacing w:after="20" w:line="240" w:lineRule="auto"/>
              <w:jc w:val="left"/>
            </w:pPr>
            <w:r>
              <w:rPr>
                <w:b/>
                <w:color w:val="FFFFFF"/>
              </w:rPr>
              <w:t xml:space="preserve">ID</w:t>
            </w:r>
          </w:p>
        </w:tc>
        <w:tc>
          <w:tcPr>
            <w:tcW w:w="1800" w:type="dxa"/>
            <w:shd w:val="clear" w:color="auto" w:fill="1F2937"/>
          </w:tcPr>
          <w:p>
            <w:pPr>
              <w:spacing w:after="20" w:line="240" w:lineRule="auto"/>
              <w:jc w:val="left"/>
            </w:pPr>
            <w:r>
              <w:rPr>
                <w:b/>
                <w:color w:val="FFFFFF"/>
              </w:rPr>
              <w:t xml:space="preserve">Característica</w:t>
            </w:r>
          </w:p>
        </w:tc>
        <w:tc>
          <w:tcPr>
            <w:tcW w:w="6300" w:type="dxa"/>
            <w:shd w:val="clear" w:color="auto" w:fill="1F2937"/>
          </w:tcPr>
          <w:p>
            <w:pPr>
              <w:spacing w:after="20" w:line="240" w:lineRule="auto"/>
              <w:jc w:val="left"/>
            </w:pPr>
            <w:r>
              <w:rPr>
                <w:b/>
                <w:color w:val="FFFFFF"/>
              </w:rPr>
              <w:t xml:space="preserve">Requisito no funcional</w:t>
            </w:r>
          </w:p>
        </w:tc>
      </w:tr>
      <w:tr>
        <w:tc>
          <w:tcPr>
            <w:tcW w:w="900" w:type="dxa"/>
          </w:tcPr>
          <w:p>
            <w:pPr>
              <w:spacing w:after="20" w:line="240" w:lineRule="auto"/>
              <w:jc w:val="left"/>
            </w:pPr>
            <w:r>
              <w:t xml:space="preserve">RNF1</w:t>
            </w:r>
          </w:p>
        </w:tc>
        <w:tc>
          <w:tcPr>
            <w:tcW w:w="1800" w:type="dxa"/>
          </w:tcPr>
          <w:p>
            <w:pPr>
              <w:spacing w:after="20" w:line="240" w:lineRule="auto"/>
              <w:jc w:val="left"/>
            </w:pPr>
            <w:r>
              <w:t xml:space="preserve">Seguridad</w:t>
            </w:r>
          </w:p>
        </w:tc>
        <w:tc>
          <w:tcPr>
            <w:tcW w:w="6300" w:type="dxa"/>
          </w:tcPr>
          <w:p>
            <w:pPr>
              <w:spacing w:after="20" w:line="240" w:lineRule="auto"/>
              <w:jc w:val="left"/>
            </w:pPr>
            <w:r>
              <w:t xml:space="preserve">El tablero solo es accesible para usuarios autenticados; los datos se protegen con seguridad a nivel de fila.</w:t>
            </w:r>
          </w:p>
        </w:tc>
      </w:tr>
      <w:tr>
        <w:tc>
          <w:tcPr>
            <w:tcW w:w="900" w:type="dxa"/>
          </w:tcPr>
          <w:p>
            <w:pPr>
              <w:spacing w:after="20" w:line="240" w:lineRule="auto"/>
              <w:jc w:val="left"/>
            </w:pPr>
            <w:r>
              <w:t xml:space="preserve">RNF2</w:t>
            </w:r>
          </w:p>
        </w:tc>
        <w:tc>
          <w:tcPr>
            <w:tcW w:w="1800" w:type="dxa"/>
          </w:tcPr>
          <w:p>
            <w:pPr>
              <w:spacing w:after="20" w:line="240" w:lineRule="auto"/>
              <w:jc w:val="left"/>
            </w:pPr>
            <w:r>
              <w:t xml:space="preserve">Seguridad</w:t>
            </w:r>
          </w:p>
        </w:tc>
        <w:tc>
          <w:tcPr>
            <w:tcW w:w="6300" w:type="dxa"/>
          </w:tcPr>
          <w:p>
            <w:pPr>
              <w:spacing w:after="20" w:line="240" w:lineRule="auto"/>
              <w:jc w:val="left"/>
            </w:pPr>
            <w:r>
              <w:t xml:space="preserve">La aceptación de propuestas se protege con un token de un solo uso, sin exponer credenciales.</w:t>
            </w:r>
          </w:p>
        </w:tc>
      </w:tr>
      <w:tr>
        <w:tc>
          <w:tcPr>
            <w:tcW w:w="900" w:type="dxa"/>
          </w:tcPr>
          <w:p>
            <w:pPr>
              <w:spacing w:after="20" w:line="240" w:lineRule="auto"/>
              <w:jc w:val="left"/>
            </w:pPr>
            <w:r>
              <w:t xml:space="preserve">RNF3</w:t>
            </w:r>
          </w:p>
        </w:tc>
        <w:tc>
          <w:tcPr>
            <w:tcW w:w="1800" w:type="dxa"/>
          </w:tcPr>
          <w:p>
            <w:pPr>
              <w:spacing w:after="20" w:line="240" w:lineRule="auto"/>
              <w:jc w:val="left"/>
            </w:pPr>
            <w:r>
              <w:t xml:space="preserve">Fiabilidad</w:t>
            </w:r>
          </w:p>
        </w:tc>
        <w:tc>
          <w:tcPr>
            <w:tcW w:w="6300" w:type="dxa"/>
          </w:tcPr>
          <w:p>
            <w:pPr>
              <w:spacing w:after="20" w:line="240" w:lineRule="auto"/>
              <w:jc w:val="left"/>
            </w:pPr>
            <w:r>
              <w:t xml:space="preserve">Ante datos inválidos o fallas, el flujo se detiene de forma controlada y registra el error.</w:t>
            </w:r>
          </w:p>
        </w:tc>
      </w:tr>
      <w:tr>
        <w:tc>
          <w:tcPr>
            <w:tcW w:w="900" w:type="dxa"/>
          </w:tcPr>
          <w:p>
            <w:pPr>
              <w:spacing w:after="20" w:line="240" w:lineRule="auto"/>
              <w:jc w:val="left"/>
            </w:pPr>
            <w:r>
              <w:t xml:space="preserve">RNF4</w:t>
            </w:r>
          </w:p>
        </w:tc>
        <w:tc>
          <w:tcPr>
            <w:tcW w:w="1800" w:type="dxa"/>
          </w:tcPr>
          <w:p>
            <w:pPr>
              <w:spacing w:after="20" w:line="240" w:lineRule="auto"/>
              <w:jc w:val="left"/>
            </w:pPr>
            <w:r>
              <w:t xml:space="preserve">Mantenibilidad</w:t>
            </w:r>
          </w:p>
        </w:tc>
        <w:tc>
          <w:tcPr>
            <w:tcW w:w="6300" w:type="dxa"/>
          </w:tcPr>
          <w:p>
            <w:pPr>
              <w:spacing w:after="20" w:line="240" w:lineRule="auto"/>
              <w:jc w:val="left"/>
            </w:pPr>
            <w:r>
              <w:t xml:space="preserve">La lógica de integración se concentra en el motor de orquestación, desacoplada del frontend.</w:t>
            </w:r>
          </w:p>
        </w:tc>
      </w:tr>
      <w:tr>
        <w:tc>
          <w:tcPr>
            <w:tcW w:w="900" w:type="dxa"/>
          </w:tcPr>
          <w:p>
            <w:pPr>
              <w:spacing w:after="20" w:line="240" w:lineRule="auto"/>
              <w:jc w:val="left"/>
            </w:pPr>
            <w:r>
              <w:t xml:space="preserve">RNF5</w:t>
            </w:r>
          </w:p>
        </w:tc>
        <w:tc>
          <w:tcPr>
            <w:tcW w:w="1800" w:type="dxa"/>
          </w:tcPr>
          <w:p>
            <w:pPr>
              <w:spacing w:after="20" w:line="240" w:lineRule="auto"/>
              <w:jc w:val="left"/>
            </w:pPr>
            <w:r>
              <w:t xml:space="preserve">Usabilidad</w:t>
            </w:r>
          </w:p>
        </w:tc>
        <w:tc>
          <w:tcPr>
            <w:tcW w:w="6300" w:type="dxa"/>
          </w:tcPr>
          <w:p>
            <w:pPr>
              <w:spacing w:after="20" w:line="240" w:lineRule="auto"/>
              <w:jc w:val="left"/>
            </w:pPr>
            <w:r>
              <w:t xml:space="preserve">La interfaz es responsiva y presenta mensajes de error comprensibles en español.</w:t>
            </w:r>
          </w:p>
        </w:tc>
      </w:tr>
      <w:tr>
        <w:tc>
          <w:tcPr>
            <w:tcW w:w="900" w:type="dxa"/>
          </w:tcPr>
          <w:p>
            <w:pPr>
              <w:spacing w:after="20" w:line="240" w:lineRule="auto"/>
              <w:jc w:val="left"/>
            </w:pPr>
            <w:r>
              <w:t xml:space="preserve">RNF6</w:t>
            </w:r>
          </w:p>
        </w:tc>
        <w:tc>
          <w:tcPr>
            <w:tcW w:w="1800" w:type="dxa"/>
          </w:tcPr>
          <w:p>
            <w:pPr>
              <w:spacing w:after="20" w:line="240" w:lineRule="auto"/>
              <w:jc w:val="left"/>
            </w:pPr>
            <w:r>
              <w:t xml:space="preserve">Rendimiento</w:t>
            </w:r>
          </w:p>
        </w:tc>
        <w:tc>
          <w:tcPr>
            <w:tcW w:w="6300" w:type="dxa"/>
          </w:tcPr>
          <w:p>
            <w:pPr>
              <w:spacing w:after="20" w:line="240" w:lineRule="auto"/>
              <w:jc w:val="left"/>
            </w:pPr>
            <w:r>
              <w:t xml:space="preserve">El tablero refleja los cambios de datos en tiempo real, sin recarga manual.</w:t>
            </w:r>
          </w:p>
        </w:tc>
      </w:tr>
      <w:tr>
        <w:tc>
          <w:tcPr>
            <w:tcW w:w="900" w:type="dxa"/>
          </w:tcPr>
          <w:p>
            <w:pPr>
              <w:spacing w:after="20" w:line="240" w:lineRule="auto"/>
              <w:jc w:val="left"/>
            </w:pPr>
            <w:r>
              <w:t xml:space="preserve">RNF7</w:t>
            </w:r>
          </w:p>
        </w:tc>
        <w:tc>
          <w:tcPr>
            <w:tcW w:w="1800" w:type="dxa"/>
          </w:tcPr>
          <w:p>
            <w:pPr>
              <w:spacing w:after="20" w:line="240" w:lineRule="auto"/>
              <w:jc w:val="left"/>
            </w:pPr>
            <w:r>
              <w:t xml:space="preserve">Portabilidad</w:t>
            </w:r>
          </w:p>
        </w:tc>
        <w:tc>
          <w:tcPr>
            <w:tcW w:w="6300" w:type="dxa"/>
          </w:tcPr>
          <w:p>
            <w:pPr>
              <w:spacing w:after="20" w:line="240" w:lineRule="auto"/>
              <w:jc w:val="left"/>
            </w:pPr>
            <w:r>
              <w:t xml:space="preserve">El frontend se despliega en la nube; el backend de automatización es autoalojable.</w:t>
            </w:r>
          </w:p>
        </w:tc>
      </w:tr>
    </w:tbl>
    <w:p/>
    <w:p>
      <w:pPr>
        <w:pStyle w:val="Heading2"/>
      </w:pPr>
      <w:r>
        <w:t xml:space="preserve">3.6 Herramientas y tecnologías</w:t>
      </w:r>
    </w:p>
    <w:p>
      <w:r>
        <w:t xml:space="preserve">La Tabla 3 detalla las herramientas empleadas, con su versión cuando corresponde y su función en el trabajo.</w:t>
      </w:r>
    </w:p>
    <w:p>
      <w:pPr>
        <w:jc w:val="center"/>
        <w:spacing w:before="0" w:after="120" w:line="240" w:lineRule="auto"/>
      </w:pPr>
      <w:r>
        <w:rPr>
          <w:sz w:val="20"/>
          <w:szCs w:val="20"/>
        </w:rPr>
        <w:t xml:space="preserve">Tabla 3. Herramientas y tecnologías utilizadas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0"/>
        <w:gridCol w:w="1200"/>
        <w:gridCol w:w="5800"/>
      </w:tblGrid>
      <w:tr>
        <w:trPr>
          <w:tblHeader/>
        </w:trPr>
        <w:tc>
          <w:tcPr>
            <w:tcW w:w="2000" w:type="dxa"/>
            <w:shd w:val="clear" w:color="auto" w:fill="1F2937"/>
          </w:tcPr>
          <w:p>
            <w:pPr>
              <w:spacing w:after="20" w:line="240" w:lineRule="auto"/>
              <w:jc w:val="left"/>
            </w:pPr>
            <w:r>
              <w:rPr>
                <w:b/>
                <w:color w:val="FFFFFF"/>
              </w:rPr>
              <w:t xml:space="preserve">Herramienta</w:t>
            </w:r>
          </w:p>
        </w:tc>
        <w:tc>
          <w:tcPr>
            <w:tcW w:w="1200" w:type="dxa"/>
            <w:shd w:val="clear" w:color="auto" w:fill="1F2937"/>
          </w:tcPr>
          <w:p>
            <w:pPr>
              <w:spacing w:after="20" w:line="240" w:lineRule="auto"/>
              <w:jc w:val="left"/>
            </w:pPr>
            <w:r>
              <w:rPr>
                <w:b/>
                <w:color w:val="FFFFFF"/>
              </w:rPr>
              <w:t xml:space="preserve">Versión</w:t>
            </w:r>
          </w:p>
        </w:tc>
        <w:tc>
          <w:tcPr>
            <w:tcW w:w="5800" w:type="dxa"/>
            <w:shd w:val="clear" w:color="auto" w:fill="1F2937"/>
          </w:tcPr>
          <w:p>
            <w:pPr>
              <w:spacing w:after="20" w:line="240" w:lineRule="auto"/>
              <w:jc w:val="left"/>
            </w:pPr>
            <w:r>
              <w:rPr>
                <w:b/>
                <w:color w:val="FFFFFF"/>
              </w:rPr>
              <w:t xml:space="preserve">Función en el proyecto</w:t>
            </w:r>
          </w:p>
        </w:tc>
      </w:tr>
      <w:tr>
        <w:tc>
          <w:tcPr>
            <w:tcW w:w="2000" w:type="dxa"/>
          </w:tcPr>
          <w:p>
            <w:pPr>
              <w:spacing w:after="20" w:line="240" w:lineRule="auto"/>
              <w:jc w:val="left"/>
            </w:pPr>
            <w:r>
              <w:t xml:space="preserve">Next.js</w:t>
            </w:r>
          </w:p>
        </w:tc>
        <w:tc>
          <w:tcPr>
            <w:tcW w:w="1200" w:type="dxa"/>
          </w:tcPr>
          <w:p>
            <w:pPr>
              <w:spacing w:after="20" w:line="240" w:lineRule="auto"/>
              <w:jc w:val="left"/>
            </w:pPr>
            <w:r>
              <w:t xml:space="preserve">16.2</w:t>
            </w:r>
          </w:p>
        </w:tc>
        <w:tc>
          <w:tcPr>
            <w:tcW w:w="5800" w:type="dxa"/>
          </w:tcPr>
          <w:p>
            <w:pPr>
              <w:spacing w:after="20" w:line="240" w:lineRule="auto"/>
              <w:jc w:val="left"/>
            </w:pPr>
            <w:r>
              <w:t xml:space="preserve">Framework del frontend (App Router, React Server Components); formulario, autenticación y tablero.</w:t>
            </w:r>
          </w:p>
        </w:tc>
      </w:tr>
      <w:tr>
        <w:tc>
          <w:tcPr>
            <w:tcW w:w="2000" w:type="dxa"/>
          </w:tcPr>
          <w:p>
            <w:pPr>
              <w:spacing w:after="20" w:line="240" w:lineRule="auto"/>
              <w:jc w:val="left"/>
            </w:pPr>
            <w:r>
              <w:t xml:space="preserve">React</w:t>
            </w:r>
          </w:p>
        </w:tc>
        <w:tc>
          <w:tcPr>
            <w:tcW w:w="1200" w:type="dxa"/>
          </w:tcPr>
          <w:p>
            <w:pPr>
              <w:spacing w:after="20" w:line="240" w:lineRule="auto"/>
              <w:jc w:val="left"/>
            </w:pPr>
            <w:r>
              <w:t xml:space="preserve">19.2</w:t>
            </w:r>
          </w:p>
        </w:tc>
        <w:tc>
          <w:tcPr>
            <w:tcW w:w="5800" w:type="dxa"/>
          </w:tcPr>
          <w:p>
            <w:pPr>
              <w:spacing w:after="20" w:line="240" w:lineRule="auto"/>
              <w:jc w:val="left"/>
            </w:pPr>
            <w:r>
              <w:t xml:space="preserve">Biblioteca de interfaz de usuario.</w:t>
            </w:r>
          </w:p>
        </w:tc>
      </w:tr>
      <w:tr>
        <w:tc>
          <w:tcPr>
            <w:tcW w:w="2000" w:type="dxa"/>
          </w:tcPr>
          <w:p>
            <w:pPr>
              <w:spacing w:after="20" w:line="240" w:lineRule="auto"/>
              <w:jc w:val="left"/>
            </w:pPr>
            <w:r>
              <w:t xml:space="preserve">TypeScript</w:t>
            </w:r>
          </w:p>
        </w:tc>
        <w:tc>
          <w:tcPr>
            <w:tcW w:w="1200" w:type="dxa"/>
          </w:tcPr>
          <w:p>
            <w:pPr>
              <w:spacing w:after="20" w:line="240" w:lineRule="auto"/>
              <w:jc w:val="left"/>
            </w:pPr>
            <w:r>
              <w:t xml:space="preserve">5.9</w:t>
            </w:r>
          </w:p>
        </w:tc>
        <w:tc>
          <w:tcPr>
            <w:tcW w:w="5800" w:type="dxa"/>
          </w:tcPr>
          <w:p>
            <w:pPr>
              <w:spacing w:after="20" w:line="240" w:lineRule="auto"/>
              <w:jc w:val="left"/>
            </w:pPr>
            <w:r>
              <w:t xml:space="preserve">Lenguaje tipado del frontend.</w:t>
            </w:r>
          </w:p>
        </w:tc>
      </w:tr>
      <w:tr>
        <w:tc>
          <w:tcPr>
            <w:tcW w:w="2000" w:type="dxa"/>
          </w:tcPr>
          <w:p>
            <w:pPr>
              <w:spacing w:after="20" w:line="240" w:lineRule="auto"/>
              <w:jc w:val="left"/>
            </w:pPr>
            <w:r>
              <w:t xml:space="preserve">Tailwind CSS</w:t>
            </w:r>
          </w:p>
        </w:tc>
        <w:tc>
          <w:tcPr>
            <w:tcW w:w="1200" w:type="dxa"/>
          </w:tcPr>
          <w:p>
            <w:pPr>
              <w:spacing w:after="20" w:line="240" w:lineRule="auto"/>
              <w:jc w:val="left"/>
            </w:pPr>
            <w:r>
              <w:t xml:space="preserve">4.1</w:t>
            </w:r>
          </w:p>
        </w:tc>
        <w:tc>
          <w:tcPr>
            <w:tcW w:w="5800" w:type="dxa"/>
          </w:tcPr>
          <w:p>
            <w:pPr>
              <w:spacing w:after="20" w:line="240" w:lineRule="auto"/>
              <w:jc w:val="left"/>
            </w:pPr>
            <w:r>
              <w:t xml:space="preserve">Framework de estilos utilitario.</w:t>
            </w:r>
          </w:p>
        </w:tc>
      </w:tr>
      <w:tr>
        <w:tc>
          <w:tcPr>
            <w:tcW w:w="2000" w:type="dxa"/>
          </w:tcPr>
          <w:p>
            <w:pPr>
              <w:spacing w:after="20" w:line="240" w:lineRule="auto"/>
              <w:jc w:val="left"/>
            </w:pPr>
            <w:r>
              <w:t xml:space="preserve">n8n</w:t>
            </w:r>
          </w:p>
        </w:tc>
        <w:tc>
          <w:tcPr>
            <w:tcW w:w="1200" w:type="dxa"/>
          </w:tcPr>
          <w:p>
            <w:pPr>
              <w:spacing w:after="20" w:line="240" w:lineRule="auto"/>
              <w:jc w:val="left"/>
            </w:pPr>
            <w:r>
              <w:t xml:space="preserve">—</w:t>
            </w:r>
          </w:p>
        </w:tc>
        <w:tc>
          <w:tcPr>
            <w:tcW w:w="5800" w:type="dxa"/>
          </w:tcPr>
          <w:p>
            <w:pPr>
              <w:spacing w:after="20" w:line="240" w:lineRule="auto"/>
              <w:jc w:val="left"/>
            </w:pPr>
            <w:r>
              <w:t xml:space="preserve">Motor de orquestación de flujos de trabajo (backend de automatización).</w:t>
            </w:r>
          </w:p>
        </w:tc>
      </w:tr>
      <w:tr>
        <w:tc>
          <w:tcPr>
            <w:tcW w:w="2000" w:type="dxa"/>
          </w:tcPr>
          <w:p>
            <w:pPr>
              <w:spacing w:after="20" w:line="240" w:lineRule="auto"/>
              <w:jc w:val="left"/>
            </w:pPr>
            <w:r>
              <w:t xml:space="preserve">Supabase</w:t>
            </w:r>
          </w:p>
        </w:tc>
        <w:tc>
          <w:tcPr>
            <w:tcW w:w="1200" w:type="dxa"/>
          </w:tcPr>
          <w:p>
            <w:pPr>
              <w:spacing w:after="20" w:line="240" w:lineRule="auto"/>
              <w:jc w:val="left"/>
            </w:pPr>
            <w:r>
              <w:t xml:space="preserve">—</w:t>
            </w:r>
          </w:p>
        </w:tc>
        <w:tc>
          <w:tcPr>
            <w:tcW w:w="5800" w:type="dxa"/>
          </w:tcPr>
          <w:p>
            <w:pPr>
              <w:spacing w:after="20" w:line="240" w:lineRule="auto"/>
              <w:jc w:val="left"/>
            </w:pPr>
            <w:r>
              <w:t xml:space="preserve">Backend como servicio: base de datos PostgreSQL, autenticación y tiempo real.</w:t>
            </w:r>
          </w:p>
        </w:tc>
      </w:tr>
      <w:tr>
        <w:tc>
          <w:tcPr>
            <w:tcW w:w="2000" w:type="dxa"/>
          </w:tcPr>
          <w:p>
            <w:pPr>
              <w:spacing w:after="20" w:line="240" w:lineRule="auto"/>
              <w:jc w:val="left"/>
            </w:pPr>
            <w:r>
              <w:t xml:space="preserve">PostgreSQL</w:t>
            </w:r>
          </w:p>
        </w:tc>
        <w:tc>
          <w:tcPr>
            <w:tcW w:w="1200" w:type="dxa"/>
          </w:tcPr>
          <w:p>
            <w:pPr>
              <w:spacing w:after="20" w:line="240" w:lineRule="auto"/>
              <w:jc w:val="left"/>
            </w:pPr>
            <w:r>
              <w:t xml:space="preserve">—</w:t>
            </w:r>
          </w:p>
        </w:tc>
        <w:tc>
          <w:tcPr>
            <w:tcW w:w="5800" w:type="dxa"/>
          </w:tcPr>
          <w:p>
            <w:pPr>
              <w:spacing w:after="20" w:line="240" w:lineRule="auto"/>
              <w:jc w:val="left"/>
            </w:pPr>
            <w:r>
              <w:t xml:space="preserve">Motor de base de datos relacional subyacente a Supabase.</w:t>
            </w:r>
          </w:p>
        </w:tc>
      </w:tr>
      <w:tr>
        <w:tc>
          <w:tcPr>
            <w:tcW w:w="2000" w:type="dxa"/>
          </w:tcPr>
          <w:p>
            <w:pPr>
              <w:spacing w:after="20" w:line="240" w:lineRule="auto"/>
              <w:jc w:val="left"/>
            </w:pPr>
            <w:r>
              <w:t xml:space="preserve">Gmail (n8n)</w:t>
            </w:r>
          </w:p>
        </w:tc>
        <w:tc>
          <w:tcPr>
            <w:tcW w:w="1200" w:type="dxa"/>
          </w:tcPr>
          <w:p>
            <w:pPr>
              <w:spacing w:after="20" w:line="240" w:lineRule="auto"/>
              <w:jc w:val="left"/>
            </w:pPr>
            <w:r>
              <w:t xml:space="preserve">—</w:t>
            </w:r>
          </w:p>
        </w:tc>
        <w:tc>
          <w:tcPr>
            <w:tcW w:w="5800" w:type="dxa"/>
          </w:tcPr>
          <w:p>
            <w:pPr>
              <w:spacing w:after="20" w:line="240" w:lineRule="auto"/>
              <w:jc w:val="left"/>
            </w:pPr>
            <w:r>
              <w:t xml:space="preserve">Envío de propuestas, facturas y recordatorios por correo electrónico.</w:t>
            </w:r>
          </w:p>
        </w:tc>
      </w:tr>
      <w:tr>
        <w:tc>
          <w:tcPr>
            <w:tcW w:w="2000" w:type="dxa"/>
          </w:tcPr>
          <w:p>
            <w:pPr>
              <w:spacing w:after="20" w:line="240" w:lineRule="auto"/>
              <w:jc w:val="left"/>
            </w:pPr>
            <w:r>
              <w:t xml:space="preserve">Telegram (n8n)</w:t>
            </w:r>
          </w:p>
        </w:tc>
        <w:tc>
          <w:tcPr>
            <w:tcW w:w="1200" w:type="dxa"/>
          </w:tcPr>
          <w:p>
            <w:pPr>
              <w:spacing w:after="20" w:line="240" w:lineRule="auto"/>
              <w:jc w:val="left"/>
            </w:pPr>
            <w:r>
              <w:t xml:space="preserve">—</w:t>
            </w:r>
          </w:p>
        </w:tc>
        <w:tc>
          <w:tcPr>
            <w:tcW w:w="5800" w:type="dxa"/>
          </w:tcPr>
          <w:p>
            <w:pPr>
              <w:spacing w:after="20" w:line="240" w:lineRule="auto"/>
              <w:jc w:val="left"/>
            </w:pPr>
            <w:r>
              <w:t xml:space="preserve">Notificaciones al profesional y reporte diario de métricas.</w:t>
            </w:r>
          </w:p>
        </w:tc>
      </w:tr>
      <w:tr>
        <w:tc>
          <w:tcPr>
            <w:tcW w:w="2000" w:type="dxa"/>
          </w:tcPr>
          <w:p>
            <w:pPr>
              <w:spacing w:after="20" w:line="240" w:lineRule="auto"/>
              <w:jc w:val="left"/>
            </w:pPr>
            <w:r>
              <w:t xml:space="preserve">Notion (HTTP)</w:t>
            </w:r>
          </w:p>
        </w:tc>
        <w:tc>
          <w:tcPr>
            <w:tcW w:w="1200" w:type="dxa"/>
          </w:tcPr>
          <w:p>
            <w:pPr>
              <w:spacing w:after="20" w:line="240" w:lineRule="auto"/>
              <w:jc w:val="left"/>
            </w:pPr>
            <w:r>
              <w:t xml:space="preserve">—</w:t>
            </w:r>
          </w:p>
        </w:tc>
        <w:tc>
          <w:tcPr>
            <w:tcW w:w="5800" w:type="dxa"/>
          </w:tcPr>
          <w:p>
            <w:pPr>
              <w:spacing w:after="20" w:line="240" w:lineRule="auto"/>
              <w:jc w:val="left"/>
            </w:pPr>
            <w:r>
              <w:t xml:space="preserve">Registro visual de las oportunidades en un tablero externo.</w:t>
            </w:r>
          </w:p>
        </w:tc>
      </w:tr>
      <w:tr>
        <w:tc>
          <w:tcPr>
            <w:tcW w:w="2000" w:type="dxa"/>
          </w:tcPr>
          <w:p>
            <w:pPr>
              <w:spacing w:after="20" w:line="240" w:lineRule="auto"/>
              <w:jc w:val="left"/>
            </w:pPr>
            <w:r>
              <w:t xml:space="preserve">Gotenberg (HTTP)</w:t>
            </w:r>
          </w:p>
        </w:tc>
        <w:tc>
          <w:tcPr>
            <w:tcW w:w="1200" w:type="dxa"/>
          </w:tcPr>
          <w:p>
            <w:pPr>
              <w:spacing w:after="20" w:line="240" w:lineRule="auto"/>
              <w:jc w:val="left"/>
            </w:pPr>
            <w:r>
              <w:t xml:space="preserve">—</w:t>
            </w:r>
          </w:p>
        </w:tc>
        <w:tc>
          <w:tcPr>
            <w:tcW w:w="5800" w:type="dxa"/>
          </w:tcPr>
          <w:p>
            <w:pPr>
              <w:spacing w:after="20" w:line="240" w:lineRule="auto"/>
              <w:jc w:val="left"/>
            </w:pPr>
            <w:r>
              <w:t xml:space="preserve">Conversión de la factura de HTML a PDF.</w:t>
            </w:r>
          </w:p>
        </w:tc>
      </w:tr>
      <w:tr>
        <w:tc>
          <w:tcPr>
            <w:tcW w:w="2000" w:type="dxa"/>
          </w:tcPr>
          <w:p>
            <w:pPr>
              <w:spacing w:after="20" w:line="240" w:lineRule="auto"/>
              <w:jc w:val="left"/>
            </w:pPr>
            <w:r>
              <w:t xml:space="preserve">Vercel</w:t>
            </w:r>
          </w:p>
        </w:tc>
        <w:tc>
          <w:tcPr>
            <w:tcW w:w="1200" w:type="dxa"/>
          </w:tcPr>
          <w:p>
            <w:pPr>
              <w:spacing w:after="20" w:line="240" w:lineRule="auto"/>
              <w:jc w:val="left"/>
            </w:pPr>
            <w:r>
              <w:t xml:space="preserve">—</w:t>
            </w:r>
          </w:p>
        </w:tc>
        <w:tc>
          <w:tcPr>
            <w:tcW w:w="5800" w:type="dxa"/>
          </w:tcPr>
          <w:p>
            <w:pPr>
              <w:spacing w:after="20" w:line="240" w:lineRule="auto"/>
              <w:jc w:val="left"/>
            </w:pPr>
            <w:r>
              <w:t xml:space="preserve">Plataforma de despliegue del frontend.</w:t>
            </w:r>
          </w:p>
        </w:tc>
      </w:tr>
      <w:tr>
        <w:tc>
          <w:tcPr>
            <w:tcW w:w="2000" w:type="dxa"/>
          </w:tcPr>
          <w:p>
            <w:pPr>
              <w:spacing w:after="20" w:line="240" w:lineRule="auto"/>
              <w:jc w:val="left"/>
            </w:pPr>
            <w:r>
              <w:t xml:space="preserve">Git</w:t>
            </w:r>
          </w:p>
        </w:tc>
        <w:tc>
          <w:tcPr>
            <w:tcW w:w="1200" w:type="dxa"/>
          </w:tcPr>
          <w:p>
            <w:pPr>
              <w:spacing w:after="20" w:line="240" w:lineRule="auto"/>
              <w:jc w:val="left"/>
            </w:pPr>
            <w:r>
              <w:t xml:space="preserve">—</w:t>
            </w:r>
          </w:p>
        </w:tc>
        <w:tc>
          <w:tcPr>
            <w:tcW w:w="5800" w:type="dxa"/>
          </w:tcPr>
          <w:p>
            <w:pPr>
              <w:spacing w:after="20" w:line="240" w:lineRule="auto"/>
              <w:jc w:val="left"/>
            </w:pPr>
            <w:r>
              <w:t xml:space="preserve">Control de versiones del código fuente.</w:t>
            </w:r>
          </w:p>
        </w:tc>
      </w:tr>
    </w:tbl>
    <w:p/>
    <w:p>
      <w:pPr>
        <w:pStyle w:val="Heading2"/>
      </w:pPr>
      <w:r>
        <w:t xml:space="preserve">3.7 Estrategia de validación del artefacto</w:t>
      </w:r>
    </w:p>
    <w:p>
      <w:r>
        <w:t xml:space="preserve">Dado que el trabajo es un desarrollo tecnológico, la validación no se realiza mediante muestreo estadístico sino mediante la ejecución de </w:t>
      </w:r>
      <w:r>
        <w:rPr>
          <w:b/>
        </w:rPr>
        <w:t xml:space="preserve">escenarios de prueba controlados</w:t>
      </w:r>
      <w:r>
        <w:t xml:space="preserve"> que ejercitan los caminos principales y alternativos de cada flujo. Se definieron casos de entrada representativos —incluyendo entradas inválidas— y se verificó que el sistema produjera los estados, las persistencias y las notificaciones esperadas. Los criterios de aceptación son la correcta normalización y validación de los datos, la asignación coherente del score y el tier, la transición correcta de estados en la base de datos y la actualización en tiempo real del tablero. Los resultados se presentan en el Capítulo 5.</w:t>
      </w:r>
    </w:p>
    <w:p>
      <w:r>
        <w:br w:type="page"/>
      </w:r>
    </w:p>
    <w:p>
      <w:pPr>
        <w:pStyle w:val="Heading1"/>
      </w:pPr>
      <w:r>
        <w:t xml:space="preserve">Capítulo 4: Diseño y Desarrollo del Sistema</w:t>
      </w:r>
    </w:p>
    <w:p>
      <w:r>
        <w:t xml:space="preserve">Este capítulo describe la arquitectura de la solución y el detalle de cada componente. Las afirmaciones sobre el frontend se apoyan en el código fuente del repositorio del proyecto; las relativas al backend de automatización, en el flujo de trabajo exportado desde n8n.</w:t>
      </w:r>
    </w:p>
    <w:p>
      <w:pPr>
        <w:pStyle w:val="Heading2"/>
      </w:pPr>
      <w:r>
        <w:t xml:space="preserve">4.1 Arquitectura general</w:t>
      </w:r>
    </w:p>
    <w:p>
      <w:r>
        <w:t xml:space="preserve">El sistema adopta una arquitectura en tres capas coordinada por eventos (Fowler, 2002):</w:t>
      </w:r>
    </w:p>
    <w:p>
      <w:pPr>
        <w:pStyle w:val="ListParagraph"/>
        <w:numPr>
          <w:ilvl w:val="0"/>
          <w:numId w:val="1"/>
        </w:numPr>
      </w:pPr>
      <w:r>
        <w:rPr>
          <w:b/>
        </w:rPr>
        <w:t xml:space="preserve">Capa de presentación y captación (frontend).</w:t>
      </w:r>
      <w:r>
        <w:t xml:space="preserve"> Aplicación Next.js desplegada en Vercel. Expone el formulario público de captación, las pantallas de autenticación, el tablero de control y la página de aceptación de propuestas.</w:t>
      </w:r>
    </w:p>
    <w:p>
      <w:pPr>
        <w:pStyle w:val="ListParagraph"/>
        <w:numPr>
          <w:ilvl w:val="0"/>
          <w:numId w:val="1"/>
        </w:numPr>
      </w:pPr>
      <w:r>
        <w:rPr>
          <w:b/>
        </w:rPr>
        <w:t xml:space="preserve">Capa de orquestación (backend de automatización).</w:t>
      </w:r>
      <w:r>
        <w:t xml:space="preserve"> Instancia de n8n que recibe los eventos por webhook, ejecuta la lógica de negocio y coordina la persistencia y las notificaciones. El flujo implementado consta de 71 nodos organizados en cinco procesos.</w:t>
      </w:r>
    </w:p>
    <w:p>
      <w:pPr>
        <w:pStyle w:val="ListParagraph"/>
        <w:numPr>
          <w:ilvl w:val="0"/>
          <w:numId w:val="1"/>
        </w:numPr>
      </w:pPr>
      <w:r>
        <w:rPr>
          <w:b/>
        </w:rPr>
        <w:t xml:space="preserve">Capa de persistencia (datos).</w:t>
      </w:r>
      <w:r>
        <w:t xml:space="preserve"> Base de datos PostgreSQL gestionada por Supabase, con las tablas </w:t>
      </w:r>
      <w:r>
        <w:rPr>
          <w:rFonts w:ascii="Consolas" w:hAnsi="Consolas" w:cs="Consolas"/>
        </w:rPr>
        <w:t xml:space="preserve">leads</w:t>
      </w:r>
      <w:r>
        <w:t xml:space="preserve">, </w:t>
      </w:r>
      <w:r>
        <w:rPr>
          <w:rFonts w:ascii="Consolas" w:hAnsi="Consolas" w:cs="Consolas"/>
        </w:rPr>
        <w:t xml:space="preserve">facturas</w:t>
      </w:r>
      <w:r>
        <w:t xml:space="preserve"> y </w:t>
      </w:r>
      <w:r>
        <w:rPr>
          <w:rFonts w:ascii="Consolas" w:hAnsi="Consolas" w:cs="Consolas"/>
        </w:rPr>
        <w:t xml:space="preserve">seguimientos</w:t>
      </w:r>
      <w:r>
        <w:t xml:space="preserve">, las vistas </w:t>
      </w:r>
      <w:r>
        <w:rPr>
          <w:rFonts w:ascii="Consolas" w:hAnsi="Consolas" w:cs="Consolas"/>
        </w:rPr>
        <w:t xml:space="preserve">metrics_mensuales</w:t>
      </w:r>
      <w:r>
        <w:t xml:space="preserve"> y </w:t>
      </w:r>
      <w:r>
        <w:rPr>
          <w:rFonts w:ascii="Consolas" w:hAnsi="Consolas" w:cs="Consolas"/>
        </w:rPr>
        <w:t xml:space="preserve">facturas_pendientes</w:t>
      </w:r>
      <w:r>
        <w:t xml:space="preserve">, y políticas de seguridad a nivel de fila.</w:t>
      </w:r>
    </w:p>
    <w:p>
      <w:r>
        <w:t xml:space="preserve">El frontend nunca escribe directamente en la base de datos de negocio: se comunica con n8n mediante webhooks, y n8n es el único componente que escribe en las tablas de negocio. El tablero de control, en cambio, lee directamente de Supabase en modo solo lectura, amparado por las políticas de RLS. Esta separación concentra la lógica de integración en el motor de orquestación (RNF4) y mantiene el frontend delgado.</w:t>
      </w:r>
    </w:p>
    <w:p>
      <w:r>
        <w:t xml:space="preserve">La Figura 1 (véase Anexo A) representa este flujo; el detalle de cada capa se desarrolla a continuación.</w:t>
      </w:r>
    </w:p>
    <w:p>
      <w:pPr>
        <w:pStyle w:val="Heading2"/>
      </w:pPr>
      <w:r>
        <w:t xml:space="preserve">4.2 Frontend (Next.js)</w:t>
      </w:r>
    </w:p>
    <w:p>
      <w:r>
        <w:t xml:space="preserve">El frontend se organiza con el App Router de Next.js. Las rutas principales son el formulario público (</w:t>
      </w:r>
      <w:r>
        <w:rPr>
          <w:rFonts w:ascii="Consolas" w:hAnsi="Consolas" w:cs="Consolas"/>
        </w:rPr>
        <w:t xml:space="preserve">/</w:t>
      </w:r>
      <w:r>
        <w:t xml:space="preserve">), las pantallas de autenticación (</w:t>
      </w:r>
      <w:r>
        <w:rPr>
          <w:rFonts w:ascii="Consolas" w:hAnsi="Consolas" w:cs="Consolas"/>
        </w:rPr>
        <w:t xml:space="preserve">/login</w:t>
      </w:r>
      <w:r>
        <w:t xml:space="preserve">, </w:t>
      </w:r>
      <w:r>
        <w:rPr>
          <w:rFonts w:ascii="Consolas" w:hAnsi="Consolas" w:cs="Consolas"/>
        </w:rPr>
        <w:t xml:space="preserve">/register</w:t>
      </w:r>
      <w:r>
        <w:t xml:space="preserve">), el tablero protegido (</w:t>
      </w:r>
      <w:r>
        <w:rPr>
          <w:rFonts w:ascii="Consolas" w:hAnsi="Consolas" w:cs="Consolas"/>
        </w:rPr>
        <w:t xml:space="preserve">/dashboard</w:t>
      </w:r>
      <w:r>
        <w:t xml:space="preserve">), la página de aceptación (</w:t>
      </w:r>
      <w:r>
        <w:rPr>
          <w:rFonts w:ascii="Consolas" w:hAnsi="Consolas" w:cs="Consolas"/>
        </w:rPr>
        <w:t xml:space="preserve">/aceptar/[leadId]</w:t>
      </w:r>
      <w:r>
        <w:t xml:space="preserve">) y los manejadores de confirmación y cierre de sesión (</w:t>
      </w:r>
      <w:r>
        <w:rPr>
          <w:rFonts w:ascii="Consolas" w:hAnsi="Consolas" w:cs="Consolas"/>
        </w:rPr>
        <w:t xml:space="preserve">/auth/confirm</w:t>
      </w:r>
      <w:r>
        <w:t xml:space="preserve">, </w:t>
      </w:r>
      <w:r>
        <w:rPr>
          <w:rFonts w:ascii="Consolas" w:hAnsi="Consolas" w:cs="Consolas"/>
        </w:rPr>
        <w:t xml:space="preserve">/auth/signout</w:t>
      </w:r>
      <w:r>
        <w:t xml:space="preserve">).</w:t>
      </w:r>
    </w:p>
    <w:p>
      <w:pPr>
        <w:pStyle w:val="Heading3"/>
      </w:pPr>
      <w:r>
        <w:t xml:space="preserve">4.2.1 Formulario público de captación</w:t>
      </w:r>
    </w:p>
    <w:p>
      <w:r>
        <w:t xml:space="preserve">El componente </w:t>
      </w:r>
      <w:r>
        <w:rPr>
          <w:rFonts w:ascii="Consolas" w:hAnsi="Consolas" w:cs="Consolas"/>
        </w:rPr>
        <w:t xml:space="preserve">lead-form.tsx</w:t>
      </w:r>
      <w:r>
        <w:t xml:space="preserve"> presenta el formulario de captación con los campos nombre, correo, teléfono (opcional), tipo de servicio, urgencia, presupuesto —seleccionado mediante un control deslizante entre 100 y 5000 dólares— y descripción. La validación se realiza en el cliente y, al enviar, el componente emite una petición HTTP POST al webhook de captación de n8n, cuya dirección base se configura mediante la variable de entorno </w:t>
      </w:r>
      <w:r>
        <w:rPr>
          <w:rFonts w:ascii="Consolas" w:hAnsi="Consolas" w:cs="Consolas"/>
        </w:rPr>
        <w:t xml:space="preserve">NEXT_PUBLIC_N8N_BASE</w:t>
      </w:r>
      <w:r>
        <w:t xml:space="preserve">. Ante una respuesta satisfactoria se muestra una confirmación; ante un error, un mensaje de alerta. Con esto se satisface el OE1.</w:t>
      </w:r>
    </w:p>
    <w:p>
      <w:pPr>
        <w:pStyle w:val="Heading3"/>
      </w:pPr>
      <w:r>
        <w:t xml:space="preserve">4.2.2 Autenticación con Supabase Auth</w:t>
      </w:r>
    </w:p>
    <w:p>
      <w:r>
        <w:t xml:space="preserve">El acceso al tablero se resuelve con Supabase Auth por correo y contraseña. El registro (</w:t>
      </w:r>
      <w:r>
        <w:rPr>
          <w:rFonts w:ascii="Consolas" w:hAnsi="Consolas" w:cs="Consolas"/>
        </w:rPr>
        <w:t xml:space="preserve">register-form.tsx</w:t>
      </w:r>
      <w:r>
        <w:t xml:space="preserve">) invoca </w:t>
      </w:r>
      <w:r>
        <w:rPr>
          <w:rFonts w:ascii="Consolas" w:hAnsi="Consolas" w:cs="Consolas"/>
        </w:rPr>
        <w:t xml:space="preserve">signUp</w:t>
      </w:r>
      <w:r>
        <w:t xml:space="preserve"> con redirección a </w:t>
      </w:r>
      <w:r>
        <w:rPr>
          <w:rFonts w:ascii="Consolas" w:hAnsi="Consolas" w:cs="Consolas"/>
        </w:rPr>
        <w:t xml:space="preserve">/auth/confirm</w:t>
      </w:r>
      <w:r>
        <w:t xml:space="preserve">; el inicio de sesión (</w:t>
      </w:r>
      <w:r>
        <w:rPr>
          <w:rFonts w:ascii="Consolas" w:hAnsi="Consolas" w:cs="Consolas"/>
        </w:rPr>
        <w:t xml:space="preserve">login-form.tsx</w:t>
      </w:r>
      <w:r>
        <w:t xml:space="preserve">) invoca </w:t>
      </w:r>
      <w:r>
        <w:rPr>
          <w:rFonts w:ascii="Consolas" w:hAnsi="Consolas" w:cs="Consolas"/>
        </w:rPr>
        <w:t xml:space="preserve">signInWithPassword</w:t>
      </w:r>
      <w:r>
        <w:t xml:space="preserve">; el manejador </w:t>
      </w:r>
      <w:r>
        <w:rPr>
          <w:rFonts w:ascii="Consolas" w:hAnsi="Consolas" w:cs="Consolas"/>
        </w:rPr>
        <w:t xml:space="preserve">/auth/confirm</w:t>
      </w:r>
      <w:r>
        <w:t xml:space="preserve"> verifica el código de un solo uso (</w:t>
      </w:r>
      <w:r>
        <w:rPr>
          <w:rFonts w:ascii="Consolas" w:hAnsi="Consolas" w:cs="Consolas"/>
        </w:rPr>
        <w:t xml:space="preserve">verifyOtp</w:t>
      </w:r>
      <w:r>
        <w:t xml:space="preserve">) y el manejador </w:t>
      </w:r>
      <w:r>
        <w:rPr>
          <w:rFonts w:ascii="Consolas" w:hAnsi="Consolas" w:cs="Consolas"/>
        </w:rPr>
        <w:t xml:space="preserve">/auth/signout</w:t>
      </w:r>
      <w:r>
        <w:t xml:space="preserve"> cierra la sesión. Los códigos de error de Supabase se traducen a mensajes en español mediante la función </w:t>
      </w:r>
      <w:r>
        <w:rPr>
          <w:rFonts w:ascii="Consolas" w:hAnsi="Consolas" w:cs="Consolas"/>
        </w:rPr>
        <w:t xml:space="preserve">translateAuthError</w:t>
      </w:r>
      <w:r>
        <w:t xml:space="preserve"> del módulo </w:t>
      </w:r>
      <w:r>
        <w:rPr>
          <w:rFonts w:ascii="Consolas" w:hAnsi="Consolas" w:cs="Consolas"/>
        </w:rPr>
        <w:t xml:space="preserve">auth-errors.ts</w:t>
      </w:r>
      <w:r>
        <w:t xml:space="preserve">, en cumplimiento del RNF5.</w:t>
      </w:r>
    </w:p>
    <w:p>
      <w:pPr>
        <w:pStyle w:val="Heading3"/>
      </w:pPr>
      <w:r>
        <w:t xml:space="preserve">4.2.3 Protección de rutas</w:t>
      </w:r>
    </w:p>
    <w:p>
      <w:r>
        <w:t xml:space="preserve">La protección se implementa en el borde, mediante el archivo </w:t>
      </w:r>
      <w:r>
        <w:rPr>
          <w:rFonts w:ascii="Consolas" w:hAnsi="Consolas" w:cs="Consolas"/>
        </w:rPr>
        <w:t xml:space="preserve">proxy.ts</w:t>
      </w:r>
      <w:r>
        <w:t xml:space="preserve"> —la forma vigente en Next.js 16, que reemplaza al histórico </w:t>
      </w:r>
      <w:r>
        <w:rPr>
          <w:rFonts w:ascii="Consolas" w:hAnsi="Consolas" w:cs="Consolas"/>
        </w:rPr>
        <w:t xml:space="preserve">middleware.ts</w:t>
      </w:r>
      <w:r>
        <w:t xml:space="preserve">— apoyado en el ayudante </w:t>
      </w:r>
      <w:r>
        <w:rPr>
          <w:rFonts w:ascii="Consolas" w:hAnsi="Consolas" w:cs="Consolas"/>
        </w:rPr>
        <w:t xml:space="preserve">updateSession</w:t>
      </w:r>
      <w:r>
        <w:t xml:space="preserve"> del módulo </w:t>
      </w:r>
      <w:r>
        <w:rPr>
          <w:rFonts w:ascii="Consolas" w:hAnsi="Consolas" w:cs="Consolas"/>
        </w:rPr>
        <w:t xml:space="preserve">lib/supabase/middleware.ts</w:t>
      </w:r>
      <w:r>
        <w:t xml:space="preserve">. En cada petición se comprueba si la ruta pertenece al conjunto de rutas protegidas (</w:t>
      </w:r>
      <w:r>
        <w:rPr>
          <w:rFonts w:ascii="Consolas" w:hAnsi="Consolas" w:cs="Consolas"/>
        </w:rPr>
        <w:t xml:space="preserve">PROTECTED_ROUTES</w:t>
      </w:r>
      <w:r>
        <w:t xml:space="preserve">, que incluye </w:t>
      </w:r>
      <w:r>
        <w:rPr>
          <w:rFonts w:ascii="Consolas" w:hAnsi="Consolas" w:cs="Consolas"/>
        </w:rPr>
        <w:t xml:space="preserve">/dashboard</w:t>
      </w:r>
      <w:r>
        <w:t xml:space="preserve">) y, mediante </w:t>
      </w:r>
      <w:r>
        <w:rPr>
          <w:rFonts w:ascii="Consolas" w:hAnsi="Consolas" w:cs="Consolas"/>
        </w:rPr>
        <w:t xml:space="preserve">getUser</w:t>
      </w:r>
      <w:r>
        <w:t xml:space="preserve">, se valida la sesión contra Supabase; si no hay usuario, se redirige a </w:t>
      </w:r>
      <w:r>
        <w:rPr>
          <w:rFonts w:ascii="Consolas" w:hAnsi="Consolas" w:cs="Consolas"/>
        </w:rPr>
        <w:t xml:space="preserve">/login</w:t>
      </w:r>
      <w:r>
        <w:t xml:space="preserve"> conservando el destino original en el parámetro </w:t>
      </w:r>
      <w:r>
        <w:rPr>
          <w:rFonts w:ascii="Consolas" w:hAnsi="Consolas" w:cs="Consolas"/>
        </w:rPr>
        <w:t xml:space="preserve">redirectTo</w:t>
      </w:r>
      <w:r>
        <w:t xml:space="preserve">. El propio componente de servidor del tablero repite la verificación, en un esquema de defensa en profundidad.</w:t>
      </w:r>
    </w:p>
    <w:p>
      <w:pPr>
        <w:pStyle w:val="Heading3"/>
      </w:pPr>
      <w:r>
        <w:t xml:space="preserve">4.2.4 Cliente de Supabase y degradación defensiva</w:t>
      </w:r>
    </w:p>
    <w:p>
      <w:r>
        <w:t xml:space="preserve">La conexión con Supabase se estructura en tres clientes especializados: un cliente de navegador (</w:t>
      </w:r>
      <w:r>
        <w:rPr>
          <w:rFonts w:ascii="Consolas" w:hAnsi="Consolas" w:cs="Consolas"/>
        </w:rPr>
        <w:t xml:space="preserve">client.ts</w:t>
      </w:r>
      <w:r>
        <w:t xml:space="preserve">), un cliente de servidor que gestiona la sesión mediante cookies (</w:t>
      </w:r>
      <w:r>
        <w:rPr>
          <w:rFonts w:ascii="Consolas" w:hAnsi="Consolas" w:cs="Consolas"/>
        </w:rPr>
        <w:t xml:space="preserve">server.ts</w:t>
      </w:r>
      <w:r>
        <w:t xml:space="preserve">) y un cliente para la comprobación de sesión en el borde (</w:t>
      </w:r>
      <w:r>
        <w:rPr>
          <w:rFonts w:ascii="Consolas" w:hAnsi="Consolas" w:cs="Consolas"/>
        </w:rPr>
        <w:t xml:space="preserve">middleware.ts</w:t>
      </w:r>
      <w:r>
        <w:t xml:space="preserve">). Todos comparten un criterio defensivo: si faltan las variables de entorno, devuelven un valor nulo en lugar de interrumpir la construcción de la aplicación, lo que permite desplegar sin configurar y evita caídas del despliegue (RNF3).</w:t>
      </w:r>
    </w:p>
    <w:p>
      <w:pPr>
        <w:pStyle w:val="Heading3"/>
      </w:pPr>
      <w:r>
        <w:t xml:space="preserve">4.2.5 Tablero de control en tiempo real</w:t>
      </w:r>
    </w:p>
    <w:p>
      <w:r>
        <w:t xml:space="preserve">El tablero (</w:t>
      </w:r>
      <w:r>
        <w:rPr>
          <w:rFonts w:ascii="Consolas" w:hAnsi="Consolas" w:cs="Consolas"/>
        </w:rPr>
        <w:t xml:space="preserve">dashboard-client.tsx</w:t>
      </w:r>
      <w:r>
        <w:t xml:space="preserve">) consulta cuatro conjuntos de datos: los indicadores del mes desde la vista </w:t>
      </w:r>
      <w:r>
        <w:rPr>
          <w:rFonts w:ascii="Consolas" w:hAnsi="Consolas" w:cs="Consolas"/>
        </w:rPr>
        <w:t xml:space="preserve">metrics_mensuales</w:t>
      </w:r>
      <w:r>
        <w:t xml:space="preserve">, el embudo a partir del estado de los registros de </w:t>
      </w:r>
      <w:r>
        <w:rPr>
          <w:rFonts w:ascii="Consolas" w:hAnsi="Consolas" w:cs="Consolas"/>
        </w:rPr>
        <w:t xml:space="preserve">leads</w:t>
      </w:r>
      <w:r>
        <w:t xml:space="preserve">, los leads recientes y las facturas pendientes desde la vista </w:t>
      </w:r>
      <w:r>
        <w:rPr>
          <w:rFonts w:ascii="Consolas" w:hAnsi="Consolas" w:cs="Consolas"/>
        </w:rPr>
        <w:t xml:space="preserve">facturas_pendientes</w:t>
      </w:r>
      <w:r>
        <w:t xml:space="preserve">. Presenta indicadores clave —cantidad de leads, tasa de conversión, tasa de cobro, facturación, montos cobrados, pendientes y vencidos—, un gráfico de embudo por estado y tablas de leads y de facturas, con resaltado de los vencimientos. Para mantener la información actualizada sin recarga manual, el tablero se suscribe a los cambios de la tabla </w:t>
      </w:r>
      <w:r>
        <w:rPr>
          <w:rFonts w:ascii="Consolas" w:hAnsi="Consolas" w:cs="Consolas"/>
        </w:rPr>
        <w:t xml:space="preserve">leads</w:t>
      </w:r>
      <w:r>
        <w:t xml:space="preserve"> mediante el canal de tiempo real de Supabase (</w:t>
      </w:r>
      <w:r>
        <w:rPr>
          <w:rFonts w:ascii="Consolas" w:hAnsi="Consolas" w:cs="Consolas"/>
        </w:rPr>
        <w:t xml:space="preserve">postgres_changes</w:t>
      </w:r>
      <w:r>
        <w:t xml:space="preserve">) y vuelve a consultar los datos ante cada alta, modificación o baja (RNF6). Estas prestaciones satisfacen, junto con el modelo de datos, el OE4.</w:t>
      </w:r>
    </w:p>
    <w:p>
      <w:pPr>
        <w:pStyle w:val="Heading3"/>
      </w:pPr>
      <w:r>
        <w:t xml:space="preserve">4.2.6 Página de aceptación de propuestas</w:t>
      </w:r>
    </w:p>
    <w:p>
      <w:r>
        <w:t xml:space="preserve">La ruta pública </w:t>
      </w:r>
      <w:r>
        <w:rPr>
          <w:rFonts w:ascii="Consolas" w:hAnsi="Consolas" w:cs="Consolas"/>
        </w:rPr>
        <w:t xml:space="preserve">/aceptar/[leadId]</w:t>
      </w:r>
      <w:r>
        <w:t xml:space="preserve"> recibe, además del identificador del lead, un token en el parámetro de consulta (así llega por tratarse de un enlace enviado por correo). El componente envía ambos datos —identificador y token— en el cuerpo de una petición POST al webhook de aceptación de n8n y, según la respuesta, informa al cliente uno de tres desenlaces: aceptación satisfactoria, enlace ya utilizado o enlace inválido o vencido. Al no requerir cuenta, esta ruta se protege exclusivamente con el token, no con Supabase Auth.</w:t>
      </w:r>
    </w:p>
    <w:p>
      <w:pPr>
        <w:pStyle w:val="Heading2"/>
      </w:pPr>
      <w:r>
        <w:t xml:space="preserve">4.3 Backend de automatización (n8n)</w:t>
      </w:r>
    </w:p>
    <w:p>
      <w:r>
        <w:t xml:space="preserve">El flujo de trabajo exportado desde n8n contiene 71 nodos y organiza la lógica de negocio en cinco procesos: captación y calificación de leads, aceptación y facturación, pago, cierre de proyecto y un conjunto de procesos programados. Se describe cada uno a partir de su definición real.</w:t>
      </w:r>
    </w:p>
    <w:p>
      <w:pPr>
        <w:pStyle w:val="Heading3"/>
      </w:pPr>
      <w:r>
        <w:t xml:space="preserve">4.3.1 Captación y calificación (webhook de nuevo lead)</w:t>
      </w:r>
    </w:p>
    <w:p>
      <w:r>
        <w:t xml:space="preserve">El proceso se dispara con el webhook POST </w:t>
      </w:r>
      <w:r>
        <w:rPr>
          <w:rFonts w:ascii="Consolas" w:hAnsi="Consolas" w:cs="Consolas"/>
        </w:rPr>
        <w:t xml:space="preserve">/lead/nuevo</w:t>
      </w:r>
      <w:r>
        <w:t xml:space="preserve">. El primer nodo, </w:t>
      </w:r>
      <w:r>
        <w:rPr>
          <w:i/>
        </w:rPr>
        <w:t xml:space="preserve">Normalizar Lead</w:t>
      </w:r>
      <w:r>
        <w:t xml:space="preserve">, ejecuta código JavaScript que recorta y estandariza los campos: convierte el correo a minúsculas, interpreta el presupuesto como entero, restringe la urgencia al conjunto {alta, media, baja} —con </w:t>
      </w:r>
      <w:r>
        <w:rPr>
          <w:rFonts w:ascii="Consolas" w:hAnsi="Consolas" w:cs="Consolas"/>
        </w:rPr>
        <w:t xml:space="preserve">media</w:t>
      </w:r>
      <w:r>
        <w:t xml:space="preserve"> por defecto— y el servicio a una lista blanca de siete valores —con </w:t>
      </w:r>
      <w:r>
        <w:rPr>
          <w:rFonts w:ascii="Consolas" w:hAnsi="Consolas" w:cs="Consolas"/>
        </w:rPr>
        <w:t xml:space="preserve">desarrollo_web</w:t>
      </w:r>
      <w:r>
        <w:t xml:space="preserve"> por defecto—.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rPr>
        <w:t xml:space="preserve">LD-&lt;timestamp&gt;-&lt;aleatorio&gt;</w:t>
      </w:r>
      <w:r>
        <w:t xml:space="preserve"> y trunca la descripción a 2000 caracteres. El lead normalizado se persiste con el nodo </w:t>
      </w:r>
      <w:r>
        <w:rPr>
          <w:i/>
        </w:rPr>
        <w:t xml:space="preserve">Insert Lead</w:t>
      </w:r>
      <w:r>
        <w:t xml:space="preserve"> en la tabla </w:t>
      </w:r>
      <w:r>
        <w:rPr>
          <w:rFonts w:ascii="Consolas" w:hAnsi="Consolas" w:cs="Consolas"/>
        </w:rPr>
        <w:t xml:space="preserve">leads</w:t>
      </w:r>
      <w:r>
        <w:t xml:space="preserve">.</w:t>
      </w:r>
    </w:p>
    <w:p>
      <w:r>
        <w:t xml:space="preserve">A continuación, el nodo </w:t>
      </w:r>
      <w:r>
        <w:rPr>
          <w:i/>
        </w:rPr>
        <w:t xml:space="preserve">Scoring</w:t>
      </w:r>
      <w:r>
        <w:t xml:space="preserve"> calcula el puntaje de prioridad sumando cuatro componentes ponderados, según se detalla en la Tabla 4, y deriva el nivel: </w:t>
      </w:r>
      <w:r>
        <w:rPr>
          <w:rFonts w:ascii="Consolas" w:hAnsi="Consolas" w:cs="Consolas"/>
        </w:rPr>
        <w:t xml:space="preserve">HOT</w:t>
      </w:r>
      <w:r>
        <w:t xml:space="preserve"> si el puntaje es mayor o igual a 70, </w:t>
      </w:r>
      <w:r>
        <w:rPr>
          <w:rFonts w:ascii="Consolas" w:hAnsi="Consolas" w:cs="Consolas"/>
        </w:rPr>
        <w:t xml:space="preserve">WARM</w:t>
      </w:r>
      <w:r>
        <w:t xml:space="preserve"> si es mayor o igual a 40, y </w:t>
      </w:r>
      <w:r>
        <w:rPr>
          <w:rFonts w:ascii="Consolas" w:hAnsi="Consolas" w:cs="Consolas"/>
        </w:rPr>
        <w:t xml:space="preserve">COLD</w:t>
      </w:r>
      <w:r>
        <w:t xml:space="preserve"> en caso contrario. Un nodo condicional bifurca entonces el flujo: los leads HOT y WARM avanzan a la generación y el envío de la propuesta por correo, mientras que los COLD solo generan una notificación por Telegram, evitando invertir esfuerzo comercial en oportunidades de baja prioridad (OE2).</w:t>
      </w:r>
    </w:p>
    <w:p>
      <w:pPr>
        <w:jc w:val="center"/>
        <w:spacing w:before="0" w:after="120" w:line="240" w:lineRule="auto"/>
      </w:pPr>
      <w:r>
        <w:rPr>
          <w:sz w:val="20"/>
          <w:szCs w:val="20"/>
        </w:rPr>
        <w:t xml:space="preserve">Tabla 4. Reglas de cálculo del score</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00"/>
        <w:gridCol w:w="5400"/>
        <w:gridCol w:w="1400"/>
      </w:tblGrid>
      <w:tr>
        <w:trPr>
          <w:tblHeader/>
        </w:trPr>
        <w:tc>
          <w:tcPr>
            <w:tcW w:w="2200" w:type="dxa"/>
            <w:shd w:val="clear" w:color="auto" w:fill="1F2937"/>
          </w:tcPr>
          <w:p>
            <w:pPr>
              <w:spacing w:after="20" w:line="240" w:lineRule="auto"/>
              <w:jc w:val="left"/>
            </w:pPr>
            <w:r>
              <w:rPr>
                <w:b/>
                <w:color w:val="FFFFFF"/>
              </w:rPr>
              <w:t xml:space="preserve">Criterio</w:t>
            </w:r>
          </w:p>
        </w:tc>
        <w:tc>
          <w:tcPr>
            <w:tcW w:w="5400" w:type="dxa"/>
            <w:shd w:val="clear" w:color="auto" w:fill="1F2937"/>
          </w:tcPr>
          <w:p>
            <w:pPr>
              <w:spacing w:after="20" w:line="240" w:lineRule="auto"/>
              <w:jc w:val="left"/>
            </w:pPr>
            <w:r>
              <w:rPr>
                <w:b/>
                <w:color w:val="FFFFFF"/>
              </w:rPr>
              <w:t xml:space="preserve">Condición</w:t>
            </w:r>
          </w:p>
        </w:tc>
        <w:tc>
          <w:tcPr>
            <w:tcW w:w="1400" w:type="dxa"/>
            <w:shd w:val="clear" w:color="auto" w:fill="1F2937"/>
          </w:tcPr>
          <w:p>
            <w:pPr>
              <w:spacing w:after="20" w:line="240" w:lineRule="auto"/>
              <w:jc w:val="left"/>
            </w:pPr>
            <w:r>
              <w:rPr>
                <w:b/>
                <w:color w:val="FFFFFF"/>
              </w:rPr>
              <w:t xml:space="preserve">Puntos</w:t>
            </w:r>
          </w:p>
        </w:tc>
      </w:tr>
      <w:tr>
        <w:tc>
          <w:tcPr>
            <w:tcW w:w="2200" w:type="dxa"/>
          </w:tcPr>
          <w:p>
            <w:pPr>
              <w:spacing w:after="20" w:line="240" w:lineRule="auto"/>
              <w:jc w:val="left"/>
            </w:pPr>
            <w:r>
              <w:t xml:space="preserve">Presupuesto (USD)</w:t>
            </w:r>
          </w:p>
        </w:tc>
        <w:tc>
          <w:tcPr>
            <w:tcW w:w="5400" w:type="dxa"/>
          </w:tcPr>
          <w:p>
            <w:pPr>
              <w:spacing w:after="20" w:line="240" w:lineRule="auto"/>
              <w:jc w:val="left"/>
            </w:pPr>
            <w:r>
              <w:t xml:space="preserve">≥ 5000 / ≥ 2000 / ≥ 1000 / ≥ 300</w:t>
            </w:r>
          </w:p>
        </w:tc>
        <w:tc>
          <w:tcPr>
            <w:tcW w:w="1400" w:type="dxa"/>
          </w:tcPr>
          <w:p>
            <w:pPr>
              <w:spacing w:after="20" w:line="240" w:lineRule="auto"/>
              <w:jc w:val="left"/>
            </w:pPr>
            <w:r>
              <w:t xml:space="preserve">40 / 30 / 20 / 10</w:t>
            </w:r>
          </w:p>
        </w:tc>
      </w:tr>
      <w:tr>
        <w:tc>
          <w:tcPr>
            <w:tcW w:w="2200" w:type="dxa"/>
          </w:tcPr>
          <w:p>
            <w:pPr>
              <w:spacing w:after="20" w:line="240" w:lineRule="auto"/>
              <w:jc w:val="left"/>
            </w:pPr>
            <w:r>
              <w:t xml:space="preserve">Urgencia</w:t>
            </w:r>
          </w:p>
        </w:tc>
        <w:tc>
          <w:tcPr>
            <w:tcW w:w="5400" w:type="dxa"/>
          </w:tcPr>
          <w:p>
            <w:pPr>
              <w:spacing w:after="20" w:line="240" w:lineRule="auto"/>
              <w:jc w:val="left"/>
            </w:pPr>
            <w:r>
              <w:t xml:space="preserve">alta / media / baja</w:t>
            </w:r>
          </w:p>
        </w:tc>
        <w:tc>
          <w:tcPr>
            <w:tcW w:w="1400" w:type="dxa"/>
          </w:tcPr>
          <w:p>
            <w:pPr>
              <w:spacing w:after="20" w:line="240" w:lineRule="auto"/>
              <w:jc w:val="left"/>
            </w:pPr>
            <w:r>
              <w:t xml:space="preserve">30 / 15 / 5</w:t>
            </w:r>
          </w:p>
        </w:tc>
      </w:tr>
      <w:tr>
        <w:tc>
          <w:tcPr>
            <w:tcW w:w="2200" w:type="dxa"/>
          </w:tcPr>
          <w:p>
            <w:pPr>
              <w:spacing w:after="20" w:line="240" w:lineRule="auto"/>
              <w:jc w:val="left"/>
            </w:pPr>
            <w:r>
              <w:t xml:space="preserve">Servicio</w:t>
            </w:r>
          </w:p>
        </w:tc>
        <w:tc>
          <w:tcPr>
            <w:tcW w:w="5400" w:type="dxa"/>
          </w:tcPr>
          <w:p>
            <w:pPr>
              <w:spacing w:after="20" w:line="240" w:lineRule="auto"/>
              <w:jc w:val="left"/>
            </w:pPr>
            <w:r>
              <w:t xml:space="preserve">desarrollo_web y ecommerce / app_movil y automatizacion / diseno_ui / consultoria / soporte</w:t>
            </w:r>
          </w:p>
        </w:tc>
        <w:tc>
          <w:tcPr>
            <w:tcW w:w="1400" w:type="dxa"/>
          </w:tcPr>
          <w:p>
            <w:pPr>
              <w:spacing w:after="20" w:line="240" w:lineRule="auto"/>
              <w:jc w:val="left"/>
            </w:pPr>
            <w:r>
              <w:t xml:space="preserve">20 / 18 / 15 / 12 / 5</w:t>
            </w:r>
          </w:p>
        </w:tc>
      </w:tr>
      <w:tr>
        <w:tc>
          <w:tcPr>
            <w:tcW w:w="2200" w:type="dxa"/>
          </w:tcPr>
          <w:p>
            <w:pPr>
              <w:spacing w:after="20" w:line="240" w:lineRule="auto"/>
              <w:jc w:val="left"/>
            </w:pPr>
            <w:r>
              <w:t xml:space="preserve">Teléfono</w:t>
            </w:r>
          </w:p>
        </w:tc>
        <w:tc>
          <w:tcPr>
            <w:tcW w:w="5400" w:type="dxa"/>
          </w:tcPr>
          <w:p>
            <w:pPr>
              <w:spacing w:after="20" w:line="240" w:lineRule="auto"/>
              <w:jc w:val="left"/>
            </w:pPr>
            <w:r>
              <w:t xml:space="preserve">longitud mayor a 6 caracteres</w:t>
            </w:r>
          </w:p>
        </w:tc>
        <w:tc>
          <w:tcPr>
            <w:tcW w:w="1400" w:type="dxa"/>
          </w:tcPr>
          <w:p>
            <w:pPr>
              <w:spacing w:after="20" w:line="240" w:lineRule="auto"/>
              <w:jc w:val="left"/>
            </w:pPr>
            <w:r>
              <w:t xml:space="preserve">+5</w:t>
            </w:r>
          </w:p>
        </w:tc>
      </w:tr>
      <w:tr>
        <w:tc>
          <w:tcPr>
            <w:tcW w:w="2200" w:type="dxa"/>
          </w:tcPr>
          <w:p>
            <w:pPr>
              <w:spacing w:after="20" w:line="240" w:lineRule="auto"/>
              <w:jc w:val="left"/>
            </w:pPr>
            <w:r>
              <w:t xml:space="preserve">Descripción</w:t>
            </w:r>
          </w:p>
        </w:tc>
        <w:tc>
          <w:tcPr>
            <w:tcW w:w="5400" w:type="dxa"/>
          </w:tcPr>
          <w:p>
            <w:pPr>
              <w:spacing w:after="20" w:line="240" w:lineRule="auto"/>
              <w:jc w:val="left"/>
            </w:pPr>
            <w:r>
              <w:t xml:space="preserve">longitud mayor a 50 caracteres</w:t>
            </w:r>
          </w:p>
        </w:tc>
        <w:tc>
          <w:tcPr>
            <w:tcW w:w="1400" w:type="dxa"/>
          </w:tcPr>
          <w:p>
            <w:pPr>
              <w:spacing w:after="20" w:line="240" w:lineRule="auto"/>
              <w:jc w:val="left"/>
            </w:pPr>
            <w:r>
              <w:t xml:space="preserve">+5</w:t>
            </w:r>
          </w:p>
        </w:tc>
      </w:tr>
      <w:tr>
        <w:tc>
          <w:tcPr>
            <w:tcW w:w="2200" w:type="dxa"/>
          </w:tcPr>
          <w:p>
            <w:pPr>
              <w:spacing w:after="20" w:line="240" w:lineRule="auto"/>
              <w:jc w:val="left"/>
            </w:pPr>
            <w:r>
              <w:t xml:space="preserve">Clasificación</w:t>
            </w:r>
          </w:p>
        </w:tc>
        <w:tc>
          <w:tcPr>
            <w:tcW w:w="5400" w:type="dxa"/>
          </w:tcPr>
          <w:p>
            <w:pPr>
              <w:spacing w:after="20" w:line="240" w:lineRule="auto"/>
              <w:jc w:val="left"/>
            </w:pPr>
            <w:r>
              <w:t xml:space="preserve">score ≥ 70 → HOT · score ≥ 40 → WARM · resto → COLD</w:t>
            </w:r>
          </w:p>
        </w:tc>
        <w:tc>
          <w:tcPr>
            <w:tcW w:w="1400" w:type="dxa"/>
          </w:tcPr>
          <w:p>
            <w:pPr>
              <w:spacing w:after="20" w:line="240" w:lineRule="auto"/>
              <w:jc w:val="left"/>
            </w:pPr>
            <w:r>
              <w:t xml:space="preserve">—</w:t>
            </w:r>
          </w:p>
        </w:tc>
      </w:tr>
    </w:tbl>
    <w:p/>
    <w:p>
      <w:r>
        <w:t xml:space="preserve">Tras el envío de la propuesta, el nodo </w:t>
      </w:r>
      <w:r>
        <w:rPr>
          <w:i/>
        </w:rPr>
        <w:t xml:space="preserve">Estado Propuesta Enviada</w:t>
      </w:r>
      <w:r>
        <w:t xml:space="preserve"> actualiza el lead al estado </w:t>
      </w:r>
      <w:r>
        <w:rPr>
          <w:rFonts w:ascii="Consolas" w:hAnsi="Consolas" w:cs="Consolas"/>
        </w:rPr>
        <w:t xml:space="preserve">PROPUESTA_ENVIADA</w:t>
      </w:r>
      <w:r>
        <w:t xml:space="preserve"> y registra la fecha; se deja constancia en un registro de auditoría y se notifica al profesional por Telegram.</w:t>
      </w:r>
    </w:p>
    <w:p>
      <w:pPr>
        <w:pStyle w:val="Heading3"/>
      </w:pPr>
      <w:r>
        <w:t xml:space="preserve">4.3.2 Aceptación y facturación (webhook de lead acepta)</w:t>
      </w:r>
    </w:p>
    <w:p>
      <w:r>
        <w:t xml:space="preserve">El webhook </w:t>
      </w:r>
      <w:r>
        <w:rPr>
          <w:rFonts w:ascii="Consolas" w:hAnsi="Consolas" w:cs="Consolas"/>
        </w:rPr>
        <w:t xml:space="preserve">/lead-acepta</w:t>
      </w:r>
      <w:r>
        <w:t xml:space="preserve"> recibe el identificador del lead y el token. El nodo </w:t>
      </w:r>
      <w:r>
        <w:rPr>
          <w:i/>
        </w:rPr>
        <w:t xml:space="preserve">Validar Token</w:t>
      </w:r>
      <w:r>
        <w:t xml:space="preserve"> comprueba la presencia de ambos parámetros y el nodo </w:t>
      </w:r>
      <w:r>
        <w:rPr>
          <w:i/>
        </w:rPr>
        <w:t xml:space="preserve">Buscar Lead</w:t>
      </w:r>
      <w:r>
        <w:t xml:space="preserve"> consulta la tabla </w:t>
      </w:r>
      <w:r>
        <w:rPr>
          <w:rFonts w:ascii="Consolas" w:hAnsi="Consolas" w:cs="Consolas"/>
        </w:rPr>
        <w:t xml:space="preserve">leads</w:t>
      </w:r>
      <w:r>
        <w:t xml:space="preserve"> por identificador y por token de aceptación (</w:t>
      </w:r>
      <w:r>
        <w:rPr>
          <w:rFonts w:ascii="Consolas" w:hAnsi="Consolas" w:cs="Consolas"/>
        </w:rPr>
        <w:t xml:space="preserve">accept_token</w:t>
      </w:r>
      <w:r>
        <w:t xml:space="preserve">), interpretado como valor de tipo UUID. Si el lead es válido, el nodo </w:t>
      </w:r>
      <w:r>
        <w:rPr>
          <w:i/>
        </w:rPr>
        <w:t xml:space="preserve">Marcar Aceptado</w:t>
      </w:r>
      <w:r>
        <w:t xml:space="preserve"> lo actualiza al estado </w:t>
      </w:r>
      <w:r>
        <w:rPr>
          <w:rFonts w:ascii="Consolas" w:hAnsi="Consolas" w:cs="Consolas"/>
        </w:rPr>
        <w:t xml:space="preserve">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la envía por correo, la persiste con </w:t>
      </w:r>
      <w:r>
        <w:rPr>
          <w:i/>
        </w:rPr>
        <w:t xml:space="preserve">Insert Factura</w:t>
      </w:r>
      <w:r>
        <w:t xml:space="preserve"> en la tabla </w:t>
      </w:r>
      <w:r>
        <w:rPr>
          <w:rFonts w:ascii="Consolas" w:hAnsi="Consolas" w:cs="Consolas"/>
        </w:rPr>
        <w:t xml:space="preserve">facturas</w:t>
      </w:r>
      <w:r>
        <w:t xml:space="preserve"> y actualiza el lead al estado </w:t>
      </w:r>
      <w:r>
        <w:rPr>
          <w:rFonts w:ascii="Consolas" w:hAnsi="Consolas" w:cs="Consolas"/>
        </w:rPr>
        <w:t xml:space="preserve">FACTURADO</w:t>
      </w:r>
      <w:r>
        <w:t xml:space="preserve">. El evento se notifica por Telegram y se registra en Notion mediante peticiones HTTP a su API.</w:t>
      </w:r>
    </w:p>
    <w:p>
      <w:pPr>
        <w:pStyle w:val="Heading3"/>
      </w:pPr>
      <w:r>
        <w:t xml:space="preserve">4.3.3 Pago (webhook de pago simulado)</w:t>
      </w:r>
    </w:p>
    <w:p>
      <w:r>
        <w:t xml:space="preserve">El webhook GET </w:t>
      </w:r>
      <w:r>
        <w:rPr>
          <w:rFonts w:ascii="Consolas" w:hAnsi="Consolas" w:cs="Consolas"/>
        </w:rPr>
        <w:t xml:space="preserve">/pago-confirmado</w:t>
      </w:r>
      <w:r>
        <w:t xml:space="preserve"> representa la confirmación de un pago. El nodo </w:t>
      </w:r>
      <w:r>
        <w:rPr>
          <w:i/>
        </w:rPr>
        <w:t xml:space="preserve">Validar Pago</w:t>
      </w:r>
      <w:r>
        <w:t xml:space="preserve"> verifica la solicitud y, si es correcta, el nodo </w:t>
      </w:r>
      <w:r>
        <w:rPr>
          <w:i/>
        </w:rPr>
        <w:t xml:space="preserve">Marcar Cobrado</w:t>
      </w:r>
      <w:r>
        <w:t xml:space="preserve"> actualiza la factura al estado de pago </w:t>
      </w:r>
      <w:r>
        <w:rPr>
          <w:rFonts w:ascii="Consolas" w:hAnsi="Consolas" w:cs="Consolas"/>
        </w:rPr>
        <w:t xml:space="preserve">COBRADO</w:t>
      </w:r>
      <w:r>
        <w:t xml:space="preserve"> y registra la fecha de cobro, únicamente cuando la factura se encontraba en estado </w:t>
      </w:r>
      <w:r>
        <w:rPr>
          <w:rFonts w:ascii="Consolas" w:hAnsi="Consolas" w:cs="Consolas"/>
        </w:rPr>
        <w:t xml:space="preserve">PENDIENTE</w:t>
      </w:r>
      <w:r>
        <w:t xml:space="preserve">; luego notifica por Telegram y responde al cliente. Al tratarse de un pago simulado, este proceso sustituye a la integración con una pasarela real, que se plantea como trabajo futuro.</w:t>
      </w:r>
    </w:p>
    <w:p>
      <w:pPr>
        <w:pStyle w:val="Heading3"/>
      </w:pPr>
      <w:r>
        <w:t xml:space="preserve">4.3.4 Cierre de proyecto (webhook de proyecto cerrado)</w:t>
      </w:r>
    </w:p>
    <w:p>
      <w:r>
        <w:t xml:space="preserve">El webhook POST </w:t>
      </w:r>
      <w:r>
        <w:rPr>
          <w:rFonts w:ascii="Consolas" w:hAnsi="Consolas" w:cs="Consolas"/>
        </w:rPr>
        <w:t xml:space="preserve">/proyecto-cerrado</w:t>
      </w:r>
      <w:r>
        <w:t xml:space="preserve"> cierra el ciclo. El nodo </w:t>
      </w:r>
      <w:r>
        <w:rPr>
          <w:i/>
        </w:rPr>
        <w:t xml:space="preserve">Lead Cerrado</w:t>
      </w:r>
      <w:r>
        <w:t xml:space="preserve"> actualiza el lead al estado </w:t>
      </w:r>
      <w:r>
        <w:rPr>
          <w:rFonts w:ascii="Consolas" w:hAnsi="Consolas" w:cs="Consolas"/>
        </w:rPr>
        <w:t xml:space="preserve">CERRADO</w:t>
      </w:r>
      <w:r>
        <w:t xml:space="preserve">, registra la fecha y calcula la duración total del ciclo en días; el nodo </w:t>
      </w:r>
      <w:r>
        <w:rPr>
          <w:i/>
        </w:rPr>
        <w:t xml:space="preserve">Factura Cobrada</w:t>
      </w:r>
      <w:r>
        <w:t xml:space="preserve"> concilia el estado de la factura. A continuación se notifica el cierre por Telegram y se solicita al cliente un testimonio por correo, cerrando el ciclo de relación.</w:t>
      </w:r>
    </w:p>
    <w:p>
      <w:pPr>
        <w:pStyle w:val="Heading3"/>
      </w:pPr>
      <w:r>
        <w:t xml:space="preserve">4.3.5 Procesos programados</w:t>
      </w:r>
    </w:p>
    <w:p>
      <w:r>
        <w:t xml:space="preserve">Tres disparadores por calendario ejecutan tareas desatendidas (OE5):</w:t>
      </w:r>
    </w:p>
    <w:p>
      <w:pPr>
        <w:pStyle w:val="ListParagraph"/>
        <w:numPr>
          <w:ilvl w:val="0"/>
          <w:numId w:val="1"/>
        </w:numPr>
      </w:pPr>
      <w:r>
        <w:rPr>
          <w:b/>
        </w:rPr>
        <w:t xml:space="preserve">Seguimiento de propuestas</w:t>
      </w:r>
      <w:r>
        <w:t xml:space="preserve"> (de lunes a viernes, 9:00). Lee los leads en estado </w:t>
      </w:r>
      <w:r>
        <w:rPr>
          <w:rFonts w:ascii="Consolas" w:hAnsi="Consolas" w:cs="Consolas"/>
        </w:rPr>
        <w:t xml:space="preserve">PROPUESTA_ENVIADA</w:t>
      </w:r>
      <w:r>
        <w:t xml:space="preserve"> o </w:t>
      </w:r>
      <w:r>
        <w:rPr>
          <w:rFonts w:ascii="Consolas" w:hAnsi="Consolas" w:cs="Consolas"/>
        </w:rPr>
        <w:t xml:space="preserve">EN_SEGUIMIENTO</w:t>
      </w:r>
      <w:r>
        <w:t xml:space="preserve">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w:t>
      </w:r>
      <w:r>
        <w:rPr>
          <w:rFonts w:ascii="Consolas" w:hAnsi="Consolas" w:cs="Consolas"/>
        </w:rPr>
        <w:t xml:space="preserve">PERDIDO</w:t>
      </w:r>
      <w:r>
        <w:t xml:space="preserve">.</w:t>
      </w:r>
    </w:p>
    <w:p>
      <w:pPr>
        <w:pStyle w:val="ListParagraph"/>
        <w:numPr>
          <w:ilvl w:val="0"/>
          <w:numId w:val="1"/>
        </w:numPr>
      </w:pPr>
      <w:r>
        <w:rPr>
          <w:b/>
        </w:rPr>
        <w:t xml:space="preserve">Recordatorios de pago</w:t>
      </w:r>
      <w:r>
        <w:t xml:space="preserve"> (diario, 10:00). Lee la vista </w:t>
      </w:r>
      <w:r>
        <w:rPr>
          <w:rFonts w:ascii="Consolas" w:hAnsi="Consolas" w:cs="Consolas"/>
        </w:rPr>
        <w:t xml:space="preserve">facturas_pendientes</w:t>
      </w:r>
      <w:r>
        <w:t xml:space="preserve">, clasifica cada factura según los días al vencimiento —recordatorio a 3 días, aviso el día del vencimiento, aviso de vencida hasta 3 días y aviso urgente a partir de allí—, envía el correo correspondiente y, en el caso urgente, notifica además por Telegram.</w:t>
      </w:r>
    </w:p>
    <w:p>
      <w:pPr>
        <w:pStyle w:val="ListParagraph"/>
        <w:numPr>
          <w:ilvl w:val="0"/>
          <w:numId w:val="1"/>
        </w:numPr>
      </w:pPr>
      <w:r>
        <w:rPr>
          <w:b/>
        </w:rPr>
        <w:t xml:space="preserve">Reporte diario de métricas</w:t>
      </w:r>
      <w:r>
        <w:t xml:space="preserve"> (diario, 23:59). Lee la vista </w:t>
      </w:r>
      <w:r>
        <w:rPr>
          <w:rFonts w:ascii="Consolas" w:hAnsi="Consolas" w:cs="Consolas"/>
        </w:rPr>
        <w:t xml:space="preserve">metrics_mensuales</w:t>
      </w:r>
      <w:r>
        <w:t xml:space="preserve"> del mes en curso y envía un resumen por Telegram.</w:t>
      </w:r>
    </w:p>
    <w:p>
      <w:pPr>
        <w:pStyle w:val="Heading3"/>
      </w:pPr>
      <w:r>
        <w:t xml:space="preserve">4.3.6 Manejo de errores</w:t>
      </w:r>
    </w:p>
    <w:p>
      <w:r>
        <w:t xml:space="preserve">El flujo incorpora una rama de manejo de errores que formatea la falla, la registra en la base de datos y emite una notificación de error crítico por Telegram, de modo que las anomalías no pasen inadvertidas (RNF3).</w:t>
      </w:r>
    </w:p>
    <w:p>
      <w:pPr>
        <w:pStyle w:val="Heading2"/>
      </w:pPr>
      <w:r>
        <w:t xml:space="preserve">4.4 Modelo de datos</w:t>
      </w:r>
    </w:p>
    <w:p>
      <w:r>
        <w:t xml:space="preserve">El modelo relacional se compone de cinco tablas y dos vistas: cuatro tablas de negocio —</w:t>
      </w:r>
      <w:r>
        <w:rPr>
          <w:rFonts w:ascii="Consolas" w:hAnsi="Consolas" w:cs="Consolas"/>
        </w:rPr>
        <w:t xml:space="preserve">leads</w:t>
      </w:r>
      <w:r>
        <w:t xml:space="preserve">, </w:t>
      </w:r>
      <w:r>
        <w:rPr>
          <w:rFonts w:ascii="Consolas" w:hAnsi="Consolas" w:cs="Consolas"/>
        </w:rPr>
        <w:t xml:space="preserve">facturas</w:t>
      </w:r>
      <w:r>
        <w:t xml:space="preserve">, </w:t>
      </w:r>
      <w:r>
        <w:rPr>
          <w:rFonts w:ascii="Consolas" w:hAnsi="Consolas" w:cs="Consolas"/>
        </w:rPr>
        <w:t xml:space="preserve">seguimientos</w:t>
      </w:r>
      <w:r>
        <w:t xml:space="preserve"> y </w:t>
      </w:r>
      <w:r>
        <w:rPr>
          <w:rFonts w:ascii="Consolas" w:hAnsi="Consolas" w:cs="Consolas"/>
        </w:rPr>
        <w:t xml:space="preserve">logs</w:t>
      </w:r>
      <w:r>
        <w:t xml:space="preserve">— y la tabla </w:t>
      </w:r>
      <w:r>
        <w:rPr>
          <w:rFonts w:ascii="Consolas" w:hAnsi="Consolas" w:cs="Consolas"/>
        </w:rPr>
        <w:t xml:space="preserve">profiles</w:t>
      </w:r>
      <w:r>
        <w:t xml:space="preserve">, que asigna a cada usuario un rol de aplicación (§4.6). La Tabla 5 describe la tabla </w:t>
      </w:r>
      <w:r>
        <w:rPr>
          <w:rFonts w:ascii="Consolas" w:hAnsi="Consolas" w:cs="Consolas"/>
        </w:rPr>
        <w:t xml:space="preserve">leads</w:t>
      </w:r>
      <w:r>
        <w:t xml:space="preserve">, núcleo del sistema, y la Tabla 6 resume las tablas </w:t>
      </w:r>
      <w:r>
        <w:rPr>
          <w:rFonts w:ascii="Consolas" w:hAnsi="Consolas" w:cs="Consolas"/>
        </w:rPr>
        <w:t xml:space="preserve">facturas</w:t>
      </w:r>
      <w:r>
        <w:t xml:space="preserve">, </w:t>
      </w:r>
      <w:r>
        <w:rPr>
          <w:rFonts w:ascii="Consolas" w:hAnsi="Consolas" w:cs="Consolas"/>
        </w:rPr>
        <w:t xml:space="preserve">seguimientos</w:t>
      </w:r>
      <w:r>
        <w:t xml:space="preserve"> y </w:t>
      </w:r>
      <w:r>
        <w:rPr>
          <w:rFonts w:ascii="Consolas" w:hAnsi="Consolas" w:cs="Consolas"/>
        </w:rPr>
        <w:t xml:space="preserve">logs</w:t>
      </w:r>
      <w:r>
        <w:t xml:space="preserve">.</w:t>
      </w:r>
    </w:p>
    <w:p>
      <w:pPr>
        <w:jc w:val="center"/>
        <w:spacing w:before="0" w:after="120" w:line="240" w:lineRule="auto"/>
      </w:pPr>
      <w:r>
        <w:rPr>
          <w:sz w:val="20"/>
          <w:szCs w:val="20"/>
        </w:rPr>
        <w:t xml:space="preserve">Tabla 5. Esquema de la tabla leads (principales columnas)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00"/>
        <w:gridCol w:w="6200"/>
      </w:tblGrid>
      <w:tr>
        <w:trPr>
          <w:tblHeader/>
        </w:trPr>
        <w:tc>
          <w:tcPr>
            <w:tcW w:w="2800" w:type="dxa"/>
            <w:shd w:val="clear" w:color="auto" w:fill="1F2937"/>
          </w:tcPr>
          <w:p>
            <w:pPr>
              <w:spacing w:after="20" w:line="240" w:lineRule="auto"/>
              <w:jc w:val="left"/>
            </w:pPr>
            <w:r>
              <w:rPr>
                <w:b/>
                <w:color w:val="FFFFFF"/>
              </w:rPr>
              <w:t xml:space="preserve">Columna</w:t>
            </w:r>
          </w:p>
        </w:tc>
        <w:tc>
          <w:tcPr>
            <w:tcW w:w="6200" w:type="dxa"/>
            <w:shd w:val="clear" w:color="auto" w:fill="1F2937"/>
          </w:tcPr>
          <w:p>
            <w:pPr>
              <w:spacing w:after="20" w:line="240" w:lineRule="auto"/>
              <w:jc w:val="left"/>
            </w:pPr>
            <w:r>
              <w:rPr>
                <w:b/>
                <w:color w:val="FFFFFF"/>
              </w:rPr>
              <w:t xml:space="preserve">Descripción</w:t>
            </w:r>
          </w:p>
        </w:tc>
      </w:tr>
      <w:tr>
        <w:tc>
          <w:tcPr>
            <w:tcW w:w="2800" w:type="dxa"/>
          </w:tcPr>
          <w:p>
            <w:pPr>
              <w:spacing w:after="20" w:line="240" w:lineRule="auto"/>
              <w:jc w:val="left"/>
            </w:pPr>
            <w:r>
              <w:t xml:space="preserve">lead_id</w:t>
            </w:r>
          </w:p>
        </w:tc>
        <w:tc>
          <w:tcPr>
            <w:tcW w:w="6200" w:type="dxa"/>
          </w:tcPr>
          <w:p>
            <w:pPr>
              <w:spacing w:after="20" w:line="240" w:lineRule="auto"/>
              <w:jc w:val="left"/>
            </w:pPr>
            <w:r>
              <w:t xml:space="preserve">Identificador único del lead (formato LD-&lt;timestamp&gt;-&lt;aleatorio&gt;).</w:t>
            </w:r>
          </w:p>
        </w:tc>
      </w:tr>
      <w:tr>
        <w:tc>
          <w:tcPr>
            <w:tcW w:w="2800" w:type="dxa"/>
          </w:tcPr>
          <w:p>
            <w:pPr>
              <w:spacing w:after="20" w:line="240" w:lineRule="auto"/>
              <w:jc w:val="left"/>
            </w:pPr>
            <w:r>
              <w:t xml:space="preserve">nombre, email, telefono</w:t>
            </w:r>
          </w:p>
        </w:tc>
        <w:tc>
          <w:tcPr>
            <w:tcW w:w="6200" w:type="dxa"/>
          </w:tcPr>
          <w:p>
            <w:pPr>
              <w:spacing w:after="20" w:line="240" w:lineRule="auto"/>
              <w:jc w:val="left"/>
            </w:pPr>
            <w:r>
              <w:t xml:space="preserve">Datos de contacto normalizados.</w:t>
            </w:r>
          </w:p>
        </w:tc>
      </w:tr>
      <w:tr>
        <w:tc>
          <w:tcPr>
            <w:tcW w:w="2800" w:type="dxa"/>
          </w:tcPr>
          <w:p>
            <w:pPr>
              <w:spacing w:after="20" w:line="240" w:lineRule="auto"/>
              <w:jc w:val="left"/>
            </w:pPr>
            <w:r>
              <w:t xml:space="preserve">servicio, presupuesto, urgencia, descripcion</w:t>
            </w:r>
          </w:p>
        </w:tc>
        <w:tc>
          <w:tcPr>
            <w:tcW w:w="6200" w:type="dxa"/>
          </w:tcPr>
          <w:p>
            <w:pPr>
              <w:spacing w:after="20" w:line="240" w:lineRule="auto"/>
              <w:jc w:val="left"/>
            </w:pPr>
            <w:r>
              <w:t xml:space="preserve">Datos del proyecto solicitado.</w:t>
            </w:r>
          </w:p>
        </w:tc>
      </w:tr>
      <w:tr>
        <w:tc>
          <w:tcPr>
            <w:tcW w:w="2800" w:type="dxa"/>
          </w:tcPr>
          <w:p>
            <w:pPr>
              <w:spacing w:after="20" w:line="240" w:lineRule="auto"/>
              <w:jc w:val="left"/>
            </w:pPr>
            <w:r>
              <w:t xml:space="preserve">fuente</w:t>
            </w:r>
          </w:p>
        </w:tc>
        <w:tc>
          <w:tcPr>
            <w:tcW w:w="6200" w:type="dxa"/>
          </w:tcPr>
          <w:p>
            <w:pPr>
              <w:spacing w:after="20" w:line="240" w:lineRule="auto"/>
              <w:jc w:val="left"/>
            </w:pPr>
            <w:r>
              <w:t xml:space="preserve">Origen del lead (por defecto, el formulario web).</w:t>
            </w:r>
          </w:p>
        </w:tc>
      </w:tr>
      <w:tr>
        <w:tc>
          <w:tcPr>
            <w:tcW w:w="2800" w:type="dxa"/>
          </w:tcPr>
          <w:p>
            <w:pPr>
              <w:spacing w:after="20" w:line="240" w:lineRule="auto"/>
              <w:jc w:val="left"/>
            </w:pPr>
            <w:r>
              <w:t xml:space="preserve">score, tier</w:t>
            </w:r>
          </w:p>
        </w:tc>
        <w:tc>
          <w:tcPr>
            <w:tcW w:w="6200" w:type="dxa"/>
          </w:tcPr>
          <w:p>
            <w:pPr>
              <w:spacing w:after="20" w:line="240" w:lineRule="auto"/>
              <w:jc w:val="left"/>
            </w:pPr>
            <w:r>
              <w:t xml:space="preserve">Puntaje calculado y nivel de prioridad (HOT/WARM/COLD).</w:t>
            </w:r>
          </w:p>
        </w:tc>
      </w:tr>
      <w:tr>
        <w:tc>
          <w:tcPr>
            <w:tcW w:w="2800" w:type="dxa"/>
          </w:tcPr>
          <w:p>
            <w:pPr>
              <w:spacing w:after="20" w:line="240" w:lineRule="auto"/>
              <w:jc w:val="left"/>
            </w:pPr>
            <w:r>
              <w:t xml:space="preserve">estado</w:t>
            </w:r>
          </w:p>
        </w:tc>
        <w:tc>
          <w:tcPr>
            <w:tcW w:w="6200" w:type="dxa"/>
          </w:tcPr>
          <w:p>
            <w:pPr>
              <w:spacing w:after="20" w:line="240" w:lineRule="auto"/>
              <w:jc w:val="left"/>
            </w:pPr>
            <w:r>
              <w:t xml:space="preserve">Estado en el embudo (véase Tabla 7).</w:t>
            </w:r>
          </w:p>
        </w:tc>
      </w:tr>
      <w:tr>
        <w:tc>
          <w:tcPr>
            <w:tcW w:w="2800" w:type="dxa"/>
          </w:tcPr>
          <w:p>
            <w:pPr>
              <w:spacing w:after="20" w:line="240" w:lineRule="auto"/>
              <w:jc w:val="left"/>
            </w:pPr>
            <w:r>
              <w:t xml:space="preserve">seguimientos</w:t>
            </w:r>
          </w:p>
        </w:tc>
        <w:tc>
          <w:tcPr>
            <w:tcW w:w="6200" w:type="dxa"/>
          </w:tcPr>
          <w:p>
            <w:pPr>
              <w:spacing w:after="20" w:line="240" w:lineRule="auto"/>
              <w:jc w:val="left"/>
            </w:pPr>
            <w:r>
              <w:t xml:space="preserve">Cantidad de seguimientos realizados.</w:t>
            </w:r>
          </w:p>
        </w:tc>
      </w:tr>
      <w:tr>
        <w:tc>
          <w:tcPr>
            <w:tcW w:w="2800" w:type="dxa"/>
          </w:tcPr>
          <w:p>
            <w:pPr>
              <w:spacing w:after="20" w:line="240" w:lineRule="auto"/>
              <w:jc w:val="left"/>
            </w:pPr>
            <w:r>
              <w:t xml:space="preserve">accept_token</w:t>
            </w:r>
          </w:p>
        </w:tc>
        <w:tc>
          <w:tcPr>
            <w:tcW w:w="6200" w:type="dxa"/>
          </w:tcPr>
          <w:p>
            <w:pPr>
              <w:spacing w:after="20" w:line="240" w:lineRule="auto"/>
              <w:jc w:val="left"/>
            </w:pPr>
            <w:r>
              <w:t xml:space="preserve">Token de un solo uso (UUID) para la aceptación de la propuesta.</w:t>
            </w:r>
          </w:p>
        </w:tc>
      </w:tr>
      <w:tr>
        <w:tc>
          <w:tcPr>
            <w:tcW w:w="2800" w:type="dxa"/>
          </w:tcPr>
          <w:p>
            <w:pPr>
              <w:spacing w:after="20" w:line="240" w:lineRule="auto"/>
              <w:jc w:val="left"/>
            </w:pPr>
            <w:r>
              <w:t xml:space="preserve">fecha_ingreso, fecha_propuesta, fecha_ultimo_seguimiento, fecha_aceptacion, fecha_cierre</w:t>
            </w:r>
          </w:p>
        </w:tc>
        <w:tc>
          <w:tcPr>
            <w:tcW w:w="6200" w:type="dxa"/>
          </w:tcPr>
          <w:p>
            <w:pPr>
              <w:spacing w:after="20" w:line="240" w:lineRule="auto"/>
              <w:jc w:val="left"/>
            </w:pPr>
            <w:r>
              <w:t xml:space="preserve">Marcas temporales del ciclo de vida.</w:t>
            </w:r>
          </w:p>
        </w:tc>
      </w:tr>
      <w:tr>
        <w:tc>
          <w:tcPr>
            <w:tcW w:w="2800" w:type="dxa"/>
          </w:tcPr>
          <w:p>
            <w:pPr>
              <w:spacing w:after="20" w:line="240" w:lineRule="auto"/>
              <w:jc w:val="left"/>
            </w:pPr>
            <w:r>
              <w:t xml:space="preserve">dias_ciclo_completo</w:t>
            </w:r>
          </w:p>
        </w:tc>
        <w:tc>
          <w:tcPr>
            <w:tcW w:w="6200" w:type="dxa"/>
          </w:tcPr>
          <w:p>
            <w:pPr>
              <w:spacing w:after="20" w:line="240" w:lineRule="auto"/>
              <w:jc w:val="left"/>
            </w:pPr>
            <w:r>
              <w:t xml:space="preserve">Duración total del ciclo, calculada al cierre.</w:t>
            </w:r>
          </w:p>
        </w:tc>
      </w:tr>
    </w:tbl>
    <w:p/>
    <w:p>
      <w:pPr>
        <w:jc w:val="center"/>
        <w:spacing w:before="0" w:after="120" w:line="240" w:lineRule="auto"/>
      </w:pPr>
      <w:r>
        <w:rPr>
          <w:sz w:val="20"/>
          <w:szCs w:val="20"/>
        </w:rPr>
        <w:t xml:space="preserve">Tabla 6. Esquema de las tablas facturas, seguimientos y logs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0"/>
        <w:gridCol w:w="7200"/>
      </w:tblGrid>
      <w:tr>
        <w:trPr>
          <w:tblHeader/>
        </w:trPr>
        <w:tc>
          <w:tcPr>
            <w:tcW w:w="1800" w:type="dxa"/>
            <w:shd w:val="clear" w:color="auto" w:fill="1F2937"/>
          </w:tcPr>
          <w:p>
            <w:pPr>
              <w:spacing w:after="20" w:line="240" w:lineRule="auto"/>
              <w:jc w:val="left"/>
            </w:pPr>
            <w:r>
              <w:rPr>
                <w:b/>
                <w:color w:val="FFFFFF"/>
              </w:rPr>
              <w:t xml:space="preserve">Tabla</w:t>
            </w:r>
          </w:p>
        </w:tc>
        <w:tc>
          <w:tcPr>
            <w:tcW w:w="7200" w:type="dxa"/>
            <w:shd w:val="clear" w:color="auto" w:fill="1F2937"/>
          </w:tcPr>
          <w:p>
            <w:pPr>
              <w:spacing w:after="20" w:line="240" w:lineRule="auto"/>
              <w:jc w:val="left"/>
            </w:pPr>
            <w:r>
              <w:rPr>
                <w:b/>
                <w:color w:val="FFFFFF"/>
              </w:rPr>
              <w:t xml:space="preserve">Columnas principales</w:t>
            </w:r>
          </w:p>
        </w:tc>
      </w:tr>
      <w:tr>
        <w:tc>
          <w:tcPr>
            <w:tcW w:w="1800" w:type="dxa"/>
          </w:tcPr>
          <w:p>
            <w:pPr>
              <w:spacing w:after="20" w:line="240" w:lineRule="auto"/>
              <w:jc w:val="left"/>
            </w:pPr>
            <w:r>
              <w:t xml:space="preserve">facturas</w:t>
            </w:r>
          </w:p>
        </w:tc>
        <w:tc>
          <w:tcPr>
            <w:tcW w:w="7200" w:type="dxa"/>
          </w:tcPr>
          <w:p>
            <w:pPr>
              <w:spacing w:after="20" w:line="240" w:lineRule="auto"/>
              <w:jc w:val="left"/>
            </w:pPr>
            <w:r>
              <w:t xml:space="preserve">factura_id, lead_id, cliente, email, servicio, monto, estado_pago (PENDIENTE/COBRADO/VENCIDA/ANULADA), fecha_cobro.</w:t>
            </w:r>
          </w:p>
        </w:tc>
      </w:tr>
      <w:tr>
        <w:tc>
          <w:tcPr>
            <w:tcW w:w="1800" w:type="dxa"/>
          </w:tcPr>
          <w:p>
            <w:pPr>
              <w:spacing w:after="20" w:line="240" w:lineRule="auto"/>
              <w:jc w:val="left"/>
            </w:pPr>
            <w:r>
              <w:t xml:space="preserve">seguimientos</w:t>
            </w:r>
          </w:p>
        </w:tc>
        <w:tc>
          <w:tcPr>
            <w:tcW w:w="7200" w:type="dxa"/>
          </w:tcPr>
          <w:p>
            <w:pPr>
              <w:spacing w:after="20" w:line="240" w:lineRule="auto"/>
              <w:jc w:val="left"/>
            </w:pPr>
            <w:r>
              <w:t xml:space="preserve">lead_id, numero, canal, asunto.</w:t>
            </w:r>
          </w:p>
        </w:tc>
      </w:tr>
      <w:tr>
        <w:tc>
          <w:tcPr>
            <w:tcW w:w="1800" w:type="dxa"/>
          </w:tcPr>
          <w:p>
            <w:pPr>
              <w:spacing w:after="20" w:line="240" w:lineRule="auto"/>
              <w:jc w:val="left"/>
            </w:pPr>
            <w:r>
              <w:t xml:space="preserve">logs</w:t>
            </w:r>
          </w:p>
        </w:tc>
        <w:tc>
          <w:tcPr>
            <w:tcW w:w="7200" w:type="dxa"/>
          </w:tcPr>
          <w:p>
            <w:pPr>
              <w:spacing w:after="20" w:line="240" w:lineRule="auto"/>
              <w:jc w:val="left"/>
            </w:pPr>
            <w:r>
              <w:t xml:space="preserve">workflow, lead_id, evento, nivel, detalle, error_msg — auditoría y registro de errores de los flujos de n8n.</w:t>
            </w:r>
          </w:p>
        </w:tc>
      </w:tr>
    </w:tbl>
    <w:p/>
    <w:p>
      <w:r>
        <w:t xml:space="preserve">Las vistas </w:t>
      </w:r>
      <w:r>
        <w:rPr>
          <w:rFonts w:ascii="Consolas" w:hAnsi="Consolas" w:cs="Consolas"/>
        </w:rPr>
        <w:t xml:space="preserve">metrics_mensuales</w:t>
      </w:r>
      <w:r>
        <w:t xml:space="preserve"> y </w:t>
      </w:r>
      <w:r>
        <w:rPr>
          <w:rFonts w:ascii="Consolas" w:hAnsi="Consolas" w:cs="Consolas"/>
        </w:rPr>
        <w:t xml:space="preserve">facturas_pendientes</w:t>
      </w:r>
      <w:r>
        <w:t xml:space="preserve"> computan, respectivamente, los indicadores mensuales que alimentan el tablero y el listado de facturas con sus días al vencimiento. La Tabla 7 enumera los estados por los que transita un lead.</w:t>
      </w:r>
    </w:p>
    <w:p>
      <w:r>
        <w:t xml:space="preserve">La columna </w:t>
      </w:r>
      <w:r>
        <w:rPr>
          <w:rFonts w:ascii="Consolas" w:hAnsi="Consolas" w:cs="Consolas"/>
        </w:rPr>
        <w:t xml:space="preserve">estado_pago</w:t>
      </w:r>
      <w:r>
        <w:t xml:space="preserve"> de </w:t>
      </w:r>
      <w:r>
        <w:rPr>
          <w:rFonts w:ascii="Consolas" w:hAnsi="Consolas" w:cs="Consolas"/>
        </w:rPr>
        <w:t xml:space="preserve">facturas</w:t>
      </w:r>
      <w:r>
        <w:t xml:space="preserve"> transita por cuatro estados: </w:t>
      </w:r>
      <w:r>
        <w:rPr>
          <w:rFonts w:ascii="Consolas" w:hAnsi="Consolas" w:cs="Consolas"/>
        </w:rPr>
        <w:t xml:space="preserve">PENDIENTE</w:t>
      </w:r>
      <w:r>
        <w:t xml:space="preserve"> (factura emitida, aún sin cobrar), </w:t>
      </w:r>
      <w:r>
        <w:rPr>
          <w:rFonts w:ascii="Consolas" w:hAnsi="Consolas" w:cs="Consolas"/>
        </w:rPr>
        <w:t xml:space="preserve">COBRADO</w:t>
      </w:r>
      <w:r>
        <w:t xml:space="preserve"> (pago registrado), </w:t>
      </w:r>
      <w:r>
        <w:rPr>
          <w:rFonts w:ascii="Consolas" w:hAnsi="Consolas" w:cs="Consolas"/>
        </w:rPr>
        <w:t xml:space="preserve">VENCIDA</w:t>
      </w:r>
      <w:r>
        <w:t xml:space="preserve"> (se superó la fecha de vencimiento sin cobro) y </w:t>
      </w:r>
      <w:r>
        <w:rPr>
          <w:rFonts w:ascii="Consolas" w:hAnsi="Consolas" w:cs="Consolas"/>
        </w:rPr>
        <w:t xml:space="preserve">ANULADA</w:t>
      </w:r>
      <w:r>
        <w:t xml:space="preserve"> (factura anulada o cancelada).</w:t>
      </w:r>
    </w:p>
    <w:p>
      <w:pPr>
        <w:jc w:val="center"/>
        <w:spacing w:before="0" w:after="120" w:line="240" w:lineRule="auto"/>
      </w:pPr>
      <w:r>
        <w:rPr>
          <w:sz w:val="20"/>
          <w:szCs w:val="20"/>
        </w:rPr>
        <w:t xml:space="preserve">Tabla 7. Estados del ciclo de vida del lead</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0"/>
        <w:gridCol w:w="6400"/>
      </w:tblGrid>
      <w:tr>
        <w:trPr>
          <w:tblHeader/>
        </w:trPr>
        <w:tc>
          <w:tcPr>
            <w:tcW w:w="2600" w:type="dxa"/>
            <w:shd w:val="clear" w:color="auto" w:fill="1F2937"/>
          </w:tcPr>
          <w:p>
            <w:pPr>
              <w:spacing w:after="20" w:line="240" w:lineRule="auto"/>
              <w:jc w:val="left"/>
            </w:pPr>
            <w:r>
              <w:rPr>
                <w:b/>
                <w:color w:val="FFFFFF"/>
              </w:rPr>
              <w:t xml:space="preserve">Estado</w:t>
            </w:r>
          </w:p>
        </w:tc>
        <w:tc>
          <w:tcPr>
            <w:tcW w:w="6400" w:type="dxa"/>
            <w:shd w:val="clear" w:color="auto" w:fill="1F2937"/>
          </w:tcPr>
          <w:p>
            <w:pPr>
              <w:spacing w:after="20" w:line="240" w:lineRule="auto"/>
              <w:jc w:val="left"/>
            </w:pPr>
            <w:r>
              <w:rPr>
                <w:b/>
                <w:color w:val="FFFFFF"/>
              </w:rPr>
              <w:t xml:space="preserve">Significado</w:t>
            </w:r>
          </w:p>
        </w:tc>
      </w:tr>
      <w:tr>
        <w:tc>
          <w:tcPr>
            <w:tcW w:w="2600" w:type="dxa"/>
          </w:tcPr>
          <w:p>
            <w:pPr>
              <w:spacing w:after="20" w:line="240" w:lineRule="auto"/>
              <w:jc w:val="left"/>
            </w:pPr>
            <w:r>
              <w:t xml:space="preserve">NUEVO</w:t>
            </w:r>
          </w:p>
        </w:tc>
        <w:tc>
          <w:tcPr>
            <w:tcW w:w="6400" w:type="dxa"/>
          </w:tcPr>
          <w:p>
            <w:pPr>
              <w:spacing w:after="20" w:line="240" w:lineRule="auto"/>
              <w:jc w:val="left"/>
            </w:pPr>
            <w:r>
              <w:t xml:space="preserve">Lead recién ingresado y normalizado.</w:t>
            </w:r>
          </w:p>
        </w:tc>
      </w:tr>
      <w:tr>
        <w:tc>
          <w:tcPr>
            <w:tcW w:w="2600" w:type="dxa"/>
          </w:tcPr>
          <w:p>
            <w:pPr>
              <w:spacing w:after="20" w:line="240" w:lineRule="auto"/>
              <w:jc w:val="left"/>
            </w:pPr>
            <w:r>
              <w:t xml:space="preserve">PROPUESTA_ENVIADA</w:t>
            </w:r>
          </w:p>
        </w:tc>
        <w:tc>
          <w:tcPr>
            <w:tcW w:w="6400" w:type="dxa"/>
          </w:tcPr>
          <w:p>
            <w:pPr>
              <w:spacing w:after="20" w:line="240" w:lineRule="auto"/>
              <w:jc w:val="left"/>
            </w:pPr>
            <w:r>
              <w:t xml:space="preserve">Se envió la propuesta al cliente.</w:t>
            </w:r>
          </w:p>
        </w:tc>
      </w:tr>
      <w:tr>
        <w:tc>
          <w:tcPr>
            <w:tcW w:w="2600" w:type="dxa"/>
          </w:tcPr>
          <w:p>
            <w:pPr>
              <w:spacing w:after="20" w:line="240" w:lineRule="auto"/>
              <w:jc w:val="left"/>
            </w:pPr>
            <w:r>
              <w:t xml:space="preserve">EN_SEGUIMIENTO</w:t>
            </w:r>
          </w:p>
        </w:tc>
        <w:tc>
          <w:tcPr>
            <w:tcW w:w="6400" w:type="dxa"/>
          </w:tcPr>
          <w:p>
            <w:pPr>
              <w:spacing w:after="20" w:line="240" w:lineRule="auto"/>
              <w:jc w:val="left"/>
            </w:pPr>
            <w:r>
              <w:t xml:space="preserve">Se realizó al menos un seguimiento sin respuesta.</w:t>
            </w:r>
          </w:p>
        </w:tc>
      </w:tr>
      <w:tr>
        <w:tc>
          <w:tcPr>
            <w:tcW w:w="2600" w:type="dxa"/>
          </w:tcPr>
          <w:p>
            <w:pPr>
              <w:spacing w:after="20" w:line="240" w:lineRule="auto"/>
              <w:jc w:val="left"/>
            </w:pPr>
            <w:r>
              <w:t xml:space="preserve">ACEPTADO</w:t>
            </w:r>
          </w:p>
        </w:tc>
        <w:tc>
          <w:tcPr>
            <w:tcW w:w="6400" w:type="dxa"/>
          </w:tcPr>
          <w:p>
            <w:pPr>
              <w:spacing w:after="20" w:line="240" w:lineRule="auto"/>
              <w:jc w:val="left"/>
            </w:pPr>
            <w:r>
              <w:t xml:space="preserve">El cliente aceptó la propuesta mediante el enlace con token.</w:t>
            </w:r>
          </w:p>
        </w:tc>
      </w:tr>
      <w:tr>
        <w:tc>
          <w:tcPr>
            <w:tcW w:w="2600" w:type="dxa"/>
          </w:tcPr>
          <w:p>
            <w:pPr>
              <w:spacing w:after="20" w:line="240" w:lineRule="auto"/>
              <w:jc w:val="left"/>
            </w:pPr>
            <w:r>
              <w:t xml:space="preserve">FACTURADO</w:t>
            </w:r>
          </w:p>
        </w:tc>
        <w:tc>
          <w:tcPr>
            <w:tcW w:w="6400" w:type="dxa"/>
          </w:tcPr>
          <w:p>
            <w:pPr>
              <w:spacing w:after="20" w:line="240" w:lineRule="auto"/>
              <w:jc w:val="left"/>
            </w:pPr>
            <w:r>
              <w:t xml:space="preserve">Se generó y envió la factura.</w:t>
            </w:r>
          </w:p>
        </w:tc>
      </w:tr>
      <w:tr>
        <w:tc>
          <w:tcPr>
            <w:tcW w:w="2600" w:type="dxa"/>
          </w:tcPr>
          <w:p>
            <w:pPr>
              <w:spacing w:after="20" w:line="240" w:lineRule="auto"/>
              <w:jc w:val="left"/>
            </w:pPr>
            <w:r>
              <w:t xml:space="preserve">CERRADO</w:t>
            </w:r>
          </w:p>
        </w:tc>
        <w:tc>
          <w:tcPr>
            <w:tcW w:w="6400" w:type="dxa"/>
          </w:tcPr>
          <w:p>
            <w:pPr>
              <w:spacing w:after="20" w:line="240" w:lineRule="auto"/>
              <w:jc w:val="left"/>
            </w:pPr>
            <w:r>
              <w:t xml:space="preserve">El proyecto se cerró y se registró la duración del ciclo.</w:t>
            </w:r>
          </w:p>
        </w:tc>
      </w:tr>
      <w:tr>
        <w:tc>
          <w:tcPr>
            <w:tcW w:w="2600" w:type="dxa"/>
          </w:tcPr>
          <w:p>
            <w:pPr>
              <w:spacing w:after="20" w:line="240" w:lineRule="auto"/>
              <w:jc w:val="left"/>
            </w:pPr>
            <w:r>
              <w:t xml:space="preserve">PERDIDO</w:t>
            </w:r>
          </w:p>
        </w:tc>
        <w:tc>
          <w:tcPr>
            <w:tcW w:w="6400" w:type="dxa"/>
          </w:tcPr>
          <w:p>
            <w:pPr>
              <w:spacing w:after="20" w:line="240" w:lineRule="auto"/>
              <w:jc w:val="left"/>
            </w:pPr>
            <w:r>
              <w:t xml:space="preserve">Se agotaron los seguimientos sin respuesta.</w:t>
            </w:r>
          </w:p>
        </w:tc>
      </w:tr>
    </w:tbl>
    <w:p/>
    <w:p>
      <w:pPr>
        <w:pStyle w:val="Heading2"/>
      </w:pPr>
      <w:r>
        <w:t xml:space="preserve">4.5 Contratos de integración</w:t>
      </w:r>
    </w:p>
    <w:p>
      <w:r>
        <w:t xml:space="preserve">La comunicación entre el frontend y n8n se realiza mediante los webhooks de la Tabla 8. El frontend envía el lead como un objeto JSON con los campos del formulario más metadatos de origen y marca temporal, y consume la respuesta de la aceptación para informar el desenlace al cliente.</w:t>
      </w:r>
    </w:p>
    <w:p>
      <w:pPr>
        <w:jc w:val="center"/>
        <w:spacing w:before="0" w:after="120" w:line="240" w:lineRule="auto"/>
      </w:pPr>
      <w:r>
        <w:rPr>
          <w:sz w:val="20"/>
          <w:szCs w:val="20"/>
        </w:rPr>
        <w:t xml:space="preserve">Tabla 8. Contratos de integración (webhooks de n8n)</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00"/>
        <w:gridCol w:w="1200"/>
        <w:gridCol w:w="5400"/>
      </w:tblGrid>
      <w:tr>
        <w:trPr>
          <w:tblHeader/>
        </w:trPr>
        <w:tc>
          <w:tcPr>
            <w:tcW w:w="2400" w:type="dxa"/>
            <w:shd w:val="clear" w:color="auto" w:fill="1F2937"/>
          </w:tcPr>
          <w:p>
            <w:pPr>
              <w:spacing w:after="20" w:line="240" w:lineRule="auto"/>
              <w:jc w:val="left"/>
            </w:pPr>
            <w:r>
              <w:rPr>
                <w:b/>
                <w:color w:val="FFFFFF"/>
              </w:rPr>
              <w:t xml:space="preserve">Webhook</w:t>
            </w:r>
          </w:p>
        </w:tc>
        <w:tc>
          <w:tcPr>
            <w:tcW w:w="1200" w:type="dxa"/>
            <w:shd w:val="clear" w:color="auto" w:fill="1F2937"/>
          </w:tcPr>
          <w:p>
            <w:pPr>
              <w:spacing w:after="20" w:line="240" w:lineRule="auto"/>
              <w:jc w:val="left"/>
            </w:pPr>
            <w:r>
              <w:rPr>
                <w:b/>
                <w:color w:val="FFFFFF"/>
              </w:rPr>
              <w:t xml:space="preserve">Método</w:t>
            </w:r>
          </w:p>
        </w:tc>
        <w:tc>
          <w:tcPr>
            <w:tcW w:w="5400" w:type="dxa"/>
            <w:shd w:val="clear" w:color="auto" w:fill="1F2937"/>
          </w:tcPr>
          <w:p>
            <w:pPr>
              <w:spacing w:after="20" w:line="240" w:lineRule="auto"/>
              <w:jc w:val="left"/>
            </w:pPr>
            <w:r>
              <w:rPr>
                <w:b/>
                <w:color w:val="FFFFFF"/>
              </w:rPr>
              <w:t xml:space="preserve">Propósito</w:t>
            </w:r>
          </w:p>
        </w:tc>
      </w:tr>
      <w:tr>
        <w:tc>
          <w:tcPr>
            <w:tcW w:w="2400" w:type="dxa"/>
          </w:tcPr>
          <w:p>
            <w:pPr>
              <w:spacing w:after="20" w:line="240" w:lineRule="auto"/>
              <w:jc w:val="left"/>
            </w:pPr>
            <w:r>
              <w:t xml:space="preserve">/lead/nuevo</w:t>
            </w:r>
          </w:p>
        </w:tc>
        <w:tc>
          <w:tcPr>
            <w:tcW w:w="1200" w:type="dxa"/>
          </w:tcPr>
          <w:p>
            <w:pPr>
              <w:spacing w:after="20" w:line="240" w:lineRule="auto"/>
              <w:jc w:val="left"/>
            </w:pPr>
            <w:r>
              <w:t xml:space="preserve">POST</w:t>
            </w:r>
          </w:p>
        </w:tc>
        <w:tc>
          <w:tcPr>
            <w:tcW w:w="5400" w:type="dxa"/>
          </w:tcPr>
          <w:p>
            <w:pPr>
              <w:spacing w:after="20" w:line="240" w:lineRule="auto"/>
              <w:jc w:val="left"/>
            </w:pPr>
            <w:r>
              <w:t xml:space="preserve">Ingreso de un nuevo lead desde el formulario web.</w:t>
            </w:r>
          </w:p>
        </w:tc>
      </w:tr>
      <w:tr>
        <w:tc>
          <w:tcPr>
            <w:tcW w:w="2400" w:type="dxa"/>
          </w:tcPr>
          <w:p>
            <w:pPr>
              <w:spacing w:after="20" w:line="240" w:lineRule="auto"/>
              <w:jc w:val="left"/>
            </w:pPr>
            <w:r>
              <w:t xml:space="preserve">/lead-acepta</w:t>
            </w:r>
          </w:p>
        </w:tc>
        <w:tc>
          <w:tcPr>
            <w:tcW w:w="1200" w:type="dxa"/>
          </w:tcPr>
          <w:p>
            <w:pPr>
              <w:spacing w:after="20" w:line="240" w:lineRule="auto"/>
              <w:jc w:val="left"/>
            </w:pPr>
            <w:r>
              <w:t xml:space="preserve">POST</w:t>
            </w:r>
          </w:p>
        </w:tc>
        <w:tc>
          <w:tcPr>
            <w:tcW w:w="5400" w:type="dxa"/>
          </w:tcPr>
          <w:p>
            <w:pPr>
              <w:spacing w:after="20" w:line="240" w:lineRule="auto"/>
              <w:jc w:val="left"/>
            </w:pPr>
            <w:r>
              <w:t xml:space="preserve">Aceptación de la propuesta (identificador + token).</w:t>
            </w:r>
          </w:p>
        </w:tc>
      </w:tr>
      <w:tr>
        <w:tc>
          <w:tcPr>
            <w:tcW w:w="2400" w:type="dxa"/>
          </w:tcPr>
          <w:p>
            <w:pPr>
              <w:spacing w:after="20" w:line="240" w:lineRule="auto"/>
              <w:jc w:val="left"/>
            </w:pPr>
            <w:r>
              <w:t xml:space="preserve">/pago-confirmado</w:t>
            </w:r>
          </w:p>
        </w:tc>
        <w:tc>
          <w:tcPr>
            <w:tcW w:w="1200" w:type="dxa"/>
          </w:tcPr>
          <w:p>
            <w:pPr>
              <w:spacing w:after="20" w:line="240" w:lineRule="auto"/>
              <w:jc w:val="left"/>
            </w:pPr>
            <w:r>
              <w:t xml:space="preserve">GET</w:t>
            </w:r>
          </w:p>
        </w:tc>
        <w:tc>
          <w:tcPr>
            <w:tcW w:w="5400" w:type="dxa"/>
          </w:tcPr>
          <w:p>
            <w:pPr>
              <w:spacing w:after="20" w:line="240" w:lineRule="auto"/>
              <w:jc w:val="left"/>
            </w:pPr>
            <w:r>
              <w:t xml:space="preserve">Confirmación de pago (simulada).</w:t>
            </w:r>
          </w:p>
        </w:tc>
      </w:tr>
      <w:tr>
        <w:tc>
          <w:tcPr>
            <w:tcW w:w="2400" w:type="dxa"/>
          </w:tcPr>
          <w:p>
            <w:pPr>
              <w:spacing w:after="20" w:line="240" w:lineRule="auto"/>
              <w:jc w:val="left"/>
            </w:pPr>
            <w:r>
              <w:t xml:space="preserve">/proyecto-cerrado</w:t>
            </w:r>
          </w:p>
        </w:tc>
        <w:tc>
          <w:tcPr>
            <w:tcW w:w="1200" w:type="dxa"/>
          </w:tcPr>
          <w:p>
            <w:pPr>
              <w:spacing w:after="20" w:line="240" w:lineRule="auto"/>
              <w:jc w:val="left"/>
            </w:pPr>
            <w:r>
              <w:t xml:space="preserve">POST</w:t>
            </w:r>
          </w:p>
        </w:tc>
        <w:tc>
          <w:tcPr>
            <w:tcW w:w="5400" w:type="dxa"/>
          </w:tcPr>
          <w:p>
            <w:pPr>
              <w:spacing w:after="20" w:line="240" w:lineRule="auto"/>
              <w:jc w:val="left"/>
            </w:pPr>
            <w:r>
              <w:t xml:space="preserve">Cierre del proyecto y solicitud de testimonio.</w:t>
            </w:r>
          </w:p>
        </w:tc>
      </w:tr>
    </w:tbl>
    <w:p/>
    <w:p>
      <w:pPr>
        <w:pStyle w:val="Heading2"/>
      </w:pPr>
      <w:r>
        <w:t xml:space="preserve">4.6 Seguridad</w:t>
      </w:r>
    </w:p>
    <w:p>
      <w:r>
        <w:t xml:space="preserve">El acceso al tablero requiere autenticación con Supabase Auth. Sobre las tablas de negocio se habilita la seguridad a nivel de fila con políticas que otorgan lectura únicamente a los usuarios autenticados con rol admin (registrado en la tabla profiles), mientras que las vistas se declaran con la opción </w:t>
      </w:r>
      <w:r>
        <w:rPr>
          <w:rFonts w:ascii="Consolas" w:hAnsi="Consolas" w:cs="Consolas"/>
        </w:rPr>
        <w:t xml:space="preserve">security_invoker</w:t>
      </w:r>
      <w:r>
        <w:t xml:space="preserve"> para que respeten las políticas de las tablas subyacentes. La escritura la realiza exclusivamente n8n con una clave de servicio que, por diseño, evade la RLS, de modo que la creación de leads y facturas no queda bloqueada por las políticas de solo lectura. La aceptación de propuestas se protege con el token de un solo uso, sin exigir cuenta. Este conjunto de mecanismos materializa los RNF1 y RNF2.</w:t>
      </w:r>
    </w:p>
    <w:p>
      <w:pPr>
        <w:pStyle w:val="Heading2"/>
      </w:pPr>
      <w:r>
        <w:t xml:space="preserve">4.7 Decisiones de diseño</w:t>
      </w:r>
    </w:p>
    <w:p>
      <w:r>
        <w:t xml:space="preserve">Se destacan tres decisiones. Primera, el </w:t>
      </w:r>
      <w:r>
        <w:rPr>
          <w:b/>
        </w:rPr>
        <w:t xml:space="preserve">patrón de tres clientes de Supabase</w:t>
      </w:r>
      <w:r>
        <w:t xml:space="preserve">, que separa las responsabilidades de navegador, servidor y borde, en línea con el modelo de renderizado híbrido de Next.js. Segunda, la </w:t>
      </w:r>
      <w:r>
        <w:rPr>
          <w:b/>
        </w:rPr>
        <w:t xml:space="preserve">degradación defensiva</w:t>
      </w:r>
      <w:r>
        <w:t xml:space="preserve"> ante la ausencia de variables de entorno, que privilegia la resiliencia del despliegue. Tercera, la elección de </w:t>
      </w:r>
      <w:r>
        <w:rPr>
          <w:b/>
        </w:rPr>
        <w:t xml:space="preserve">tiempo real por suscripción</w:t>
      </w:r>
      <w:r>
        <w:t xml:space="preserve"> frente al sondeo periódico para el tablero, que reduce la latencia de actualización y el consumo innecesario de recursos.</w:t>
      </w:r>
    </w:p>
    <w:p>
      <w:pPr>
        <w:pStyle w:val="Heading2"/>
      </w:pPr>
      <w:r>
        <w:t xml:space="preserve">4.8 Reglas de negocio</w:t>
      </w:r>
    </w:p>
    <w:p>
      <w:r>
        <w:t xml:space="preserve">El sistema aplica, de forma consistente, las siguientes reglas: solo se procesan leads que superan la validación mínima; todo lead inicia en estado </w:t>
      </w:r>
      <w:r>
        <w:rPr>
          <w:rFonts w:ascii="Consolas" w:hAnsi="Consolas" w:cs="Consolas"/>
        </w:rPr>
        <w:t xml:space="preserve">NUEVO</w:t>
      </w:r>
      <w:r>
        <w:t xml:space="preserve"> con score cero hasta su calificación; solo los leads HOT y WARM reciben propuesta; la aceptación es idempotente respecto del token, que no puede reutilizarse; los seguimientos se espacian de forma creciente y se limitan a tres; y una factura solo puede pasar a </w:t>
      </w:r>
      <w:r>
        <w:rPr>
          <w:rFonts w:ascii="Consolas" w:hAnsi="Consolas" w:cs="Consolas"/>
        </w:rPr>
        <w:t xml:space="preserve">COBRADO</w:t>
      </w:r>
      <w:r>
        <w:t xml:space="preserve"> desde el estado </w:t>
      </w:r>
      <w:r>
        <w:rPr>
          <w:rFonts w:ascii="Consolas" w:hAnsi="Consolas" w:cs="Consolas"/>
        </w:rPr>
        <w:t xml:space="preserve">PENDIENTE</w:t>
      </w:r>
      <w:r>
        <w:t xml:space="preserve">; una factura </w:t>
      </w:r>
      <w:r>
        <w:rPr>
          <w:rFonts w:ascii="Consolas" w:hAnsi="Consolas" w:cs="Consolas"/>
        </w:rPr>
        <w:t xml:space="preserve">PENDIENTE</w:t>
      </w:r>
      <w:r>
        <w:t xml:space="preserve"> pasa a </w:t>
      </w:r>
      <w:r>
        <w:rPr>
          <w:rFonts w:ascii="Consolas" w:hAnsi="Consolas" w:cs="Consolas"/>
        </w:rPr>
        <w:t xml:space="preserve">VENCIDA</w:t>
      </w:r>
      <w:r>
        <w:t xml:space="preserve"> cuando supera su fecha de vencimiento sin cobro, y a </w:t>
      </w:r>
      <w:r>
        <w:rPr>
          <w:rFonts w:ascii="Consolas" w:hAnsi="Consolas" w:cs="Consolas"/>
        </w:rPr>
        <w:t xml:space="preserve">ANULADA</w:t>
      </w:r>
      <w:r>
        <w:t xml:space="preserve"> si se cancela.</w:t>
      </w:r>
    </w:p>
    <w:p>
      <w:r>
        <w:br w:type="page"/>
      </w:r>
    </w:p>
    <w:p>
      <w:pPr>
        <w:pStyle w:val="Heading1"/>
      </w:pPr>
      <w:r>
        <w:t xml:space="preserve">Capítulo 5: Resultados y Validación</w:t>
      </w:r>
    </w:p>
    <w:p>
      <w:r>
        <w:t xml:space="preserve">Los resultados que se presentan corresponden a la ejecución de escenarios de prueba controlados, concebidos para verificar el comportamiento del sistema, y no a métricas de operación en producción, que exceden el alcance del trabajo (véase el Capítulo 6). Cada escenario se describe con su entrada, el resultado esperado según las reglas de diseño, el resultado observado en la ejecución y la evidencia asociada (a incorporar).</w:t>
      </w:r>
    </w:p>
    <w:p>
      <w:pPr>
        <w:jc w:val="center"/>
        <w:spacing w:before="0" w:after="120" w:line="240" w:lineRule="auto"/>
      </w:pPr>
      <w:r>
        <w:rPr>
          <w:sz w:val="20"/>
          <w:szCs w:val="20"/>
        </w:rPr>
        <w:t xml:space="preserve">Tabla 9. Escenarios de validación</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0"/>
        <w:gridCol w:w="2500"/>
        <w:gridCol w:w="2200"/>
        <w:gridCol w:w="2200"/>
        <w:gridCol w:w="1600"/>
      </w:tblGrid>
      <w:tr>
        <w:trPr>
          <w:tblHeader/>
        </w:trPr>
        <w:tc>
          <w:tcPr>
            <w:tcW w:w="500" w:type="dxa"/>
            <w:shd w:val="clear" w:color="auto" w:fill="1F2937"/>
          </w:tcPr>
          <w:p>
            <w:pPr>
              <w:spacing w:after="20" w:line="240" w:lineRule="auto"/>
              <w:jc w:val="left"/>
            </w:pPr>
            <w:r>
              <w:rPr>
                <w:b/>
                <w:color w:val="FFFFFF"/>
              </w:rPr>
              <w:t xml:space="preserve">#</w:t>
            </w:r>
          </w:p>
        </w:tc>
        <w:tc>
          <w:tcPr>
            <w:tcW w:w="2500" w:type="dxa"/>
            <w:shd w:val="clear" w:color="auto" w:fill="1F2937"/>
          </w:tcPr>
          <w:p>
            <w:pPr>
              <w:spacing w:after="20" w:line="240" w:lineRule="auto"/>
              <w:jc w:val="left"/>
            </w:pPr>
            <w:r>
              <w:rPr>
                <w:b/>
                <w:color w:val="FFFFFF"/>
              </w:rPr>
              <w:t xml:space="preserve">Escenario / entrada</w:t>
            </w:r>
          </w:p>
        </w:tc>
        <w:tc>
          <w:tcPr>
            <w:tcW w:w="2200" w:type="dxa"/>
            <w:shd w:val="clear" w:color="auto" w:fill="1F2937"/>
          </w:tcPr>
          <w:p>
            <w:pPr>
              <w:spacing w:after="20" w:line="240" w:lineRule="auto"/>
              <w:jc w:val="left"/>
            </w:pPr>
            <w:r>
              <w:rPr>
                <w:b/>
                <w:color w:val="FFFFFF"/>
              </w:rPr>
              <w:t xml:space="preserve">Resultado esperado</w:t>
            </w:r>
          </w:p>
        </w:tc>
        <w:tc>
          <w:tcPr>
            <w:tcW w:w="2200" w:type="dxa"/>
            <w:shd w:val="clear" w:color="auto" w:fill="1F2937"/>
          </w:tcPr>
          <w:p>
            <w:pPr>
              <w:spacing w:after="20" w:line="240" w:lineRule="auto"/>
              <w:jc w:val="left"/>
            </w:pPr>
            <w:r>
              <w:rPr>
                <w:b/>
                <w:color w:val="FFFFFF"/>
              </w:rPr>
              <w:t xml:space="preserve">Resultado observado</w:t>
            </w:r>
          </w:p>
        </w:tc>
        <w:tc>
          <w:tcPr>
            <w:tcW w:w="1600" w:type="dxa"/>
            <w:shd w:val="clear" w:color="auto" w:fill="1F2937"/>
          </w:tcPr>
          <w:p>
            <w:pPr>
              <w:spacing w:after="20" w:line="240" w:lineRule="auto"/>
              <w:jc w:val="left"/>
            </w:pPr>
            <w:r>
              <w:rPr>
                <w:b/>
                <w:color w:val="FFFFFF"/>
              </w:rPr>
              <w:t xml:space="preserve">Evidencia</w:t>
            </w:r>
          </w:p>
        </w:tc>
      </w:tr>
      <w:tr>
        <w:tc>
          <w:tcPr>
            <w:tcW w:w="500" w:type="dxa"/>
          </w:tcPr>
          <w:p>
            <w:pPr>
              <w:spacing w:after="20" w:line="240" w:lineRule="auto"/>
              <w:jc w:val="left"/>
            </w:pPr>
            <w:r>
              <w:t xml:space="preserve">E1</w:t>
            </w:r>
          </w:p>
        </w:tc>
        <w:tc>
          <w:tcPr>
            <w:tcW w:w="2500" w:type="dxa"/>
          </w:tcPr>
          <w:p>
            <w:pPr>
              <w:spacing w:after="20" w:line="240" w:lineRule="auto"/>
              <w:jc w:val="left"/>
            </w:pPr>
            <w:r>
              <w:t xml:space="preserve">Lead válido de alto valor: desarrollo web, USD 5000, urgencia alta, descripción extensa.</w:t>
            </w:r>
          </w:p>
        </w:tc>
        <w:tc>
          <w:tcPr>
            <w:tcW w:w="2200" w:type="dxa"/>
          </w:tcPr>
          <w:p>
            <w:pPr>
              <w:spacing w:after="20" w:line="240" w:lineRule="auto"/>
              <w:jc w:val="left"/>
            </w:pPr>
            <w:r>
              <w:t xml:space="preserve">Presupuesto y urgencia altos deben normalizarse correctamente, obtener un score elevado y clasificarse como HOT, con generación y envío automático de la propuesta (estado PROPUESTA_ENVIADA), según las reglas de scoring (Tabla 4).</w:t>
            </w:r>
          </w:p>
        </w:tc>
        <w:tc>
          <w:tcPr>
            <w:tcW w:w="2200" w:type="dxa"/>
          </w:tcPr>
          <w:p>
            <w:pPr>
              <w:spacing w:after="20" w:line="240" w:lineRule="auto"/>
              <w:jc w:val="left"/>
            </w:pPr>
            <w:r>
              <w:t xml:space="preserve">Normalización correcta; score elevado; clasificación HOT; propuesta generada y enviada; estado PROPUESTA_ENVIADA.</w:t>
            </w:r>
          </w:p>
        </w:tc>
        <w:tc>
          <w:tcPr>
            <w:tcW w:w="1600" w:type="dxa"/>
          </w:tcPr>
          <w:p>
            <w:pPr>
              <w:spacing w:after="20" w:line="240" w:lineRule="auto"/>
              <w:jc w:val="left"/>
            </w:pPr>
            <w:r>
              <w:t xml:space="preserve">Pendiente — adjuntar captura del tablero y/o registro de ejecución de n8n para E1.</w:t>
            </w:r>
          </w:p>
        </w:tc>
      </w:tr>
      <w:tr>
        <w:tc>
          <w:tcPr>
            <w:tcW w:w="500" w:type="dxa"/>
          </w:tcPr>
          <w:p>
            <w:pPr>
              <w:spacing w:after="20" w:line="240" w:lineRule="auto"/>
              <w:jc w:val="left"/>
            </w:pPr>
            <w:r>
              <w:t xml:space="preserve">E2</w:t>
            </w:r>
          </w:p>
        </w:tc>
        <w:tc>
          <w:tcPr>
            <w:tcW w:w="2500" w:type="dxa"/>
          </w:tcPr>
          <w:p>
            <w:pPr>
              <w:spacing w:after="20" w:line="240" w:lineRule="auto"/>
              <w:jc w:val="left"/>
            </w:pPr>
            <w:r>
              <w:t xml:space="preserve">Lead válido de valor medio: consultoría, USD 1000, urgencia media.</w:t>
            </w:r>
          </w:p>
        </w:tc>
        <w:tc>
          <w:tcPr>
            <w:tcW w:w="2200" w:type="dxa"/>
          </w:tcPr>
          <w:p>
            <w:pPr>
              <w:spacing w:after="20" w:line="240" w:lineRule="auto"/>
              <w:jc w:val="left"/>
            </w:pPr>
            <w:r>
              <w:t xml:space="preserve">Presupuesto y urgencia medios deben clasificar el lead como WARM, enviar la propuesta y persistir el registro en la tabla leads.</w:t>
            </w:r>
          </w:p>
        </w:tc>
        <w:tc>
          <w:tcPr>
            <w:tcW w:w="2200" w:type="dxa"/>
          </w:tcPr>
          <w:p>
            <w:pPr>
              <w:spacing w:after="20" w:line="240" w:lineRule="auto"/>
              <w:jc w:val="left"/>
            </w:pPr>
            <w:r>
              <w:t xml:space="preserve">Clasificación WARM; propuesta enviada; registro persistido en la tabla leads.</w:t>
            </w:r>
          </w:p>
        </w:tc>
        <w:tc>
          <w:tcPr>
            <w:tcW w:w="1600" w:type="dxa"/>
          </w:tcPr>
          <w:p>
            <w:pPr>
              <w:spacing w:after="20" w:line="240" w:lineRule="auto"/>
              <w:jc w:val="left"/>
            </w:pPr>
            <w:r>
              <w:t xml:space="preserve">Pendiente — adjuntar captura del tablero y/o registro de ejecución de n8n para E2.</w:t>
            </w:r>
          </w:p>
        </w:tc>
      </w:tr>
      <w:tr>
        <w:tc>
          <w:tcPr>
            <w:tcW w:w="500" w:type="dxa"/>
          </w:tcPr>
          <w:p>
            <w:pPr>
              <w:spacing w:after="20" w:line="240" w:lineRule="auto"/>
              <w:jc w:val="left"/>
            </w:pPr>
            <w:r>
              <w:t xml:space="preserve">E3</w:t>
            </w:r>
          </w:p>
        </w:tc>
        <w:tc>
          <w:tcPr>
            <w:tcW w:w="2500" w:type="dxa"/>
          </w:tcPr>
          <w:p>
            <w:pPr>
              <w:spacing w:after="20" w:line="240" w:lineRule="auto"/>
              <w:jc w:val="left"/>
            </w:pPr>
            <w:r>
              <w:t xml:space="preserve">Lead válido de bajo valor: soporte, USD 300, urgencia baja, sin teléfono.</w:t>
            </w:r>
          </w:p>
        </w:tc>
        <w:tc>
          <w:tcPr>
            <w:tcW w:w="2200" w:type="dxa"/>
          </w:tcPr>
          <w:p>
            <w:pPr>
              <w:spacing w:after="20" w:line="240" w:lineRule="auto"/>
              <w:jc w:val="left"/>
            </w:pPr>
            <w:r>
              <w:t xml:space="preserve">Presupuesto y urgencia bajos deben clasificar el lead como COLD, sin generación de propuesta, notificando solo por Telegram.</w:t>
            </w:r>
          </w:p>
        </w:tc>
        <w:tc>
          <w:tcPr>
            <w:tcW w:w="2200" w:type="dxa"/>
          </w:tcPr>
          <w:p>
            <w:pPr>
              <w:spacing w:after="20" w:line="240" w:lineRule="auto"/>
              <w:jc w:val="left"/>
            </w:pPr>
            <w:r>
              <w:t xml:space="preserve">Clasificación COLD; sin propuesta; solo notificación por Telegram.</w:t>
            </w:r>
          </w:p>
        </w:tc>
        <w:tc>
          <w:tcPr>
            <w:tcW w:w="1600" w:type="dxa"/>
          </w:tcPr>
          <w:p>
            <w:pPr>
              <w:spacing w:after="20" w:line="240" w:lineRule="auto"/>
              <w:jc w:val="left"/>
            </w:pPr>
            <w:r>
              <w:t xml:space="preserve">Pendiente — adjuntar captura de Telegram y/o registro de ejecución de n8n para E3.</w:t>
            </w:r>
          </w:p>
        </w:tc>
      </w:tr>
      <w:tr>
        <w:tc>
          <w:tcPr>
            <w:tcW w:w="500" w:type="dxa"/>
          </w:tcPr>
          <w:p>
            <w:pPr>
              <w:spacing w:after="20" w:line="240" w:lineRule="auto"/>
              <w:jc w:val="left"/>
            </w:pPr>
            <w:r>
              <w:t xml:space="preserve">E4</w:t>
            </w:r>
          </w:p>
        </w:tc>
        <w:tc>
          <w:tcPr>
            <w:tcW w:w="2500" w:type="dxa"/>
          </w:tcPr>
          <w:p>
            <w:pPr>
              <w:spacing w:after="20" w:line="240" w:lineRule="auto"/>
              <w:jc w:val="left"/>
            </w:pPr>
            <w:r>
              <w:t xml:space="preserve">Lead inválido: nombre de un carácter, correo sin arroba, presupuesto cero.</w:t>
            </w:r>
          </w:p>
        </w:tc>
        <w:tc>
          <w:tcPr>
            <w:tcW w:w="2200" w:type="dxa"/>
          </w:tcPr>
          <w:p>
            <w:pPr>
              <w:spacing w:after="20" w:line="240" w:lineRule="auto"/>
              <w:jc w:val="left"/>
            </w:pPr>
            <w:r>
              <w:t xml:space="preserve">La validación de entrada debe rechazar datos inconsistentes (nombre, correo, presupuesto) y detener el flujo sin insertar el registro.</w:t>
            </w:r>
          </w:p>
        </w:tc>
        <w:tc>
          <w:tcPr>
            <w:tcW w:w="2200" w:type="dxa"/>
          </w:tcPr>
          <w:p>
            <w:pPr>
              <w:spacing w:after="20" w:line="240" w:lineRule="auto"/>
              <w:jc w:val="left"/>
            </w:pPr>
            <w:r>
              <w:t xml:space="preserve">Validación fallida; el flujo se detiene; no se inserta el registro.</w:t>
            </w:r>
          </w:p>
        </w:tc>
        <w:tc>
          <w:tcPr>
            <w:tcW w:w="1600" w:type="dxa"/>
          </w:tcPr>
          <w:p>
            <w:pPr>
              <w:spacing w:after="20" w:line="240" w:lineRule="auto"/>
              <w:jc w:val="left"/>
            </w:pPr>
            <w:r>
              <w:t xml:space="preserve">Pendiente — adjuntar captura del registro de ejecución de n8n (rama de error) para E4.</w:t>
            </w:r>
          </w:p>
        </w:tc>
      </w:tr>
      <w:tr>
        <w:tc>
          <w:tcPr>
            <w:tcW w:w="500" w:type="dxa"/>
          </w:tcPr>
          <w:p>
            <w:pPr>
              <w:spacing w:after="20" w:line="240" w:lineRule="auto"/>
              <w:jc w:val="left"/>
            </w:pPr>
            <w:r>
              <w:t xml:space="preserve">E5</w:t>
            </w:r>
          </w:p>
        </w:tc>
        <w:tc>
          <w:tcPr>
            <w:tcW w:w="2500" w:type="dxa"/>
          </w:tcPr>
          <w:p>
            <w:pPr>
              <w:spacing w:after="20" w:line="240" w:lineRule="auto"/>
              <w:jc w:val="left"/>
            </w:pPr>
            <w:r>
              <w:t xml:space="preserve">Aceptación con token válido de una propuesta HOT.</w:t>
            </w:r>
          </w:p>
        </w:tc>
        <w:tc>
          <w:tcPr>
            <w:tcW w:w="2200" w:type="dxa"/>
          </w:tcPr>
          <w:p>
            <w:pPr>
              <w:spacing w:after="20" w:line="240" w:lineRule="auto"/>
              <w:jc w:val="left"/>
            </w:pPr>
            <w:r>
              <w:t xml:space="preserve">Un token válido debe marcar el lead como ACEPTADO, generar la factura en PDF, enviarla por correo y actualizar el estado a FACTURADO con notificación.</w:t>
            </w:r>
          </w:p>
        </w:tc>
        <w:tc>
          <w:tcPr>
            <w:tcW w:w="2200" w:type="dxa"/>
          </w:tcPr>
          <w:p>
            <w:pPr>
              <w:spacing w:after="20" w:line="240" w:lineRule="auto"/>
              <w:jc w:val="left"/>
            </w:pPr>
            <w:r>
              <w:t xml:space="preserve">Estado ACEPTADO; generación de factura PDF; envío por correo; estado FACTURADO; notificación.</w:t>
            </w:r>
          </w:p>
        </w:tc>
        <w:tc>
          <w:tcPr>
            <w:tcW w:w="1600" w:type="dxa"/>
          </w:tcPr>
          <w:p>
            <w:pPr>
              <w:spacing w:after="20" w:line="240" w:lineRule="auto"/>
              <w:jc w:val="left"/>
            </w:pPr>
            <w:r>
              <w:t xml:space="preserve">Pendiente — adjuntar la factura PDF generada y/o el correo enviado para E5.</w:t>
            </w:r>
          </w:p>
        </w:tc>
      </w:tr>
      <w:tr>
        <w:tc>
          <w:tcPr>
            <w:tcW w:w="500" w:type="dxa"/>
          </w:tcPr>
          <w:p>
            <w:pPr>
              <w:spacing w:after="20" w:line="240" w:lineRule="auto"/>
              <w:jc w:val="left"/>
            </w:pPr>
            <w:r>
              <w:t xml:space="preserve">E6</w:t>
            </w:r>
          </w:p>
        </w:tc>
        <w:tc>
          <w:tcPr>
            <w:tcW w:w="2500" w:type="dxa"/>
          </w:tcPr>
          <w:p>
            <w:pPr>
              <w:spacing w:after="20" w:line="240" w:lineRule="auto"/>
              <w:jc w:val="left"/>
            </w:pPr>
            <w:r>
              <w:t xml:space="preserve">Reutilización del mismo enlace de aceptación.</w:t>
            </w:r>
          </w:p>
        </w:tc>
        <w:tc>
          <w:tcPr>
            <w:tcW w:w="2200" w:type="dxa"/>
          </w:tcPr>
          <w:p>
            <w:pPr>
              <w:spacing w:after="20" w:line="240" w:lineRule="auto"/>
              <w:jc w:val="left"/>
            </w:pPr>
            <w:r>
              <w:t xml:space="preserve">Un token ya utilizado debe ser rechazado, informando que el enlace ya fue procesado, sin duplicar la factura.</w:t>
            </w:r>
          </w:p>
        </w:tc>
        <w:tc>
          <w:tcPr>
            <w:tcW w:w="2200" w:type="dxa"/>
          </w:tcPr>
          <w:p>
            <w:pPr>
              <w:spacing w:after="20" w:line="240" w:lineRule="auto"/>
              <w:jc w:val="left"/>
            </w:pPr>
            <w:r>
              <w:t xml:space="preserve">El sistema responde que el enlace ya fue procesado; no se duplica la factura.</w:t>
            </w:r>
          </w:p>
        </w:tc>
        <w:tc>
          <w:tcPr>
            <w:tcW w:w="1600" w:type="dxa"/>
          </w:tcPr>
          <w:p>
            <w:pPr>
              <w:spacing w:after="20" w:line="240" w:lineRule="auto"/>
              <w:jc w:val="left"/>
            </w:pPr>
            <w:r>
              <w:t xml:space="preserve">Pendiente — adjuntar captura de la respuesta "ya_procesado" para E6.</w:t>
            </w:r>
          </w:p>
        </w:tc>
      </w:tr>
      <w:tr>
        <w:tc>
          <w:tcPr>
            <w:tcW w:w="500" w:type="dxa"/>
          </w:tcPr>
          <w:p>
            <w:pPr>
              <w:spacing w:after="20" w:line="240" w:lineRule="auto"/>
              <w:jc w:val="left"/>
            </w:pPr>
            <w:r>
              <w:t xml:space="preserve">E7</w:t>
            </w:r>
          </w:p>
        </w:tc>
        <w:tc>
          <w:tcPr>
            <w:tcW w:w="2500" w:type="dxa"/>
          </w:tcPr>
          <w:p>
            <w:pPr>
              <w:spacing w:after="20" w:line="240" w:lineRule="auto"/>
              <w:jc w:val="left"/>
            </w:pPr>
            <w:r>
              <w:t xml:space="preserve">Alta de un lead con el tablero abierto.</w:t>
            </w:r>
          </w:p>
        </w:tc>
        <w:tc>
          <w:tcPr>
            <w:tcW w:w="2200" w:type="dxa"/>
          </w:tcPr>
          <w:p>
            <w:pPr>
              <w:spacing w:after="20" w:line="240" w:lineRule="auto"/>
              <w:jc w:val="left"/>
            </w:pPr>
            <w:r>
              <w:t xml:space="preserve">La suscripción en tiempo real (postgres_changes) debe reflejar el nuevo lead en el tablero sin necesidad de recargar la página.</w:t>
            </w:r>
          </w:p>
        </w:tc>
        <w:tc>
          <w:tcPr>
            <w:tcW w:w="2200" w:type="dxa"/>
          </w:tcPr>
          <w:p>
            <w:pPr>
              <w:spacing w:after="20" w:line="240" w:lineRule="auto"/>
              <w:jc w:val="left"/>
            </w:pPr>
            <w:r>
              <w:t xml:space="preserve">El tablero refleja el nuevo lead en tiempo real, sin recarga manual.</w:t>
            </w:r>
          </w:p>
        </w:tc>
        <w:tc>
          <w:tcPr>
            <w:tcW w:w="1600" w:type="dxa"/>
          </w:tcPr>
          <w:p>
            <w:pPr>
              <w:spacing w:after="20" w:line="240" w:lineRule="auto"/>
              <w:jc w:val="left"/>
            </w:pPr>
            <w:r>
              <w:t xml:space="preserve">Pendiente — adjuntar captura del tablero antes/después y/o video corto para E7.</w:t>
            </w:r>
          </w:p>
        </w:tc>
      </w:tr>
    </w:tbl>
    <w:p/>
    <w:p>
      <w:r>
        <w:t xml:space="preserve">Los escenarios E1 a E4 verifican la normalización, la validación y el scoring (OE1 y OE2); E5 y E6, la aceptación, la facturación y la protección por token (OE3); y E7, la actualización en tiempo real del tablero (OE4). Los escenarios asociados a los procesos programados —seguimiento, recordatorios y reporte diario— se verificaron ejecutando manualmente sus disparadores y observando el envío de los correos y las notificaciones, así como las transiciones de estado correspondientes (OE5). En todos los casos el comportamiento observado coincidió con el esperado.</w:t>
      </w:r>
    </w:p>
    <w:p>
      <w:r>
        <w:t xml:space="preserve">Como evidencia complementaria, el Anexo A reúne las capturas de pantalla del formulario, del tablero y de los flujos configurados en n8n. Las capturas deben incorporarse en la versión final del documento.</w:t>
      </w:r>
    </w:p>
    <w:p>
      <w:r>
        <w:br w:type="page"/>
      </w:r>
    </w:p>
    <w:p>
      <w:pPr>
        <w:pStyle w:val="Heading1"/>
      </w:pPr>
      <w:r>
        <w:t xml:space="preserve">Capítulo 6: Discusión</w:t>
      </w:r>
    </w:p>
    <w:p>
      <w:r>
        <w:t xml:space="preserve">Los resultados confirman que el ciclo de vida del cliente puede automatizarse de extremo a extremo con una arquitectura orientada a eventos de bajo código, en línea con lo que la literatura sobre integración de sistemas y automatización comercial anticipa (Hohpe &amp; Woolf, 2003; Järvinen &amp; Taiminen, 2016). La concentración de la lógica de integración en n8n confirma, en la práctica, la ventaja de mantenibilidad que se le atribuye a este estilo: incorporar un nuevo canal de notificación o un nuevo paso del flujo no exige modificar el frontend ni el esquema de datos.</w:t>
      </w:r>
    </w:p>
    <w:p>
      <w:r>
        <w:t xml:space="preserve">El aporte del scoring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r>
        <w:t xml:space="preserve">Corresponde reconocer, además, las limitaciones del trabajo. La principal es de despliegue: durante el desarrollo, el motor de automatización se ejecutó de forma autoalojada en un equipo local, sin una URL pública,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En tercer lugar, la ausencia de operación real impide reportar métricas de rendimiento, adopción o conversión. Por último, el pago se representó de forma simulada. Ninguna de estas limitaciones invalida la demostración de viabilidad técnica, pero delimita con honestidad el alcance de las conclusiones y evita generalizaciones no sustentadas.</w:t>
      </w:r>
    </w:p>
    <w:p>
      <w:r>
        <w:br w:type="page"/>
      </w:r>
    </w:p>
    <w:p>
      <w:pPr>
        <w:pStyle w:val="Heading1"/>
      </w:pPr>
      <w:r>
        <w:t xml:space="preserve">Capítulo 7: Conclusiones</w:t>
      </w:r>
    </w:p>
    <w:p>
      <w:r>
        <w:t xml:space="preserve">El trabajo se propuso responder si es posible automatizar el ciclo de vida completo de la gestión de clientes de un freelancer mediante una arquitectura orientada a eventos de bajo código, reduciendo la carga manual sin perder trazabilidad ni control. La evidencia recogida permite responder afirmativamente, con las salvedades de alcance ya señaladas. A continuación se responde punto por punto a los objetivos específicos.</w:t>
      </w:r>
    </w:p>
    <w:p>
      <w:pPr>
        <w:pStyle w:val="ListParagraph"/>
        <w:numPr>
          <w:ilvl w:val="0"/>
          <w:numId w:val="1"/>
        </w:numPr>
      </w:pPr>
      <w:r>
        <w:rPr>
          <w:b/>
        </w:rPr>
        <w:t xml:space="preserve">OE1.</w:t>
      </w:r>
      <w:r>
        <w:t xml:space="preserve"> Se implementó y validó el formulario público de captación con validación, integrado a n8n por webhook (escenarios E1–E4). </w:t>
      </w:r>
      <w:r>
        <w:rPr>
          <w:b/>
        </w:rPr>
        <w:t xml:space="preserve">Cumplido.</w:t>
      </w:r>
    </w:p>
    <w:p>
      <w:pPr>
        <w:pStyle w:val="ListParagraph"/>
        <w:numPr>
          <w:ilvl w:val="0"/>
          <w:numId w:val="1"/>
        </w:numPr>
      </w:pPr>
      <w:r>
        <w:rPr>
          <w:b/>
        </w:rPr>
        <w:t xml:space="preserve">OE2.</w:t>
      </w:r>
      <w:r>
        <w:t xml:space="preserve"> Se diseñó y verificó el mecanismo de normalización y scoring, que clasifica cada lead en HOT, WARM o COLD según cuatro criterios ponderados (escenarios E1–E3). </w:t>
      </w:r>
      <w:r>
        <w:rPr>
          <w:b/>
        </w:rPr>
        <w:t xml:space="preserve">Cumplido</w:t>
      </w:r>
      <w:r>
        <w:t xml:space="preserve">, con la salvedad de que la validez del scoring es de diseño y no empírica.</w:t>
      </w:r>
    </w:p>
    <w:p>
      <w:pPr>
        <w:pStyle w:val="ListParagraph"/>
        <w:numPr>
          <w:ilvl w:val="0"/>
          <w:numId w:val="1"/>
        </w:numPr>
      </w:pPr>
      <w:r>
        <w:rPr>
          <w:b/>
        </w:rPr>
        <w:t xml:space="preserve">OE3.</w:t>
      </w:r>
      <w:r>
        <w:t xml:space="preserve"> Se automatizó el ciclo comercial —propuesta, aceptación con token de un solo uso, facturación en PDF y registro del cobro— con notificaciones por correo y Telegram (escenarios E5–E6). </w:t>
      </w:r>
      <w:r>
        <w:rPr>
          <w:b/>
        </w:rPr>
        <w:t xml:space="preserve">Cumplido</w:t>
      </w:r>
      <w:r>
        <w:t xml:space="preserve">, con el pago representado de forma simulada.</w:t>
      </w:r>
    </w:p>
    <w:p>
      <w:pPr>
        <w:pStyle w:val="ListParagraph"/>
        <w:numPr>
          <w:ilvl w:val="0"/>
          <w:numId w:val="1"/>
        </w:numPr>
      </w:pPr>
      <w:r>
        <w:rPr>
          <w:b/>
        </w:rPr>
        <w:t xml:space="preserve">OE4.</w:t>
      </w:r>
      <w:r>
        <w:t xml:space="preserve"> Se diseñó el modelo de datos relacional con seguridad a nivel de fila y se expuso el tablero autenticado con métricas en tiempo real (escenario E7). </w:t>
      </w:r>
      <w:r>
        <w:rPr>
          <w:b/>
        </w:rPr>
        <w:t xml:space="preserve">Cumplido.</w:t>
      </w:r>
    </w:p>
    <w:p>
      <w:pPr>
        <w:pStyle w:val="ListParagraph"/>
        <w:numPr>
          <w:ilvl w:val="0"/>
          <w:numId w:val="1"/>
        </w:numPr>
      </w:pPr>
      <w:r>
        <w:rPr>
          <w:b/>
        </w:rPr>
        <w:t xml:space="preserve">OE5.</w:t>
      </w:r>
      <w:r>
        <w:t xml:space="preserve"> Se incorporaron los procesos programados de seguimiento, recordatorio de pago y reporte diario, verificados mediante la ejecución de sus disparadores. </w:t>
      </w:r>
      <w:r>
        <w:rPr>
          <w:b/>
        </w:rPr>
        <w:t xml:space="preserve">Cumplido.</w:t>
      </w:r>
    </w:p>
    <w:p>
      <w:r>
        <w:t xml:space="preserve">En síntesis, quedó </w:t>
      </w:r>
      <w:r>
        <w:rPr>
          <w:b/>
        </w:rPr>
        <w:t xml:space="preserve">demostrada</w:t>
      </w:r>
      <w:r>
        <w:t xml:space="preserve"> la viabilidad técnica de la automatización de extremo a extremo y el funcionamiento integral de los flujos en un entorno controlado. Queda </w:t>
      </w:r>
      <w:r>
        <w:rPr>
          <w:b/>
        </w:rPr>
        <w:t xml:space="preserve">sugerido</w:t>
      </w:r>
      <w:r>
        <w:t xml:space="preserve">, pero no demostrado, que la solución mejore indicadores comerciales reales, lo que dependería de una operación en producción. Y quedan </w:t>
      </w:r>
      <w:r>
        <w:rPr>
          <w:b/>
        </w:rPr>
        <w:t xml:space="preserve">abiertas</w:t>
      </w:r>
      <w:r>
        <w:t xml:space="preserve"> la exposición pública del backend, la calibración del scoring con datos reales y la integración de pagos, que se abordan en el capítulo siguiente.</w:t>
      </w:r>
    </w:p>
    <w:p>
      <w:r>
        <w:br w:type="page"/>
      </w:r>
    </w:p>
    <w:p>
      <w:pPr>
        <w:pStyle w:val="Heading1"/>
      </w:pPr>
      <w:r>
        <w:t xml:space="preserve">Capítulo 8: Trabajos Futuros y Recomendaciones</w:t>
      </w:r>
    </w:p>
    <w:p>
      <w:r>
        <w:t xml:space="preserve">A partir de las limitaciones reales identificadas, se proponen las siguientes líneas de trabajo, ordenadas de mayor a menor prioridad:</w:t>
      </w:r>
    </w:p>
    <w:p>
      <w:pPr>
        <w:ind w:left="720" w:hanging="360"/>
      </w:pPr>
      <w:r>
        <w:rPr>
          <w:b/>
        </w:rPr>
        <w:t xml:space="preserve">1. </w:t>
      </w:r>
      <w:r>
        <w:rPr>
          <w:b/>
        </w:rPr>
        <w:t xml:space="preserve">Exponer el backend de automatización.</w:t>
      </w:r>
      <w:r>
        <w:t xml:space="preserve"> Publicar la instancia de n8n mediante un túnel seguro o un alojamiento en la nube, con una URL estable y HTTPS, para habilitar la operación en producción. Es condición previa a cualquier uso real.</w:t>
      </w:r>
    </w:p>
    <w:p>
      <w:pPr>
        <w:ind w:left="720" w:hanging="360"/>
      </w:pPr>
      <w:r>
        <w:rPr>
          <w:b/>
        </w:rPr>
        <w:t xml:space="preserve">2. </w:t>
      </w:r>
      <w:r>
        <w:rPr>
          <w:b/>
        </w:rPr>
        <w:t xml:space="preserve">Calibrar el scoring con datos históricos.</w:t>
      </w:r>
      <w:r>
        <w:t xml:space="preserve"> Registrar la conversión efectiva de los leads y ajustar umbrales y ponderaciones a partir de esos datos, transformando la validez de diseño del modelo en validez empírica.</w:t>
      </w:r>
    </w:p>
    <w:p>
      <w:pPr>
        <w:ind w:left="720" w:hanging="360"/>
      </w:pPr>
      <w:r>
        <w:rPr>
          <w:b/>
        </w:rPr>
        <w:t xml:space="preserve">3. </w:t>
      </w:r>
      <w:r>
        <w:rPr>
          <w:b/>
        </w:rPr>
        <w:t xml:space="preserve">Integrar una pasarela de pago real.</w:t>
      </w:r>
      <w:r>
        <w:t xml:space="preserve"> Sustituir el webhook de pago simulado por una integración con un proveedor de cobros, con conciliación automática del estado de la factura.</w:t>
      </w:r>
    </w:p>
    <w:p>
      <w:pPr>
        <w:ind w:left="720" w:hanging="360"/>
      </w:pPr>
      <w:r>
        <w:rPr>
          <w:b/>
        </w:rPr>
        <w:t xml:space="preserve">4. </w:t>
      </w:r>
      <w:r>
        <w:rPr>
          <w:b/>
        </w:rPr>
        <w:t xml:space="preserve">Completar la configuración de autenticación y roles.</w:t>
      </w:r>
      <w:r>
        <w:t xml:space="preserve"> Finalizar la configuración administrativa de Supabase (URL de redirección y confirmación de correo) e incorporar roles y perfiles de usuario para escenarios con más de un profesional.</w:t>
      </w:r>
    </w:p>
    <w:p>
      <w:pPr>
        <w:ind w:left="720" w:hanging="360"/>
      </w:pPr>
      <w:r>
        <w:rPr>
          <w:b/>
        </w:rPr>
        <w:t xml:space="preserve">5. </w:t>
      </w:r>
      <w:r>
        <w:rPr>
          <w:b/>
        </w:rPr>
        <w:t xml:space="preserve">Incorporar pruebas automatizadas y observabilidad.</w:t>
      </w:r>
      <w:r>
        <w:t xml:space="preserve"> Añadir pruebas de los nodos de lógica y de los componentes del frontend, y métricas de ejecución del flujo, para sostener la evolución del sistema con seguridad.</w:t>
      </w:r>
    </w:p>
    <w:p>
      <w:pPr>
        <w:ind w:left="720" w:hanging="360"/>
      </w:pPr>
      <w:r>
        <w:rPr>
          <w:b/>
        </w:rPr>
        <w:t xml:space="preserve">6. </w:t>
      </w:r>
      <w:r>
        <w:rPr>
          <w:b/>
        </w:rPr>
        <w:t xml:space="preserve">Rotar las credenciales sensibles.</w:t>
      </w:r>
      <w:r>
        <w:t xml:space="preserve"> Regenerar las claves de servicio que pudieron quedar expuestas durante el desarrollo, como buena práctica de seguridad.</w:t>
      </w:r>
    </w:p>
    <w:p>
      <w:pPr>
        <w:ind w:left="720" w:hanging="360"/>
      </w:pPr>
      <w:r>
        <w:rPr>
          <w:b/>
        </w:rPr>
        <w:t xml:space="preserve">7. </w:t>
      </w:r>
      <w:r>
        <w:rPr>
          <w:b/>
        </w:rPr>
        <w:t xml:space="preserve">Realizar un relevamiento primario con usuarios reales.</w:t>
      </w:r>
      <w:r>
        <w:t xml:space="preserve"> Encuestar o entrevistar a una muestra de freelancers para validar empíricamente las prioridades del ciclo comercial y calibrar los umbrales y ponderaciones del scoring (§3.3, §6).</w:t>
      </w:r>
    </w:p>
    <w:p>
      <w:r>
        <w:br w:type="page"/>
      </w:r>
    </w:p>
    <w:p>
      <w:pPr>
        <w:pStyle w:val="Heading1"/>
      </w:pPr>
      <w:r>
        <w:t xml:space="preserve">Referencias</w:t>
      </w:r>
    </w:p>
    <w:p>
      <w:r>
        <w:t xml:space="preserve">Fielding, R. T. (2000). </w:t>
      </w:r>
      <w:r>
        <w:rPr>
          <w:i/>
        </w:rPr>
        <w:t xml:space="preserve">Architectural styles and the design of network-based software architectures</w:t>
      </w:r>
      <w:r>
        <w:t xml:space="preserve"> [Tesis doctoral, University of California, Irvine].</w:t>
      </w:r>
    </w:p>
    <w:p>
      <w:r>
        <w:t xml:space="preserve">Fowler, M. (2002). </w:t>
      </w:r>
      <w:r>
        <w:rPr>
          <w:i/>
        </w:rPr>
        <w:t xml:space="preserve">Patterns of enterprise application architecture</w:t>
      </w:r>
      <w:r>
        <w:t xml:space="preserve">. Addison-Wesley.</w:t>
      </w:r>
    </w:p>
    <w:p>
      <w:r>
        <w:t xml:space="preserve">Hohpe, G., &amp; Woolf, B. (2003). </w:t>
      </w:r>
      <w:r>
        <w:rPr>
          <w:i/>
        </w:rPr>
        <w:t xml:space="preserve">Enterprise integration patterns: Designing, building, and deploying messaging solutions</w:t>
      </w:r>
      <w:r>
        <w:t xml:space="preserve">. Addison-Wesley.</w:t>
      </w:r>
    </w:p>
    <w:p>
      <w:r>
        <w:t xml:space="preserve">HubSpot. (2024). </w:t>
      </w:r>
      <w:r>
        <w:rPr>
          <w:i/>
        </w:rPr>
        <w:t xml:space="preserve">HubSpot pricing</w:t>
      </w:r>
      <w:r>
        <w:t xml:space="preserve">. https://www.hubspot.com/pricing</w:t>
      </w:r>
    </w:p>
    <w:p>
      <w:r>
        <w:t xml:space="preserve">ISO/IEC. (2011). </w:t>
      </w:r>
      <w:r>
        <w:rPr>
          <w:i/>
        </w:rPr>
        <w:t xml:space="preserve">ISO/IEC 25010:2011. Systems and software engineering — Systems and software Quality Requirements and Evaluation (SQuaRE) — System and software quality models</w:t>
      </w:r>
      <w:r>
        <w:t xml:space="preserve">. International Organization for Standardization.</w:t>
      </w:r>
    </w:p>
    <w:p>
      <w:r>
        <w:t xml:space="preserve">Järvinen, J., &amp; Taiminen, H. (2016). Harnessing marketing automation for B2B content marketing. </w:t>
      </w:r>
      <w:r>
        <w:rPr>
          <w:i/>
        </w:rPr>
        <w:t xml:space="preserve">Industrial Marketing Management, 54</w:t>
      </w:r>
      <w:r>
        <w:t xml:space="preserve">, 164–175.</w:t>
      </w:r>
    </w:p>
    <w:p>
      <w:r>
        <w:t xml:space="preserve">Kässi, O., &amp; Lehdonvirta, V. (2018). Online labour index: Measuring the online gig economy for policy and research. </w:t>
      </w:r>
      <w:r>
        <w:rPr>
          <w:i/>
        </w:rPr>
        <w:t xml:space="preserve">Technological Forecasting and Social Change, 137</w:t>
      </w:r>
      <w:r>
        <w:t xml:space="preserve">, 241–248. https://doi.org/10.1016/j.techfore.2018.07.056</w:t>
      </w:r>
    </w:p>
    <w:p>
      <w:r>
        <w:t xml:space="preserve">Kotler, P., &amp; Armstrong, G. (2017). </w:t>
      </w:r>
      <w:r>
        <w:rPr>
          <w:i/>
        </w:rPr>
        <w:t xml:space="preserve">Fundamentos de marketing</w:t>
      </w:r>
      <w:r>
        <w:t xml:space="preserve"> (13.ª ed.). Pearson.</w:t>
      </w:r>
    </w:p>
    <w:p>
      <w:r>
        <w:t xml:space="preserve">Make. (2024). </w:t>
      </w:r>
      <w:r>
        <w:rPr>
          <w:i/>
        </w:rPr>
        <w:t xml:space="preserve">Make help center</w:t>
      </w:r>
      <w:r>
        <w:t xml:space="preserve">. https://www.make.com/en/help</w:t>
      </w:r>
    </w:p>
    <w:p>
      <w:r>
        <w:t xml:space="preserve">n8n.io. (2024). </w:t>
      </w:r>
      <w:r>
        <w:rPr>
          <w:i/>
        </w:rPr>
        <w:t xml:space="preserve">n8n documentation</w:t>
      </w:r>
      <w:r>
        <w:t xml:space="preserve">. https://docs.n8n.io</w:t>
      </w:r>
    </w:p>
    <w:p>
      <w:r>
        <w:t xml:space="preserve">Organización Internacional del Trabajo. (2025). </w:t>
      </w:r>
      <w:r>
        <w:rPr>
          <w:i/>
        </w:rPr>
        <w:t xml:space="preserve">Encuesta sobre trabajadores en plataformas digitales basadas en la web</w:t>
      </w:r>
      <w:r>
        <w:t xml:space="preserve"> [Informe]. OIT. https://www.ilo.org/sites/default/files/2025-04/Informe%20Plataformas%20Digitales_ESP_web.pdf</w:t>
      </w:r>
    </w:p>
    <w:p>
      <w:r>
        <w:t xml:space="preserve">OWASP Foundation. (2021). </w:t>
      </w:r>
      <w:r>
        <w:rPr>
          <w:i/>
        </w:rPr>
        <w:t xml:space="preserve">OWASP Top 10 – 2021</w:t>
      </w:r>
      <w:r>
        <w:t xml:space="preserve">. https://owasp.org/Top10/</w:t>
      </w:r>
    </w:p>
    <w:p>
      <w:r>
        <w:t xml:space="preserve">Pipedrive. (2024). </w:t>
      </w:r>
      <w:r>
        <w:rPr>
          <w:i/>
        </w:rPr>
        <w:t xml:space="preserve">Pipedrive pricing</w:t>
      </w:r>
      <w:r>
        <w:t xml:space="preserve">. https://www.pipedrive.com/en/pricing</w:t>
      </w:r>
    </w:p>
    <w:p>
      <w:r>
        <w:t xml:space="preserve">PostgreSQL Global Development Group. (2024). </w:t>
      </w:r>
      <w:r>
        <w:rPr>
          <w:i/>
        </w:rPr>
        <w:t xml:space="preserve">PostgreSQL 16 documentation</w:t>
      </w:r>
      <w:r>
        <w:t xml:space="preserve">. https://www.postgresql.org/docs/</w:t>
      </w:r>
    </w:p>
    <w:p>
      <w:r>
        <w:t xml:space="preserve">Pressman, R. S., &amp; Maxim, B. R. (2020). </w:t>
      </w:r>
      <w:r>
        <w:rPr>
          <w:i/>
        </w:rPr>
        <w:t xml:space="preserve">Software engineering: A practitioner’s approach</w:t>
      </w:r>
      <w:r>
        <w:t xml:space="preserve"> (9.ª ed.). McGraw-Hill.</w:t>
      </w:r>
    </w:p>
    <w:p>
      <w:r>
        <w:t xml:space="preserve">Richardson, C. (2018). </w:t>
      </w:r>
      <w:r>
        <w:rPr>
          <w:i/>
        </w:rPr>
        <w:t xml:space="preserve">Microservices patterns: With examples in Java</w:t>
      </w:r>
      <w:r>
        <w:t xml:space="preserve">. Manning.</w:t>
      </w:r>
    </w:p>
    <w:p>
      <w:r>
        <w:t xml:space="preserve">Sommerville, I. (2016). </w:t>
      </w:r>
      <w:r>
        <w:rPr>
          <w:i/>
        </w:rPr>
        <w:t xml:space="preserve">Software engineering</w:t>
      </w:r>
      <w:r>
        <w:t xml:space="preserve"> (10.ª ed.). Pearson.</w:t>
      </w:r>
    </w:p>
    <w:p>
      <w:r>
        <w:t xml:space="preserve">Supabase. (2024). </w:t>
      </w:r>
      <w:r>
        <w:rPr>
          <w:i/>
        </w:rPr>
        <w:t xml:space="preserve">Supabase documentation</w:t>
      </w:r>
      <w:r>
        <w:t xml:space="preserve">. https://supabase.com/docs</w:t>
      </w:r>
    </w:p>
    <w:p>
      <w:r>
        <w:t xml:space="preserve">Vercel. (2024). </w:t>
      </w:r>
      <w:r>
        <w:rPr>
          <w:i/>
        </w:rPr>
        <w:t xml:space="preserve">Next.js documentation</w:t>
      </w:r>
      <w:r>
        <w:t xml:space="preserve">. https://nextjs.org/docs</w:t>
      </w:r>
    </w:p>
    <w:p>
      <w:r>
        <w:t xml:space="preserve">Zapier. (2024). </w:t>
      </w:r>
      <w:r>
        <w:rPr>
          <w:i/>
        </w:rPr>
        <w:t xml:space="preserve">Zapier pricing</w:t>
      </w:r>
      <w:r>
        <w:t xml:space="preserve">. https://zapier.com/pricing</w:t>
      </w:r>
    </w:p>
    <w:p>
      <w:r>
        <w:br w:type="page"/>
      </w:r>
    </w:p>
    <w:p>
      <w:pPr>
        <w:pStyle w:val="Heading1"/>
      </w:pPr>
      <w:r>
        <w:t xml:space="preserve">Anexos</w:t>
      </w:r>
    </w:p>
    <w:p>
      <w:pPr>
        <w:pStyle w:val="Heading2"/>
      </w:pPr>
      <w:r>
        <w:t xml:space="preserve">Anexo A. Evidencias visuales</w:t>
      </w:r>
    </w:p>
    <w:p>
      <w:r>
        <w:t xml:space="preserve">Este anexo reúne las capturas de pantalla que documentan el funcionamiento del sistema. Deben incorporarse en la versión final del documento:</w:t>
      </w:r>
    </w:p>
    <w:p>
      <w:pPr>
        <w:pStyle w:val="ListParagraph"/>
        <w:numPr>
          <w:ilvl w:val="0"/>
          <w:numId w:val="1"/>
        </w:numPr>
      </w:pPr>
      <w:r>
        <w:t xml:space="preserve">Figura 1. Diagrama de arquitectura en tres capas (frontend → n8n → Supabase).</w:t>
      </w:r>
    </w:p>
    <w:p>
      <w:pPr>
        <w:pStyle w:val="ListParagraph"/>
        <w:numPr>
          <w:ilvl w:val="0"/>
          <w:numId w:val="1"/>
        </w:numPr>
      </w:pPr>
      <w:r>
        <w:t xml:space="preserve">Figura 2. Formulario público de captación de leads.</w:t>
      </w:r>
    </w:p>
    <w:p>
      <w:pPr>
        <w:pStyle w:val="ListParagraph"/>
        <w:numPr>
          <w:ilvl w:val="0"/>
          <w:numId w:val="1"/>
        </w:numPr>
      </w:pPr>
      <w:r>
        <w:t xml:space="preserve">Figura 3. Tablero de control con indicadores, embudo y facturas pendientes.</w:t>
      </w:r>
    </w:p>
    <w:p>
      <w:pPr>
        <w:pStyle w:val="ListParagraph"/>
        <w:numPr>
          <w:ilvl w:val="0"/>
          <w:numId w:val="1"/>
        </w:numPr>
      </w:pPr>
      <w:r>
        <w:t xml:space="preserve">Figura 4. Página de aceptación de propuesta.</w:t>
      </w:r>
    </w:p>
    <w:p>
      <w:pPr>
        <w:pStyle w:val="ListParagraph"/>
        <w:numPr>
          <w:ilvl w:val="0"/>
          <w:numId w:val="1"/>
        </w:numPr>
      </w:pPr>
      <w:r>
        <w:t xml:space="preserve">Figuras 5–9. Flujos de n8n: nuevo lead, aceptación, pago, cierre y procesos programados.</w:t>
      </w:r>
    </w:p>
    <w:p>
      <w:pPr>
        <w:pStyle w:val="ListParagraph"/>
        <w:numPr>
          <w:ilvl w:val="0"/>
          <w:numId w:val="1"/>
        </w:numPr>
      </w:pPr>
      <w:r>
        <w:t xml:space="preserve">Figura 10. Ejemplo de propuesta y de factura en PDF generadas por el sistema.</w:t>
      </w:r>
    </w:p>
    <w:p>
      <w:pPr>
        <w:pStyle w:val="Heading2"/>
      </w:pPr>
      <w:r>
        <w:t xml:space="preserve">Anexo B. Flujos de trabajo de n8n</w:t>
      </w:r>
    </w:p>
    <w:p>
      <w:r>
        <w:t xml:space="preserve">El backend de automatización se compone de un flujo de 71 nodos, agrupados por proceso según el siguiente detalle:</w:t>
      </w:r>
    </w:p>
    <w:p>
      <w:pPr>
        <w:pStyle w:val="ListParagraph"/>
        <w:numPr>
          <w:ilvl w:val="0"/>
          <w:numId w:val="1"/>
        </w:numPr>
      </w:pPr>
      <w:r>
        <w:rPr>
          <w:b/>
        </w:rPr>
        <w:t xml:space="preserve">Captación y calificación:</w:t>
      </w:r>
      <w:r>
        <w:t xml:space="preserve"> webhook de nuevo lead, normalización, inserción, scoring, ramificación por tier, generación y envío de propuesta, actualización de estado y notificación.</w:t>
      </w:r>
    </w:p>
    <w:p>
      <w:pPr>
        <w:pStyle w:val="ListParagraph"/>
        <w:numPr>
          <w:ilvl w:val="0"/>
          <w:numId w:val="1"/>
        </w:numPr>
      </w:pPr>
      <w:r>
        <w:rPr>
          <w:b/>
        </w:rPr>
        <w:t xml:space="preserve">Aceptación y facturación:</w:t>
      </w:r>
      <w:r>
        <w:t xml:space="preserve"> validación de token, búsqueda del lead, marcado de aceptado, generación de HTML y PDF (Gotenberg), envío de factura, inserción de factura, actualización de estado, registro en Notion y notificación.</w:t>
      </w:r>
    </w:p>
    <w:p>
      <w:pPr>
        <w:pStyle w:val="ListParagraph"/>
        <w:numPr>
          <w:ilvl w:val="0"/>
          <w:numId w:val="1"/>
        </w:numPr>
      </w:pPr>
      <w:r>
        <w:rPr>
          <w:b/>
        </w:rPr>
        <w:t xml:space="preserve">Pago:</w:t>
      </w:r>
      <w:r>
        <w:t xml:space="preserve"> validación, marcado de cobrado y respuesta.</w:t>
      </w:r>
    </w:p>
    <w:p>
      <w:pPr>
        <w:pStyle w:val="ListParagraph"/>
        <w:numPr>
          <w:ilvl w:val="0"/>
          <w:numId w:val="1"/>
        </w:numPr>
      </w:pPr>
      <w:r>
        <w:rPr>
          <w:b/>
        </w:rPr>
        <w:t xml:space="preserve">Cierre:</w:t>
      </w:r>
      <w:r>
        <w:t xml:space="preserve"> marcado de lead cerrado, conciliación de factura, notificación y solicitud de testimonio.</w:t>
      </w:r>
    </w:p>
    <w:p>
      <w:pPr>
        <w:pStyle w:val="ListParagraph"/>
        <w:numPr>
          <w:ilvl w:val="0"/>
          <w:numId w:val="1"/>
        </w:numPr>
      </w:pPr>
      <w:r>
        <w:rPr>
          <w:b/>
        </w:rPr>
        <w:t xml:space="preserve">Procesos programados:</w:t>
      </w:r>
      <w:r>
        <w:t xml:space="preserve"> seguimiento (L–V, 9:00), recordatorios de pago (diario, 10:00) y reporte de métricas (diario, 23:59).</w:t>
      </w:r>
    </w:p>
    <w:p>
      <w:pPr>
        <w:pStyle w:val="ListParagraph"/>
        <w:numPr>
          <w:ilvl w:val="0"/>
          <w:numId w:val="1"/>
        </w:numPr>
      </w:pPr>
      <w:r>
        <w:rPr>
          <w:b/>
        </w:rPr>
        <w:t xml:space="preserve">Manejo de errores:</w:t>
      </w:r>
      <w:r>
        <w:t xml:space="preserve"> formateo, registro y notificación de error crítico.</w:t>
      </w:r>
    </w:p>
    <w:p>
      <w:pPr>
        <w:pStyle w:val="Heading2"/>
      </w:pPr>
      <w:r>
        <w:t xml:space="preserve">Anexo C. Seguridad a nivel de fila (esquema de políticas)</w:t>
      </w:r>
    </w:p>
    <w:p>
      <w:r>
        <w:t xml:space="preserve">Sobre las tablas de negocio se habilita la seguridad a nivel de fila y se definen políticas de lectura para el rol autenticado; las vistas se declaran con </w:t>
      </w:r>
      <w:r>
        <w:rPr>
          <w:rFonts w:ascii="Consolas" w:hAnsi="Consolas" w:cs="Consolas"/>
        </w:rPr>
        <w:t xml:space="preserve">security_invoker</w:t>
      </w:r>
      <w:r>
        <w:t xml:space="preserve"> para respetar las políticas de las tablas subyacentes. La escritura queda reservada al backend de automatización, que opera con una clave de servicio.</w:t>
      </w:r>
    </w:p>
    <w:p>
      <w:pPr>
        <w:pStyle w:val="Heading2"/>
      </w:pPr>
      <w:r>
        <w:t xml:space="preserve">Anexo D. Contrato de datos del formulario</w:t>
      </w:r>
    </w:p>
    <w:p>
      <w:r>
        <w:t xml:space="preserve">El formulario envía al webhook de captación un objeto JSON con los campos nombre, email, telefono, servicio, presupuesto, descripcion y urgencia, más los metadatos fuente y una marca temporal. El backend responde con un estado de éxito o error, y en el caso de la aceptación devuelve el desenlace (satisfactorio, ya procesado o inválido) junto con datos mínimos del lead.</w:t>
      </w:r>
    </w:p>
    <w:p>
      <w:pPr>
        <w:pStyle w:val="Heading2"/>
      </w:pPr>
      <w:r>
        <w:t xml:space="preserve">Anexo E. Matriz de trazabilidad</w:t>
      </w:r>
    </w:p>
    <w:p>
      <w:r>
        <w:t xml:space="preserve">La Tabla 10 vincula cada objetivo específico con la sección de diseño que lo implementa, el escenario que lo valida y la conclusión que lo retoma, evidenciando la coherencia interna del trabajo.</w:t>
      </w:r>
    </w:p>
    <w:p>
      <w:pPr>
        <w:jc w:val="center"/>
        <w:spacing w:before="0" w:after="120" w:line="240" w:lineRule="auto"/>
      </w:pPr>
      <w:r>
        <w:rPr>
          <w:sz w:val="20"/>
          <w:szCs w:val="20"/>
        </w:rPr>
        <w:t xml:space="preserve">Tabla 10. Matriz de trazabilidad objetivos → diseño → validación → conclusión</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0"/>
        <w:gridCol w:w="2400"/>
        <w:gridCol w:w="2400"/>
        <w:gridCol w:w="1600"/>
      </w:tblGrid>
      <w:tr>
        <w:trPr>
          <w:tblHeader/>
        </w:trPr>
        <w:tc>
          <w:tcPr>
            <w:tcW w:w="2600" w:type="dxa"/>
            <w:shd w:val="clear" w:color="auto" w:fill="1F2937"/>
          </w:tcPr>
          <w:p>
            <w:pPr>
              <w:spacing w:after="20" w:line="240" w:lineRule="auto"/>
              <w:jc w:val="left"/>
            </w:pPr>
            <w:r>
              <w:rPr>
                <w:b/>
                <w:color w:val="FFFFFF"/>
              </w:rPr>
              <w:t xml:space="preserve">Objetivo</w:t>
            </w:r>
          </w:p>
        </w:tc>
        <w:tc>
          <w:tcPr>
            <w:tcW w:w="2400" w:type="dxa"/>
            <w:shd w:val="clear" w:color="auto" w:fill="1F2937"/>
          </w:tcPr>
          <w:p>
            <w:pPr>
              <w:spacing w:after="20" w:line="240" w:lineRule="auto"/>
              <w:jc w:val="left"/>
            </w:pPr>
            <w:r>
              <w:rPr>
                <w:b/>
                <w:color w:val="FFFFFF"/>
              </w:rPr>
              <w:t xml:space="preserve">Diseño</w:t>
            </w:r>
          </w:p>
        </w:tc>
        <w:tc>
          <w:tcPr>
            <w:tcW w:w="2400" w:type="dxa"/>
            <w:shd w:val="clear" w:color="auto" w:fill="1F2937"/>
          </w:tcPr>
          <w:p>
            <w:pPr>
              <w:spacing w:after="20" w:line="240" w:lineRule="auto"/>
              <w:jc w:val="left"/>
            </w:pPr>
            <w:r>
              <w:rPr>
                <w:b/>
                <w:color w:val="FFFFFF"/>
              </w:rPr>
              <w:t xml:space="preserve">Validación</w:t>
            </w:r>
          </w:p>
        </w:tc>
        <w:tc>
          <w:tcPr>
            <w:tcW w:w="1600" w:type="dxa"/>
            <w:shd w:val="clear" w:color="auto" w:fill="1F2937"/>
          </w:tcPr>
          <w:p>
            <w:pPr>
              <w:spacing w:after="20" w:line="240" w:lineRule="auto"/>
              <w:jc w:val="left"/>
            </w:pPr>
            <w:r>
              <w:rPr>
                <w:b/>
                <w:color w:val="FFFFFF"/>
              </w:rPr>
              <w:t xml:space="preserve">Conclusión</w:t>
            </w:r>
          </w:p>
        </w:tc>
      </w:tr>
      <w:tr>
        <w:tc>
          <w:tcPr>
            <w:tcW w:w="2600" w:type="dxa"/>
          </w:tcPr>
          <w:p>
            <w:pPr>
              <w:spacing w:after="20" w:line="240" w:lineRule="auto"/>
              <w:jc w:val="left"/>
            </w:pPr>
            <w:r>
              <w:t xml:space="preserve">OE1 (captación)</w:t>
            </w:r>
          </w:p>
        </w:tc>
        <w:tc>
          <w:tcPr>
            <w:tcW w:w="2400" w:type="dxa"/>
          </w:tcPr>
          <w:p>
            <w:pPr>
              <w:spacing w:after="20" w:line="240" w:lineRule="auto"/>
              <w:jc w:val="left"/>
            </w:pPr>
            <w:r>
              <w:t xml:space="preserve">4.2.1</w:t>
            </w:r>
          </w:p>
        </w:tc>
        <w:tc>
          <w:tcPr>
            <w:tcW w:w="2400" w:type="dxa"/>
          </w:tcPr>
          <w:p>
            <w:pPr>
              <w:spacing w:after="20" w:line="240" w:lineRule="auto"/>
              <w:jc w:val="left"/>
            </w:pPr>
            <w:r>
              <w:t xml:space="preserve">E1–E4</w:t>
            </w:r>
          </w:p>
        </w:tc>
        <w:tc>
          <w:tcPr>
            <w:tcW w:w="1600" w:type="dxa"/>
          </w:tcPr>
          <w:p>
            <w:pPr>
              <w:spacing w:after="20" w:line="240" w:lineRule="auto"/>
              <w:jc w:val="left"/>
            </w:pPr>
            <w:r>
              <w:t xml:space="preserve">Cap. 7</w:t>
            </w:r>
          </w:p>
        </w:tc>
      </w:tr>
      <w:tr>
        <w:tc>
          <w:tcPr>
            <w:tcW w:w="2600" w:type="dxa"/>
          </w:tcPr>
          <w:p>
            <w:pPr>
              <w:spacing w:after="20" w:line="240" w:lineRule="auto"/>
              <w:jc w:val="left"/>
            </w:pPr>
            <w:r>
              <w:t xml:space="preserve">OE2 (scoring)</w:t>
            </w:r>
          </w:p>
        </w:tc>
        <w:tc>
          <w:tcPr>
            <w:tcW w:w="2400" w:type="dxa"/>
          </w:tcPr>
          <w:p>
            <w:pPr>
              <w:spacing w:after="20" w:line="240" w:lineRule="auto"/>
              <w:jc w:val="left"/>
            </w:pPr>
            <w:r>
              <w:t xml:space="preserve">4.3.1</w:t>
            </w:r>
          </w:p>
        </w:tc>
        <w:tc>
          <w:tcPr>
            <w:tcW w:w="2400" w:type="dxa"/>
          </w:tcPr>
          <w:p>
            <w:pPr>
              <w:spacing w:after="20" w:line="240" w:lineRule="auto"/>
              <w:jc w:val="left"/>
            </w:pPr>
            <w:r>
              <w:t xml:space="preserve">E1–E3</w:t>
            </w:r>
          </w:p>
        </w:tc>
        <w:tc>
          <w:tcPr>
            <w:tcW w:w="1600" w:type="dxa"/>
          </w:tcPr>
          <w:p>
            <w:pPr>
              <w:spacing w:after="20" w:line="240" w:lineRule="auto"/>
              <w:jc w:val="left"/>
            </w:pPr>
            <w:r>
              <w:t xml:space="preserve">Cap. 7</w:t>
            </w:r>
          </w:p>
        </w:tc>
      </w:tr>
      <w:tr>
        <w:tc>
          <w:tcPr>
            <w:tcW w:w="2600" w:type="dxa"/>
          </w:tcPr>
          <w:p>
            <w:pPr>
              <w:spacing w:after="20" w:line="240" w:lineRule="auto"/>
              <w:jc w:val="left"/>
            </w:pPr>
            <w:r>
              <w:t xml:space="preserve">OE3 (ciclo comercial)</w:t>
            </w:r>
          </w:p>
        </w:tc>
        <w:tc>
          <w:tcPr>
            <w:tcW w:w="2400" w:type="dxa"/>
          </w:tcPr>
          <w:p>
            <w:pPr>
              <w:spacing w:after="20" w:line="240" w:lineRule="auto"/>
              <w:jc w:val="left"/>
            </w:pPr>
            <w:r>
              <w:t xml:space="preserve">4.3.2–4.3.4, 4.5</w:t>
            </w:r>
          </w:p>
        </w:tc>
        <w:tc>
          <w:tcPr>
            <w:tcW w:w="2400" w:type="dxa"/>
          </w:tcPr>
          <w:p>
            <w:pPr>
              <w:spacing w:after="20" w:line="240" w:lineRule="auto"/>
              <w:jc w:val="left"/>
            </w:pPr>
            <w:r>
              <w:t xml:space="preserve">E5–E6</w:t>
            </w:r>
          </w:p>
        </w:tc>
        <w:tc>
          <w:tcPr>
            <w:tcW w:w="1600" w:type="dxa"/>
          </w:tcPr>
          <w:p>
            <w:pPr>
              <w:spacing w:after="20" w:line="240" w:lineRule="auto"/>
              <w:jc w:val="left"/>
            </w:pPr>
            <w:r>
              <w:t xml:space="preserve">Cap. 7</w:t>
            </w:r>
          </w:p>
        </w:tc>
      </w:tr>
      <w:tr>
        <w:tc>
          <w:tcPr>
            <w:tcW w:w="2600" w:type="dxa"/>
          </w:tcPr>
          <w:p>
            <w:pPr>
              <w:spacing w:after="20" w:line="240" w:lineRule="auto"/>
              <w:jc w:val="left"/>
            </w:pPr>
            <w:r>
              <w:t xml:space="preserve">OE4 (datos, RLS y tablero)</w:t>
            </w:r>
          </w:p>
        </w:tc>
        <w:tc>
          <w:tcPr>
            <w:tcW w:w="2400" w:type="dxa"/>
          </w:tcPr>
          <w:p>
            <w:pPr>
              <w:spacing w:after="20" w:line="240" w:lineRule="auto"/>
              <w:jc w:val="left"/>
            </w:pPr>
            <w:r>
              <w:t xml:space="preserve">4.2.5, 4.4, 4.6</w:t>
            </w:r>
          </w:p>
        </w:tc>
        <w:tc>
          <w:tcPr>
            <w:tcW w:w="2400" w:type="dxa"/>
          </w:tcPr>
          <w:p>
            <w:pPr>
              <w:spacing w:after="20" w:line="240" w:lineRule="auto"/>
              <w:jc w:val="left"/>
            </w:pPr>
            <w:r>
              <w:t xml:space="preserve">E7</w:t>
            </w:r>
          </w:p>
        </w:tc>
        <w:tc>
          <w:tcPr>
            <w:tcW w:w="1600" w:type="dxa"/>
          </w:tcPr>
          <w:p>
            <w:pPr>
              <w:spacing w:after="20" w:line="240" w:lineRule="auto"/>
              <w:jc w:val="left"/>
            </w:pPr>
            <w:r>
              <w:t xml:space="preserve">Cap. 7</w:t>
            </w:r>
          </w:p>
        </w:tc>
      </w:tr>
      <w:tr>
        <w:tc>
          <w:tcPr>
            <w:tcW w:w="2600" w:type="dxa"/>
          </w:tcPr>
          <w:p>
            <w:pPr>
              <w:spacing w:after="20" w:line="240" w:lineRule="auto"/>
              <w:jc w:val="left"/>
            </w:pPr>
            <w:r>
              <w:t xml:space="preserve">OE5 (procesos programados)</w:t>
            </w:r>
          </w:p>
        </w:tc>
        <w:tc>
          <w:tcPr>
            <w:tcW w:w="2400" w:type="dxa"/>
          </w:tcPr>
          <w:p>
            <w:pPr>
              <w:spacing w:after="20" w:line="240" w:lineRule="auto"/>
              <w:jc w:val="left"/>
            </w:pPr>
            <w:r>
              <w:t xml:space="preserve">4.3.5</w:t>
            </w:r>
          </w:p>
        </w:tc>
        <w:tc>
          <w:tcPr>
            <w:tcW w:w="2400" w:type="dxa"/>
          </w:tcPr>
          <w:p>
            <w:pPr>
              <w:spacing w:after="20" w:line="240" w:lineRule="auto"/>
              <w:jc w:val="left"/>
            </w:pPr>
            <w:r>
              <w:t xml:space="preserve">Disparadores manuales</w:t>
            </w:r>
          </w:p>
        </w:tc>
        <w:tc>
          <w:tcPr>
            <w:tcW w:w="1600" w:type="dxa"/>
          </w:tcPr>
          <w:p>
            <w:pPr>
              <w:spacing w:after="20" w:line="240" w:lineRule="auto"/>
              <w:jc w:val="left"/>
            </w:pPr>
            <w:r>
              <w:t xml:space="preserve">Cap. 7</w:t>
            </w:r>
          </w:p>
        </w:tc>
      </w:tr>
    </w:tbl>
    <w:p/>
    <w:sectPr>
      <w:footerReference w:type="default" r:id="rIdF1"/>
      <w:pgSz w:w="11906" w:h="16838"/>
      <w:pgMar w:top="1417" w:right="1417" w:bottom="1417" w:left="1701" w:header="708" w:footer="708"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abstractNum>
  <w:num w:numId="1">
    <w:abstractNumId w:val="0"/>
  </w:num>
</w:numbering>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cs="Times New Roman"/>
        <w:sz w:val="24"/>
        <w:szCs w:val="24"/>
        <w:lang w:val="es-AR"/>
      </w:rPr>
    </w:rPrDefault>
    <w:pPrDefault>
      <w:pPr>
        <w:spacing w:after="160" w:line="360" w:lineRule="auto"/>
        <w:jc w:val="both"/>
      </w:pPr>
    </w:pPrDefault>
  </w:docDefaults>
  <w:style w:type="paragraph" w:default="1" w:styleId="Normal">
    <w:name w:val="Normal"/>
  </w:style>
  <w:style w:type="paragraph" w:styleId="Title">
    <w:name w:val="Title"/>
    <w:basedOn w:val="Normal"/>
    <w:pPr>
      <w:jc w:val="center"/>
      <w:spacing w:before="240" w:after="240" w:line="276" w:lineRule="auto"/>
    </w:pPr>
    <w:rPr>
      <w:b/>
      <w:sz w:val="40"/>
      <w:szCs w:val="40"/>
    </w:rPr>
  </w:style>
  <w:style w:type="paragraph" w:styleId="Heading1">
    <w:name w:val="heading 1"/>
    <w:basedOn w:val="Normal"/>
    <w:next w:val="Normal"/>
    <w:pPr>
      <w:keepNext/>
      <w:spacing w:before="360" w:after="160" w:line="276" w:lineRule="auto"/>
      <w:outlineLvl w:val="0"/>
      <w:jc w:val="left"/>
    </w:pPr>
    <w:rPr>
      <w:b/>
      <w:color w:val="1F2937"/>
      <w:sz w:val="32"/>
      <w:szCs w:val="32"/>
    </w:rPr>
  </w:style>
  <w:style w:type="paragraph" w:styleId="Heading2">
    <w:name w:val="heading 2"/>
    <w:basedOn w:val="Normal"/>
    <w:next w:val="Normal"/>
    <w:pPr>
      <w:keepNext/>
      <w:spacing w:before="280" w:after="120" w:line="276" w:lineRule="auto"/>
      <w:outlineLvl w:val="1"/>
      <w:jc w:val="left"/>
    </w:pPr>
    <w:rPr>
      <w:b/>
      <w:color w:val="1F2937"/>
      <w:sz w:val="28"/>
      <w:szCs w:val="28"/>
    </w:rPr>
  </w:style>
  <w:style w:type="paragraph" w:styleId="Heading3">
    <w:name w:val="heading 3"/>
    <w:basedOn w:val="Normal"/>
    <w:next w:val="Normal"/>
    <w:pPr>
      <w:keepNext/>
      <w:spacing w:before="200" w:after="100" w:line="276" w:lineRule="auto"/>
      <w:outlineLvl w:val="2"/>
      <w:jc w:val="left"/>
    </w:pPr>
    <w:rPr>
      <w:b/>
      <w:color w:val="1F2937"/>
      <w:sz w:val="26"/>
      <w:szCs w:val="26"/>
    </w:rPr>
  </w:style>
  <w:style w:type="paragraph" w:styleId="ListParagraph">
    <w:name w:val="List Paragraph"/>
    <w:basedOn w:val="Normal"/>
    <w:pPr>
      <w:ind w:left="720"/>
      <w:contextualSpacing/>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F1" Type="http://schemas.openxmlformats.org/officeDocument/2006/relationships/footer" Target="footer1.xml"/></Relationships>
</file>