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cuatro procesos programados: seguimiento, recordatorio de pago y reporte diario de métricas, más una reconciliación periódica que audita la facturación.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four scheduled processes: follow-up, payment reminder and daily metrics reporting, plus a periodic reconciliation that audits invoicing.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en efecto,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Su cumplimiento se verifica en el Capítulo 5. El §3.1 desarrolla en detalle el fundamento metodológico de esta decisión.</w:t>
      </w:r>
    </w:p>
    <w:p w:rsidR="00D60FC7" w:rsidRDefault="00000000">
      <w:pPr/>
      <w:proofErr w:type="spellStart"/>
      <w:proofErr w:type="spellEnd"/>
      <w:proofErr w:type="spellStart"/>
      <w:proofErr w:type="spellEnd"/>
      <w:r>
        <w:rPr>
          <w:i w:val="0"/>
        </w:rPr>
        <w:t>Proposición orientadora. Que no se formule una hipótesis estadística no significa que el trabajo no se someta a un enunciado contrastable. Se lo explicita aquí para que su verificación pueda juzgarse sin ambigüedad: el ciclo de vida comercial de un profesional independiente puede ejecutarse de extremo a extremo mediante la orquestación de eventos de bajo código, conservando el profesional la decisión sobre los términos comerciales de cada oportunidad y siendo el estado de esta reconstruible a partir de lo registrado. La proposición se habría considerado refutada en tres supuestos: que algún flujo del ciclo no pudiera completarse; que el sistema tomara por el profesional una decisión de negocio reservada a él; o que el estado de una oportunidad no pudiera reconstruirse con lo que el sistema persiste. El §1.3 desarrolla por qué el segundo de esos supuestos llegó a verificarse durante el desarrollo y cómo se lo corrigió; el Capítulo 5 reporta la verificación de los tres y el Capítulo 7 los responde uno a uno.</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Es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El conteo se obtiene con scripts/medir-carga-administrativa.mjs, que declara cada acción junto al nodo del flujo que la ejecuta y falla si alguno dejó de existir, de modo que la medición se invalida sola si el artefacto cambia. Corresponde subrayar su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 El OE3 reúne dos resultados que se verifican por separado —el ciclo comercial hasta la emisión del comprobante y el registro del cobro—. Su grado de cumplimiento se declara de forma independiente para cada uno en el Capítulo 7, porque el segundo depende de una pasarela externa y el primero no:</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 La variable sí se define operacionalmente y su componente contable se mide: de las dieciocho acciones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Además, varios de esos destinatarios están domiciliados en países que la Disposición 60-E/2016 no considera de protección adecuada, lo que activa el régimen de transferencia internacional de su art. 12. El §2.9 desarrolla las obligaciones aplicables; la dimensión se retoma en el Capítulo 6 y se difiere al Capítulo 8.</w:t>
      </w:r>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 Los apartados 2.1 a 2.6 desarrollan ese marco conceptual. Los apartados 2.7 y 2.8 cumplen una función distinta: situar el trabajo frente a las soluciones que ya atienden el mismo problema y justificar la decisión de construir una propia. El apartado 2.9, por último, delimita el encuadre normativo que alcanza a lo que el sistema efectivamente hace.</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por ejemplo,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n8n es una plataforma de automatización de flujos de trabajo que permite integrar aplicaciones y servicios mediante nodos configurables conectados en un lienzo visual (n8n,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Next.js es un framework de desarrollo web construido sobre la biblioteca React que habilita un modelo de renderizado híbrido: combina componentes que se ejecutan en el servidor (React Server Components) con componentes de cliente. Además, organiza la aplicación mediante un enrutador basado en el sistema de archivos (App Router) (Vercel, 2024). Este modelo permite ejecutar en el servidor las verificaciones sensibles —como la validación de la sesión antes de renderizar una página protegida— y reservar para el cliente la interactividad, lo que resulta pertinente para una aplicación que combina un formulario público con un tablero de control autenticado.</w:t>
      </w:r>
      <w:proofErr w:type="spellStart"/>
      <w:r/>
      <w:proofErr w:type="spellEnd"/>
      <w:r/>
      <w:proofErr w:type="spellStart"/>
      <w:r/>
      <w:proofErr w:type="spellEnd"/>
      <w:r/>
      <w:proofErr w:type="spellStart"/>
      <w:r>
        <w:rPr>
          <w:i/>
        </w:rPr>
      </w:r>
      <w:proofErr w:type="spellEnd"/>
      <w:r>
        <w:rPr>
          <w:i/>
        </w:rPr>
      </w:r>
      <w:proofErr w:type="spellStart"/>
      <w:r>
        <w:rPr>
          <w:i/>
        </w:rPr>
      </w:r>
      <w:proofErr w:type="spellEnd"/>
      <w:r/>
      <w:r>
        <w:rPr>
          <w:i/>
        </w:rPr>
      </w:r>
      <w:proofErr w:type="spellStart"/>
      <w:r>
        <w:rPr>
          <w:i/>
        </w:rPr>
      </w:r>
      <w:proofErr w:type="spellEnd"/>
      <w:r/>
      <w:proofErr w:type="spellStart"/>
      <w:r/>
      <w:proofErr w:type="spellEnd"/>
      <w:r/>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A ellos se suma un estudio arbitrado sobre la adopción de plataformas iPaaS en particular: Neifer, Lawo, Bossauer y Gadatsch (2021) derivan, a partir de diez entrevistas con expertos de proveedores de software como servicio, las prácticas de integración y las barreras y los impulsores de esa adopción, y concluyen que los factores determinantes son la estandarización de los modelos de datos, la usabilidad y la variedad de los conectores disponibles, y los problemas de privacidad, seguridad y transparencia en el tratamiento del dato. El tercero de esos factores coincide con el argumento de custodia que el §2.8 invoca para justificar la construcción de una solución propia y con la dimensión normativa que desarrolla el §2.9, de modo que esa preocupación no es una preferencia de los autores sino un determinante documentado de la adopción. Lo que la literatura consultada no ofrece es una evaluación independiente de los cuatro productos concretos que este apartado compara.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Wojciechowski, Lewandowicz y Hadaś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Prybutok y Sinha (2025) revisan sistemáticamente la literatura sobre los factores que determinan la efectividad de quien construye con herramientas de bajo código sin ser un desarrollador de oficio —el «desarrollador ciudadano»—. Esa revisión respalda con literatura arbitrada la figura invocada en el §2.8 para justificar la decisión de construir. Ninguno de los dos trata la adopción de plataformas iPaaS en particular —esa dimensión la cubre el estudio de Neifer et al. (2021) ya citado—, y ninguno evalúa de forma independiente a los cuatro productos que aquí se comparan, que es la laguna que efectivamente se mantiene.</w:t>
      </w:r>
    </w:p>
    <w:p>
      <w:pPr>
        <w:pStyle w:val="Prrafodelista"/>
      </w:pPr>
      <w:r>
        <w:rPr>
          <w:b/>
          <w:i w:val="0"/>
        </w:rPr>
        <w:t>Las fuentes de la comparación son, en su mayor parte, las de los propios evaluados. Las cuatro herramientas se caracterizan a partir de su documentación y de sus páginas de precios, consultadas el 17 de agosto de 2026, fecha que cada celda de la Tabla 13 consigna. Para que la comparación no dependa además de un recorte arbitrario de aspectos, las dimensiones que se contrastan se fijaron antes de compararlas y se derivan del problema planteado en §1.2: sistema de registro propio, reglas de calificación propias, cierre del ciclo hasta el comprobante, control sobre la lógica de negocio, custodia del dato, esfuerzo de puesta en marcha y madurez operativa. Son las siete que ordena la Tabla 14, y constituyen una aplicación reducida del tipo de marco multicriterio que propone Lamanna (2025), no una evaluación exhaustiva. Subsiste, con todo, la limitación de fondo: no se incorporaron análisis independientes ni estudios de adopción de terceros, de modo que las afirmaciones funcionales sobre los cuatro productos describen lo que cada proveedor declara de sí mismo y no lo que un tercero verificó.</w:t>
      </w:r>
      <w:r>
        <w:rPr>
          <w:b w:val="0"/>
          <w:i w:val="0"/>
        </w:rPr>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un preprint todavía sin revisión por pares). Aporta así evidencia empírica independiente —aunque preliminar y no arbitrada—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Las otras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Esa excepción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r/>
    </w:p>
    <w:p w:rsidR="00D60FC7" w:rsidRDefault="00000000">
      <w:pPr/>
      <w:proofErr w:type="spellStart"/>
      <w:proofErr w:type="spellEnd"/>
      <w:r>
        <w:rPr>
          <w:b/>
        </w:rPr>
        <w:t>Cesión y transferencia internacional.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Además,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Además debe consignar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Esta es la segunda edición del modelo de calidad del producto de software vigente y reemplaza a la edición de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Revisión en tres anchos (360, 768 y 1440 px). Recuento automatizado de los códigos cubiertos por translateAuthError sobre el conjunto de códigos que la plataforma puede devolver en los tres flujos que la aplicación invoca (signUp, signInWithPassword y verifyOtp), declarados uno por uno en tests/auth_errores.js.</w:t>
            </w:r>
            <w:r>
              <w:rPr>
                <w:b w:val="0"/>
                <w:i w:val="0"/>
                <w:sz w:val="14"/>
                <w:rFonts w:ascii="Consolas" w:hAnsi="Consolas" w:cs="Consolas"/>
              </w:rPr>
            </w:r>
            <w:r>
              <w:rPr>
                <w:b w:val="0"/>
                <w:i w:val="0"/>
                <w:sz w:val="14"/>
              </w:rPr>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El frontend se organiza con el App Router de Next.js. Las rutas principales son el formulario público (/), las pantallas de autenticación (/login, /register), el tablero protegido (/dashboard) y la página de aceptación (/aceptar/[leadId]). A ellas se suman los manejadores de confirmación y cierre de sesión (/auth/confirm, /auth/signout), el tablero de tickets (/dashboard/tickets, correspondiente al módulo fuera de alcance que declara el Anexo B) y las tres páginas de retorno del checkout de MercadoPago (/pago-exitoso, /pago-pendiente y /pago-fallido), que son las back_urls declaradas en la preferencia de pago (§4.3.3).</w:t>
      </w:r>
      <w:proofErr w:type="spellStart"/>
      <w:r/>
      <w:proofErr w:type="spellEnd"/>
      <w:r/>
      <w:proofErr w:type="spellStart"/>
      <w:r/>
      <w:proofErr w:type="spellEnd"/>
      <w:r/>
      <w:r>
        <w:rPr>
          <w:rFonts w:ascii="Consolas" w:hAnsi="Consolas" w:cs="Consolas"/>
        </w:rPr>
      </w:r>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El componente lead-form.tsx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NEXT_PUBLIC_N8N_BASE. Ante una respuesta satisfactoria se muestra una confirmación; ante un error, un mensaje de alerta. Con esto se satisface el OE1 (Figura 5, véase Anexo A). En §4.3.1 se analizan tres consecuencias de este diseño. La primera es el desajuste entre el rango del control deslizante y los tramos de puntaje. La segunda, que cuatro de los nueve valores ponderados del scoring no pueden originarse en este formulario. Y la tercera, el sesgo con que la opción «Otro» penalizaba a los leads que el sistema no supo clasificar. La Figura 17 documenta el comportamiento de esa validación ante una entrada inválida (véase Anexo A).</w:t>
      </w:r>
      <w:r>
        <w:rPr>
          <w:rFonts w:ascii="Consolas" w:hAnsi="Consolas"/>
        </w:rPr>
      </w:r>
      <w:r/>
      <w:r>
        <w:rPr>
          <w:rFonts w:ascii="Consolas" w:hAnsi="Consolas"/>
        </w:rPr>
      </w:r>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El acceso al tablero se resuelve con Supabase Auth por correo y contraseña. El registro (register-form.tsx) invoca signUp —crea la cuenta y dispara el correo de confirmación— con redirección a /auth/confirm; el inicio de sesión (login-form.tsx) invoca signInWithPassword —valida las credenciales y abre la sesión—; el manejador /auth/confirm verifica el código de un solo uso (verifyOtp, que canjea el enlace del correo por una sesión válida) y el manejador /auth/signout cierra la sesión. Los códigos de error de Supabase se traducen a mensajes en español mediante la función translateAuthError del módulo auth-errors.ts, en cumplimiento del RNF5.</w:t>
      </w:r>
      <w:proofErr w:type="spellStart"/>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La protección de rutas se resuelve en dos niveles, en un esquema de defensa en profundidad. El primero es el archivo proxy.ts —la convención vigente en Next.js 16, que reemplaza al histórico middleware.ts—, apoyado en el ayudante updateSession del módulo lib/supabase/middleware.ts. En cada petición comprueba si la ruta pertenece al conjunto de rutas protegidas (PROTECTED_ROUTES, que incluye /dashboard) y, mediante getUser —que consulta la sesión vigente contra Supabase—, valida la sesión. Si no hay usuario, redirige a /login conservando el destino original en el parámetro redirectTo.</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(client.ts), un cliente de servidor que gestiona la sesión mediante cookies (server.ts) y un cliente para la comprobación de sesión en la capa de proxy (middleware.ts). Este último se ejecuta en el entorno de Node.js. Todos comparten un criterio defensivo: si faltan las variables de entorno, devuelven un valor nulo en lugar de interrumpir la construcción de la aplicación, lo que permite desplegar sin configurar y evita caídas del despliegue (RNF3).</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El proceso se dispara con el webhook POST /lead/nuevo. El primer nodo, Normalizar Lead, ejecuta código JavaScript que recorta y estandariza los campos: convierte el correo a minúsculas e interpreta el presupuesto como entero. Restringe además la urgencia al conjunto {alta, media, baja} —con media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LD-&lt;timestamp&gt;-&lt;aleatorio&gt; y trunca la descripción a 2000 caracteres. El lead normalizado se persiste con el nodo Insert Lead en la tabla leads.</w:t>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Un servicio que no reconoce recibe, de este modo,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era deliberado señalarlo: la garantía se había aplicado donde el riesgo era la doble facturación y no donde el riesgo era el duplicado comercial. El 27 de agosto de 2026 se cerró en las dos puntas que el diagnóstico proponía.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El segundo es que un lead calificado como HOT o WARM quede sin que el profesional envíe la propuesta: el cálculo del puntaje precede a la inserción, de modo que todo lead se persiste ya calificado. Sin embargo, desde que esa decisión pasó a depender de una acción manual desde el tablero (§4.3.2), el estado NUEVO ya no es solo el punto de partida del ciclo, sino también la sala de espera de toda propuesta pendiente de enviarse. Un proceso programado que detecte leads HOT o WARM sin propuesta enviada con antigüedad superior a un umbral resolvería el caso; se registra en el Capítulo 8.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r>
        <w:rPr>
          <w:b w:val="0"/>
          <w:i/>
        </w:rPr>
      </w:r>
      <w:r>
        <w:rPr>
          <w:b w:val="0"/>
          <w:i w:val="0"/>
        </w:rPr>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ese modo,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Ahí el profesional carga precio, plazo y alcance. El nodo Guardar Términos aplica una actualización condicional —UPDATE … WHERE estado = 'NUEVO' AND tier IN ('HOT','WARM')— del mismo tipo que la de la aceptación, de modo que repetir la petición no reabre una propuesta ya enviada.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y la envía por correo. Persiste la factura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 Esa atomicidad se limita, sin embargo, a un único nodo. Entre la transición a ACEPTADO y la persistencia de la factura median cuatro operaciones sobre servicios externos: la generación del HTML, la conversión a PDF por Gotenberg, el envío por correo y la inserción en la tabla facturas.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Además, reemite el comprobante sin reenviar el correo con el PDF, que queda a cargo del proceso de recordatorios de pago en su siguiente pasada o del profesional, avisado por Telegram. La Figura 2 representa la secuencia completa y delimita el alcance de la transacción. El correo con el que la factura llega al cliente y el comprobante en PDF que lleva adjunto se reproducen en las Figuras 14 y 15 (véase Anexo A).</w:t>
      </w:r>
      <w:r>
        <w:rPr>
          <w:b w:val="0"/>
          <w:i w:val="0"/>
        </w:rPr>
      </w:r>
      <w:r>
        <w:rPr>
          <w:rFonts w:ascii="Consolas" w:hAnsi="Consolas" w:cs="Consolas"/>
          <w:b w:val="0"/>
          <w:i w:val="0"/>
        </w:rPr>
      </w:r>
      <w:r>
        <w:rPr>
          <w:b w:val="0"/>
          <w:i w:val="0"/>
        </w:rPr>
      </w:r>
      <w:r>
        <w:rPr>
          <w:b w:val="0"/>
          <w:i w:val="0"/>
        </w:rPr>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3051445"/>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3051445"/>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4026748"/>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4026748"/>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9 y la suma del embudo, 23. No se trata de una inconsistencia de datos sino de dos criterios de agregación distintos.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2253176"/>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2253176"/>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de los trece webhooks, dos emplean barra como separador —/lead/nuevo y /mp/notificacion— y los once restantes emplean guion (/lead-acepta, /lead-rechaza, etc.). La ruta de captación diverge por motivos históricos —fue la primera en construirse—; la de MercadoPago diverge porque su formato lo impone el proveedor. Ninguna de las dos tiene efecto funcional, pero rompen la uniformidad del contrato de integración. Unificar el criterio de las rutas propias exige actualizar la variable de entorno del frontend y el nodo correspondiente del flujo; se registra en el Capítulo 8.</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y /mp/notificacion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Se destacan tres decisiones. Primera, el patrón de tres clientes de Supabase, que separa las responsabilidades de navegador, servidor y capa de proxy —esta última también en el entorno de Node.js, no en el borde (§4.2.3)—. Esto está en línea con el modelo de renderizado híbrido de Next.js. Segunda, la degradación defensiva ante la ausencia de variables de entorno, que privilegia la resiliencia del despliegue. Tercera, la elección de tiempo real por suscripción frente al sondeo periódico para el tablero, que reduce la latencia de actualización y el consumo innecesario de recursos.</w:t>
      </w:r>
      <w:r>
        <w:rPr>
          <w:b/>
        </w:rPr>
      </w:r>
      <w:proofErr w:type="spellStart"/>
      <w:r>
        <w:rPr>
          <w:b/>
        </w:rPr>
      </w:r>
      <w:proofErr w:type="spellEnd"/>
      <w:r/>
      <w:r>
        <w:rPr>
          <w:b/>
        </w:rPr>
      </w:r>
      <w:r/>
      <w:r>
        <w:rPr>
          <w:b/>
        </w:rPr>
      </w:r>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se inserta ya calificado: el cálculo del puntaje precede a la persistencia, no al revés. Permanece en estado NUEVO hasta que el profesional envía la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ausencia de un proceso desatendido que reclame a un lead calificado que el profesional no llega a enviar (§4.3.1). De los ocho, dos dejaron de estar abiertos el 27 de agosto de 2026, y por la vía que la propia Tabla 11 tenía escrita.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Quedan abiertos, en distinto grado, S1, S3, S4 y S8, y la falta de un proceso que reclame al lead calificado que queda a la espera de que el profesional envíe su propuesta.</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Los quince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Corrida automatizada de tests/escenarios.mjs (docs/evidencia-validacion.md), reejecutada el 29 de agosto de 2026 con los doce escenarios en verde. La suite consulta la base hasta que estado_trabajo pasa a EN_PROGRESO y comprueba que el lead tenga card_id, es decir que la ficha del tablero externo se creó. No se reproduce una captura de esa ficha: la sincronización se acredita por el identificador que devuelve la API de Notion y que queda persistido en la fila.</w:t>
            </w:r>
            <w:r>
              <w:rPr>
                <w:b w:val="0"/>
                <w:i w:val="0"/>
                <w:sz w:val="13"/>
              </w:rPr>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El 28-ago-2026 se ejecutó el escenario contra el sistema real y la cadena llegó hasta el final: la API de Telegram devolvió ok = true y message_id = 594, y el texto entregado reproduce los indicadores del mes —mes = 2026-08, 6 leads (3 HOT), facturado 11.700 USD, cobrado 7.200, pendiente 4.500, tasa de cobro 61,5 % y 8 propuestas esperando términos—, idénticos a los que devuelve metrics_mensuales</w:t>
            </w:r>
          </w:p>
        </w:tc>
        <w:tc>
          <w:tcPr>
            <w:tcW w:type="dxa" w:w="1928"/>
          </w:tcPr>
          <w:p>
            <w:pPr>
              <w:spacing w:after="40" w:before="40"/>
              <w:jc w:val="left"/>
            </w:pPr>
            <w:r>
              <w:rPr>
                <w:b/>
                <w:i w:val="0"/>
                <w:sz w:val="13"/>
              </w:rPr>
              <w:t>Respuesta de la API de Telegram con ok = true y message_id = 594 (28-ago-2026), que consigna el texto exacto entregado y permite contrastarlo con la vista. El disparo se hizo por la vía que el protocolo contempla para los procesos programados, sobre los nodos reales del flujo. La causa por la que este escenario no producía evidencia se había corregido el 24-ago-2026:</w:t>
            </w:r>
            <w:r>
              <w:rPr>
                <w:b w:val="0"/>
                <w:i w:val="0"/>
                <w:sz w:val="13"/>
              </w:rPr>
              <w:t xml:space="preserve">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w:t>
            </w:r>
          </w:p>
        </w:tc>
        <w:tc>
          <w:tcPr>
            <w:tcW w:type="dxa" w:w="1928"/>
          </w:tcPr>
          <w:p>
            <w:pPr>
              <w:spacing w:after="40" w:before="40"/>
              <w:jc w:val="left"/>
            </w:pPr>
            <w:r>
              <w:t>Ejecutado contra un doble que reproduce el contrato documentado de la API de MercadoPago (tests/e14-cobro-mp.mjs, tests/mp-doble.mjs, tests/fixtures-e14/), no contra el servicio real: la activación de credenciales de prueba del proveedor falla por una causa ajena al artefacto (§5). La validación con una operación real queda como trabajo futuro (Capítulo 8, punto 6).</w:t>
            </w:r>
          </w:p>
        </w:tc>
      </w:tr>
    </w:tbl>
    <w:p>
      <w:pPr/>
      <w:r>
        <w:rPr>
          <w:b w:val="0"/>
          <w:i/>
        </w:rPr>
        <w:t>Nota. Elaboración propia. Los valores de la columna «Resultado esperado» se derivan de las reglas de la Tabla 5 y son verificables por cálculo. Todos los escenarios cuentan con evidencia registrada. La de E11 y E12 proviene de una corrida manual y la de E14, de un doble de prueba; ambas circunstancias se declaran en la celda correspondiente en lugar de presentarse como equivalentes a una corrida automatizada contra el servicio real.</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quedaba actividad de agosto para que la vista agregue. Corregida esa causa el 24 de agosto, el escenario se reejecutó el 28 y esta vez sí entregó el reporte, con los valores que consigna su fila de la Tabla 12.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El patrón —una falla intermitente de la activación de usuarios de prueba en el entorno de sandbox— está documentado en reportes de otros desarrolladores en foros públicos de MercadoPago. La causa es, por lo tanto, del proveedor y no del artefacto.</w:t>
      </w:r>
    </w:p>
    <w:p w:rsidR="00D60FC7" w:rsidRDefault="00000000">
      <w:pPr/>
      <w:proofErr w:type="spellStart"/>
      <w:proofErr w:type="spellEnd"/>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21),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rPr>
          <w:b/>
        </w:rPr>
        <w:t>Alcance de lo que esa corrida acredita.</w:t>
      </w:r>
      <w:r>
        <w:t xml:space="preserve"> Verifica el comportamiento del artefacto contra el contrato documentado del proveedor, no el del proveedor mismo: un cambio no anunciado en la API de MercadoPago no sería detectado por esta prueba. La validación con una operación real sigue pendiente y se registra como trabajo futuro (Capítulo 8, punto 6). Corresponde una segunda precisión, de método: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la corrida. La emisión de la factura por el camino completo es lo que verifica el escenario E5, ya ejecutado; lo que E14 verifica, y lo que esta corrida ejercita de punta a punta, es la rama de cobro.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tests/auth_errores.js cierra la mitad medible del RNF5: declara los veintidós códigos de error que la plataforma de autenticación puede devolver en los tres flujos que la aplicación invoca y comprueba que todos tengan mensaje en español.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En particular, son los tres requisitos que dependen de los procesos programados (RF8, RF9 y RF10). Tras la corrida manual de E11 a E13 del 23 de agosto de 2026, el seguimiento y los recordatorios dejaron evidencia en la base y quedan verificados parcialmente, por los tramos que no se ejercitaron y que sus filas del Anexo E detallan. El reporte diario quedó pendiente hasta el 28 de agosto de 2026, cuando se lo ejecutó contra el sistema real: la API de Telegram confirmó la entrega (ok = true, message_id = 594) y los indicadores del mensaje coinciden con los de la vista metrics_mensuales, de modo que el RF10 queda verificado.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Los totales a doce meses son el producto directo del costo mensual por doce. La estimación no incorpora el costo del desarrollo ni el del mantenimiento, que se consignan por separado en la última fila por no ser monetizables sin una tarifa horaria declarada.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 Las siete dimensiones se fijaron antes de la comparación y se derivan del problema planteado en §1.2, según se explica en §2.7. Las celdas de la solución construida se resuelven contra el artefacto —el esquema db/schema.sql, el flujo exportado y la Tabla 5—; las de las cuatro alternativas, contra la documentación y las páginas de precios de cada proveedor consultadas el 17 de agosto de 2026, con la limitación de fuente que §2.7 declara.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Además,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A eso se suma que la transferencia de esos datos a encargados domiciliados en países que la Disposición 60-E/2016 no reconoce como de protección adecuada agrega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 Se incorporaron los procesos programados de seguimiento, recordatorio de pago y reporte diario. Cumplido. El seguimiento y los recordatorios de pago se ejercitaron manualmente el 23-ago-2026 (E11, E12), lo que reveló y permitió corregir tres defectos reales. El reporte diario (E13) se ejecutó el 28-ago-2026 contra el sistema real: la API de Telegram confirmó la entrega (ok = true, message_id = 594) y los indicadores del mensaje coinciden con los de la vista metrics_mensuales (Capítulo 5). Subsiste, dentro de los dos primeros, la cobertura parcial que declaran los requisitos RF8 y RF9: la transición a PERDIDO del tercer seguimiento y el escalón RECORDATORIO de los vencimientos no se ejercitaron por falta de datos de prueba en ese rango.</w:t>
      </w:r>
      <w:r/>
      <w:r>
        <w:rPr>
          <w:b/>
        </w:rPr>
      </w:r>
    </w:p>
    <w:p w:rsidR="00D60FC7" w:rsidRDefault="00000000">
      <w:proofErr w:type="spellStart"/>
      <w:proofErr w:type="spellEnd"/>
      <w:proofErr w:type="spellStart"/>
      <w:proofErr w:type="spellEnd"/>
      <w:r>
        <w:rPr>
          <w:b/>
          <w:i w:val="0"/>
        </w:rPr>
        <w:t>Respuesta al objetivo general.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cuatro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Asimismo,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logs y un tablero que expone el embudo completo.</w:t>
      </w:r>
      <w:r>
        <w:rPr>
          <w:b w:val="0"/>
          <w:i w:val="0"/>
        </w:rPr>
      </w:r>
      <w:r>
        <w:rPr>
          <w:rFonts w:ascii="Consolas" w:hAnsi="Consolas" w:cs="Consolas"/>
          <w:b w:val="0"/>
          <w:i w:val="0"/>
        </w:rPr>
      </w:r>
      <w:r>
        <w:rPr>
          <w:b w:val="0"/>
          <w:i w:val="0"/>
        </w:rPr>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sí está estimado: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entre los leads en NUEVO, a la propuesta calificada que el profesional dejó sin enviar (§4.3.1 y §4.3.2):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r>
        <w:rPr>
          <w:b w:val="0"/>
          <w:i w:val="0"/>
        </w:rPr>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rPr>
        <w:t>5. Completar el cumplimiento normativo. Es condición previa a operar con clientes reales, no una mejora opcional (§2.9). En materia de datos personales, corresponde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Falta además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un doble de prueba (escenario E14). Quedan tres tareas. La primera es repetir esa verificación contra el servicio real cuando la activación de credenciales de prueba del proveedor vuelva a estar disponible, que es lo único que la corrida actual no puede acreditar. Las otras dos son habilitar por defecto la validación de firma del webhook (MP_WEBHOOK_SECRET), hoy opcional, y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/mp/notificacion, esta última impuesta por el proveedor)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 Contrastar además la comparación de §2.7 contra evaluaciones de analistas independientes o datos agregados de usuarios, de modo que las afirmaciones funcionales sobre las cuatro alternativas dejen de apoyarse únicamente en lo que cada proveedor declara de sí mismo.</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ind w:left="720" w:hanging="72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proofErr w:type="spellStart"/>
      <w:proofErr w:type="spellEnd"/>
      <w:r>
        <w:rPr>
          <w:i w:val="0"/>
        </w:rPr>
        <w:t>Neifer, T., Lawo, D., Bossauer, P., &amp; Gadatsch, A. (2021). Decoding IPaaS: Investigation of user requirements for Integration Platforms as a Service. En Proceedings of the 18th International Conference on e-Business (pp. 47–55). SCITEPRESS. https://doi.org/10.5220/0010626000470055</w:t>
      </w:r>
      <w:r>
        <w:rPr>
          <w:i/>
        </w:rPr>
      </w:r>
      <w:r>
        <w:rPr>
          <w:i w:val="0"/>
        </w:rPr>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5047271"/>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5047271"/>
                    </a:xfrm>
                    <a:prstGeom prst="rect"/>
                  </pic:spPr>
                </pic:pic>
              </a:graphicData>
            </a:graphic>
          </wp:inline>
        </w:drawing>
      </w:r>
    </w:p>
    <w:p>
      <w:pPr>
        <w:keepLines/>
      </w:pPr>
      <w:r>
        <w:rPr>
          <w:b/>
          <w:i w:val="0"/>
          <w:sz w:val="17"/>
        </w:rPr>
        <w:t>Figura 6. Tablero de control interno: la bandeja de propuestas por enviar, desde la cual el profesional fija el precio, el plazo y el alcance antes del envío (§4.3.2); los indicadores del mes y el embudo por estado (§4.2.5, escenario E7). Nota. Captura propia, tomada el 29 de agosto de 2026 sobre el sistema en ejecución, con datos de prueba ficticios conforme al protocolo de la Tabla 4. Las facturas pendientes, los trabajos activos y los pedidos de cambio continúan por debajo del corte de la imagen. Obsérvese que el indicador «LEADS» (9) y la suma del embudo (23) no coinciden: responden a alcances temporales distintos, según se detalla en la Tabla 8.</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1216995"/>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1216995"/>
                    </a:xfrm>
                    <a:prstGeom prst="rect"/>
                  </pic:spPr>
                </pic:pic>
              </a:graphicData>
            </a:graphic>
          </wp:inline>
        </w:drawing>
      </w:r>
    </w:p>
    <w:p>
      <w:pPr>
        <w:keepLines/>
      </w:pPr>
      <w:r>
        <w:rPr>
          <w:b/>
          <w:i w:val="0"/>
          <w:sz w:val="17"/>
        </w:rPr>
        <w:t>Figura 8. Flujo de captación y calificación en n8n: webhook de nuevo lead, normalización, verificación de duplicados, scoring, inserción ya calificada y el aviso de que la propuesta queda pendiente de que el profesional la envíe (§4.3.1). Nota. Captura propia del lienzo de n8n.</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 Procesos programados en n8n: seguimiento de propuestas y recordatorios de pago (§4.3.5, escenarios E11 y E12). Nota. Captura propia del lienzo de n8n. Los otros dos procesos programados —el reporte diario de métricas y la reconciliación de facturas, incorporada el 27 de agosto de 2026— no están documentados en esta captura; la evidencia del primero corresponde al escenario E13, que se reporta en la Tabla 12 con la respuesta de la API de Telegram que confirma la entrega.</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3675887" cy="4741894"/>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4741894"/>
                    </a:xfrm>
                    <a:prstGeom prst="rect"/>
                  </pic:spPr>
                </pic:pic>
              </a:graphicData>
            </a:graphic>
          </wp:inline>
        </w:drawing>
      </w:r>
    </w:p>
    <w:p>
      <w:pPr>
        <w:keepLines/>
      </w:pPr>
      <w:r>
        <w:rPr>
          <w:b/>
          <w:i w:val="0"/>
          <w:sz w:val="17"/>
        </w:rPr>
        <w:t>Figura 13. Correo de propuesta generado por el sistema, con los términos fijados por el profesional (§4.3.1, escenario E5). Nota. La captura anterior mostraba el correo personal de uno de los autores como remitente y como lead de prueba, en incumplimiento del protocolo de la Tabla 4. Esta figura se generó ejecutando el nodo real Code - Generar Propuesta con datos neutros conforme a ese protocolo (Cliente Demo 1, dominio ejemplo.com) y los valores reales de E5 (precio 7200, plazo 3 semanas), renderizando el HTML resultante. El envío por Gmail no se ejecutó por la credencial vencida (Tabla 11); el contenido es el que ese nodo produce sin variación.</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4754880" cy="1834025"/>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1834025"/>
                    </a:xfrm>
                    <a:prstGeom prst="rect"/>
                  </pic:spPr>
                </pic:pic>
              </a:graphicData>
            </a:graphic>
          </wp:inline>
        </w:drawing>
      </w:r>
    </w:p>
    <w:p>
      <w:pPr>
        <w:keepLines/>
      </w:pPr>
      <w:r>
        <w:rPr>
          <w:b/>
          <w:i w:val="0"/>
          <w:sz w:val="17"/>
        </w:rPr>
        <w:t>Figura 14. Correo de envío de la factura con el comprobante adjunto en PDF (§4.3.2, escenario E5). Nota. La captura anterior mostraba el correo personal de uno de los autores. Esta figura se generó del mismo modo que la Figura 13, con los mismos datos neutros, ejecutando el mensaje real del nodo Gmail - Enviar Factura PDF. El nombre del adjunto es un identificador que el nodo HTTP Request de n8n asigna automáticamente a la respuesta binaria de Gotenberg cuando no se declara un nombre de archivo explícito; se verificó contra el código del flujo que no deriva del accept_token del lead ni de ningún otro dato sensible, sino que es un valor interno de n8n ajeno a la aplicación.</w:t>
      </w:r>
      <w:r>
        <w:rPr>
          <w:b w:val="0"/>
          <w:i w:val="0"/>
          <w:sz w:val="17"/>
        </w:rPr>
      </w:r>
      <w:r>
        <w:rPr>
          <w:b w:val="0"/>
          <w:i/>
          <w:sz w:val="17"/>
        </w:rPr>
      </w:r>
      <w:r>
        <w:rPr>
          <w:b w:val="0"/>
          <w:i w:val="0"/>
          <w:sz w:val="17"/>
        </w:rPr>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69057"/>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69057"/>
                    </a:xfrm>
                    <a:prstGeom prst="rect"/>
                  </pic:spPr>
                </pic:pic>
              </a:graphicData>
            </a:graphic>
          </wp:inline>
        </w:drawing>
      </w:r>
    </w:p>
    <w:p>
      <w:pPr>
        <w:keepLines/>
      </w:pPr>
      <w:r>
        <w:rPr>
          <w:b/>
          <w:i w:val="0"/>
          <w:sz w:val="17"/>
        </w:rPr>
        <w:t>Figura 16. Clasificación de leads por score y nivel: ejemplos HOT, WARM y COLD registrados en la tabla leads (§4.3.1, escenarios E1 a E3). Nota. La captura anterior usaba a los propios autores como leads de prueba y valores que no correspondían a E1-E3. Esta figura se generó enviando tres leads reales con los datos de la Tabla 4 (Cliente Demo 1 a 3, dominio ejemplo.com) y las entradas exactas de E1, E2 y E3, y consultando la tabla leads resultante: los tres puntajes (100, 47, 20) coinciden con la Tabla 12.</w:t>
      </w:r>
      <w:r>
        <w:rPr>
          <w:b w:val="0"/>
          <w:i w:val="0"/>
          <w:sz w:val="17"/>
        </w:rPr>
      </w:r>
      <w:r>
        <w:rPr>
          <w:rFonts w:ascii="Consolas" w:hAnsi="Consolas" w:cs="Consolas"/>
          <w:b w:val="0"/>
          <w:i w:val="0"/>
          <w:sz w:val="17"/>
        </w:rPr>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4754880" cy="1768033"/>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1768033"/>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pPr/>
      <w:r>
        <w:t>Corrida completa de tests/escenarios.mjs, ejecutada el 29 de agosto de 2026 a las 03:05 UTC contra el sistema levantado (n8n en http://localhost:5678, Supabase en la URL declarada en .env.local), sin editar. Los escenarios E1, E2 y E3 verifican el desglose del puntaje contra la Tabla 5, no sólo el total; las cuatro entradas inválidas de la Tabla 12 se verifican en una sola corrida (lead-invalido). A partir de E1b, todo lo que depende de que la propuesta o la factura salgan por correo falla por la credencial de Gmail vencida, ya señalada en §4.3.5; el proceso de reconciliación (§4.3.5) existe precisamente porque no depende de ella.</w:t>
      </w:r>
    </w:p>
    <w:p>
      <w:pPr/>
      <w:r>
        <w:t>Salida de la corrida (tests/escenarios.mjs, 29 de agosto de 2026, 03:05 UTC):</w:t>
      </w:r>
    </w:p>
    <w:tbl>
      <w:tblPr>
        <w:tblW w:type="auto" w:w="0"/>
        <w:tblLook w:firstColumn="1" w:firstRow="1" w:lastColumn="0" w:lastRow="0" w:noHBand="0" w:noVBand="1" w:val="04A0"/>
      </w:tblPr>
      <w:tblGrid>
        <w:gridCol w:w="2197"/>
        <w:gridCol w:w="2197"/>
        <w:gridCol w:w="2197"/>
        <w:gridCol w:w="2197"/>
      </w:tblGrid>
      <w:tr>
        <w:tc>
          <w:tcPr>
            <w:tcW w:type="dxa" w:w="2197"/>
          </w:tcPr>
          <w:p>
            <w:r>
              <w:t>Escenario</w:t>
            </w:r>
          </w:p>
        </w:tc>
        <w:tc>
          <w:tcPr>
            <w:tcW w:type="dxa" w:w="2197"/>
          </w:tcPr>
          <w:p>
            <w:r>
              <w:t>Descripción</w:t>
            </w:r>
          </w:p>
        </w:tc>
        <w:tc>
          <w:tcPr>
            <w:tcW w:type="dxa" w:w="2197"/>
          </w:tcPr>
          <w:p>
            <w:r>
              <w:t>Resultado</w:t>
            </w:r>
          </w:p>
        </w:tc>
        <w:tc>
          <w:tcPr>
            <w:tcW w:type="dxa" w:w="2197"/>
          </w:tcPr>
          <w:p>
            <w:r>
              <w:t>Tiempo</w:t>
            </w:r>
          </w:p>
        </w:tc>
      </w:tr>
      <w:tr>
        <w:tc>
          <w:tcPr>
            <w:tcW w:type="dxa" w:w="2197"/>
          </w:tcPr>
          <w:p>
            <w:r>
              <w:t>E1</w:t>
            </w:r>
          </w:p>
        </w:tc>
        <w:tc>
          <w:tcPr>
            <w:tcW w:type="dxa" w:w="2197"/>
          </w:tcPr>
          <w:p>
            <w:r>
              <w:t>Un lead de presupuesto alto se califica HOT y queda esperando propuesta</w:t>
            </w:r>
          </w:p>
        </w:tc>
        <w:tc>
          <w:tcPr>
            <w:tcW w:type="dxa" w:w="2197"/>
          </w:tcPr>
          <w:p>
            <w:r>
              <w:t>OK</w:t>
            </w:r>
          </w:p>
        </w:tc>
        <w:tc>
          <w:tcPr>
            <w:tcW w:type="dxa" w:w="2197"/>
          </w:tcPr>
          <w:p>
            <w:r>
              <w:t>5308 ms</w:t>
            </w:r>
          </w:p>
        </w:tc>
      </w:tr>
      <w:tr>
        <w:tc>
          <w:tcPr>
            <w:tcW w:type="dxa" w:w="2197"/>
          </w:tcPr>
          <w:p>
            <w:r>
              <w:t>E1b</w:t>
            </w:r>
          </w:p>
        </w:tc>
        <w:tc>
          <w:tcPr>
            <w:tcW w:type="dxa" w:w="2197"/>
          </w:tcPr>
          <w:p>
            <w:r>
              <w:t>El profesional fija precio, plazo y alcance, y recién ahí sale la propuesta</w:t>
            </w:r>
          </w:p>
        </w:tc>
        <w:tc>
          <w:tcPr>
            <w:tcW w:type="dxa" w:w="2197"/>
          </w:tcPr>
          <w:p>
            <w:r>
              <w:t>ERROR (Gmail vencido)</w:t>
            </w:r>
          </w:p>
        </w:tc>
        <w:tc>
          <w:tcPr>
            <w:tcW w:type="dxa" w:w="2197"/>
          </w:tcPr>
          <w:p>
            <w:r>
              <w:t>27473 ms</w:t>
            </w:r>
          </w:p>
        </w:tc>
      </w:tr>
      <w:tr>
        <w:tc>
          <w:tcPr>
            <w:tcW w:type="dxa" w:w="2197"/>
          </w:tcPr>
          <w:p>
            <w:r>
              <w:t>E2</w:t>
            </w:r>
          </w:p>
        </w:tc>
        <w:tc>
          <w:tcPr>
            <w:tcW w:type="dxa" w:w="2197"/>
          </w:tcPr>
          <w:p>
            <w:r>
              <w:t>Un lead de valor medio se califica WARM y también espera propuesta</w:t>
            </w:r>
          </w:p>
        </w:tc>
        <w:tc>
          <w:tcPr>
            <w:tcW w:type="dxa" w:w="2197"/>
          </w:tcPr>
          <w:p>
            <w:r>
              <w:t>OK</w:t>
            </w:r>
          </w:p>
        </w:tc>
        <w:tc>
          <w:tcPr>
            <w:tcW w:type="dxa" w:w="2197"/>
          </w:tcPr>
          <w:p>
            <w:r>
              <w:t>4834 ms</w:t>
            </w:r>
          </w:p>
        </w:tc>
      </w:tr>
      <w:tr>
        <w:tc>
          <w:tcPr>
            <w:tcW w:type="dxa" w:w="2197"/>
          </w:tcPr>
          <w:p>
            <w:r>
              <w:t>E3</w:t>
            </w:r>
          </w:p>
        </w:tc>
        <w:tc>
          <w:tcPr>
            <w:tcW w:type="dxa" w:w="2197"/>
          </w:tcPr>
          <w:p>
            <w:r>
              <w:t>Un lead de presupuesto bajo se califica COLD y NO recibe propuesta</w:t>
            </w:r>
          </w:p>
        </w:tc>
        <w:tc>
          <w:tcPr>
            <w:tcW w:type="dxa" w:w="2197"/>
          </w:tcPr>
          <w:p>
            <w:r>
              <w:t>FALLA (aviso por Gmail vencido)</w:t>
            </w:r>
          </w:p>
        </w:tc>
        <w:tc>
          <w:tcPr>
            <w:tcW w:type="dxa" w:w="2197"/>
          </w:tcPr>
          <w:p>
            <w:r>
              <w:t>4616 ms</w:t>
            </w:r>
          </w:p>
        </w:tc>
      </w:tr>
      <w:tr>
        <w:tc>
          <w:tcPr>
            <w:tcW w:type="dxa" w:w="2197"/>
          </w:tcPr>
          <w:p>
            <w:r>
              <w:t>E4</w:t>
            </w:r>
          </w:p>
        </w:tc>
        <w:tc>
          <w:tcPr>
            <w:tcW w:type="dxa" w:w="2197"/>
          </w:tcPr>
          <w:p>
            <w:r>
              <w:t>Un lead inválido se rechaza sin persistirse y queda registrado</w:t>
            </w:r>
          </w:p>
        </w:tc>
        <w:tc>
          <w:tcPr>
            <w:tcW w:type="dxa" w:w="2197"/>
          </w:tcPr>
          <w:p>
            <w:r>
              <w:t>OK</w:t>
            </w:r>
          </w:p>
        </w:tc>
        <w:tc>
          <w:tcPr>
            <w:tcW w:type="dxa" w:w="2197"/>
          </w:tcPr>
          <w:p>
            <w:r>
              <w:t>5529 ms</w:t>
            </w:r>
          </w:p>
        </w:tc>
      </w:tr>
      <w:tr>
        <w:tc>
          <w:tcPr>
            <w:tcW w:type="dxa" w:w="2197"/>
          </w:tcPr>
          <w:p>
            <w:r>
              <w:t>E5/E6</w:t>
            </w:r>
          </w:p>
        </w:tc>
        <w:tc>
          <w:tcPr>
            <w:tcW w:type="dxa" w:w="2197"/>
          </w:tcPr>
          <w:p>
            <w:r>
              <w:t>Aceptación válida y reutilización del enlace: una sola factura</w:t>
            </w:r>
          </w:p>
        </w:tc>
        <w:tc>
          <w:tcPr>
            <w:tcW w:type="dxa" w:w="2197"/>
          </w:tcPr>
          <w:p>
            <w:r>
              <w:t>ERROR (depende de E1b)</w:t>
            </w:r>
          </w:p>
        </w:tc>
        <w:tc>
          <w:tcPr>
            <w:tcW w:type="dxa" w:w="2197"/>
          </w:tcPr>
          <w:p>
            <w:r>
              <w:t>0 ms</w:t>
            </w:r>
          </w:p>
        </w:tc>
      </w:tr>
      <w:tr>
        <w:tc>
          <w:tcPr>
            <w:tcW w:type="dxa" w:w="2197"/>
          </w:tcPr>
          <w:p>
            <w:r>
              <w:t>E8</w:t>
            </w:r>
          </w:p>
        </w:tc>
        <w:tc>
          <w:tcPr>
            <w:tcW w:type="dxa" w:w="2197"/>
          </w:tcPr>
          <w:p>
            <w:r>
              <w:t>El rechazo de la propuesta deja el lead en PERDIDO</w:t>
            </w:r>
          </w:p>
        </w:tc>
        <w:tc>
          <w:tcPr>
            <w:tcW w:type="dxa" w:w="2197"/>
          </w:tcPr>
          <w:p>
            <w:r>
              <w:t>ERROR (depende de E1b)</w:t>
            </w:r>
          </w:p>
        </w:tc>
        <w:tc>
          <w:tcPr>
            <w:tcW w:type="dxa" w:w="2197"/>
          </w:tcPr>
          <w:p>
            <w:r>
              <w:t>28433 ms</w:t>
            </w:r>
          </w:p>
        </w:tc>
      </w:tr>
      <w:tr>
        <w:tc>
          <w:tcPr>
            <w:tcW w:type="dxa" w:w="2197"/>
          </w:tcPr>
          <w:p>
            <w:r>
              <w:t>E9</w:t>
            </w:r>
          </w:p>
        </w:tc>
        <w:tc>
          <w:tcPr>
            <w:tcW w:type="dxa" w:w="2197"/>
          </w:tcPr>
          <w:p>
            <w:r>
              <w:t>El pedido de cambios vuelve el lead a EN_SEGUIMIENTO y guarda el mensaje</w:t>
            </w:r>
          </w:p>
        </w:tc>
        <w:tc>
          <w:tcPr>
            <w:tcW w:type="dxa" w:w="2197"/>
          </w:tcPr>
          <w:p>
            <w:r>
              <w:t>ERROR (depende de E1b)</w:t>
            </w:r>
          </w:p>
        </w:tc>
        <w:tc>
          <w:tcPr>
            <w:tcW w:type="dxa" w:w="2197"/>
          </w:tcPr>
          <w:p>
            <w:r>
              <w:t>28996 ms</w:t>
            </w:r>
          </w:p>
        </w:tc>
      </w:tr>
      <w:tr>
        <w:tc>
          <w:tcPr>
            <w:tcW w:type="dxa" w:w="2197"/>
          </w:tcPr>
          <w:p>
            <w:r>
              <w:t>E10</w:t>
            </w:r>
          </w:p>
        </w:tc>
        <w:tc>
          <w:tcPr>
            <w:tcW w:type="dxa" w:w="2197"/>
          </w:tcPr>
          <w:p>
            <w:r>
              <w:t>El estado del trabajo se actualiza desde el panel y se sincroniza</w:t>
            </w:r>
          </w:p>
        </w:tc>
        <w:tc>
          <w:tcPr>
            <w:tcW w:type="dxa" w:w="2197"/>
          </w:tcPr>
          <w:p>
            <w:r>
              <w:t>ERROR (depende de E1b)</w:t>
            </w:r>
          </w:p>
        </w:tc>
        <w:tc>
          <w:tcPr>
            <w:tcW w:type="dxa" w:w="2197"/>
          </w:tcPr>
          <w:p>
            <w:r>
              <w:t>0 ms</w:t>
            </w:r>
          </w:p>
        </w:tc>
      </w:tr>
    </w:tbl>
    <w:p>
      <w:pPr/>
      <w:r>
        <w:t>Nota. El lead COLD no recibe una propuesta por diseño (Tabla 5); lo que falla en esa fila es el aviso de cortesía por Telegram y Gmail al lead, agrupado bajo la misma causa raíz. El detalle completo, con cada aserción, vive en docs/evidencia-validacion.md, que este mismo comando regenera en cada corrida.</w:t>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 En el lienzo de n8n estos procesos se agrupan bajo notas adhesivas tituladas «RAMA n», rotulación visual que no se corresponde con un orden ni se usa en el cuerpo del texto: RAMA 1 es la captación y calificación, RAMA 2 la aceptación y facturación, RAMA 3 el seguimiento de propuestas, RAMA 4 los recordatorios de pago, RAMA 5 el cierre de proyecto, RAMA 6 el reporte diario de métricas, RAMA 7 el manejo de errores, RAMA 8 la confirmación de pago con MercadoPago y RAMA 9 la reconciliación de facturas. Las figuras del Anexo A que muestran el lienzo conservan esa rotulación.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Los procesos de seguimiento y recordatorios de pago (E11, E12) se dispararon manualmente el 23-ago-2026, lo que reveló y permitió corregir tres defectos de expresión reales, y el reporte diario (E13) se ejecutó el 28-ago-2026 contra el sistema real: la API de Telegram confirmó la entrega (ok = true, message_id = 594) y los indicadores del mensaje coinciden con los de la vista metrics_mensuales. El cuarto proceso programado, la reconciliación de facturas incorporada el 27-ago-2026, se verifica por separado en tests/idempotencia.mjs (§5).</w:t>
            </w:r>
          </w:p>
        </w:tc>
        <w:tc>
          <w:tcPr>
            <w:tcW w:type="dxa" w:w="907"/>
          </w:tcPr>
          <w:p>
            <w:pPr>
              <w:spacing w:after="40" w:before="40"/>
              <w:jc w:val="left"/>
            </w:pPr>
            <w:r>
              <w:rPr>
                <w:b w:val="0"/>
                <w:i w:val="0"/>
                <w:sz w:val="14"/>
              </w:rPr>
              <w:t>Cap. 7</w:t>
            </w:r>
          </w:p>
        </w:tc>
      </w:tr>
    </w:tbl>
    <w:p>
      <w:pPr/>
      <w:r>
        <w:rPr>
          <w:b w:val="0"/>
          <w:i/>
        </w:rPr>
        <w:t>Nota. Elaboración propia.</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(E13): el reporte diario se ejecutó el 28-ago-2026 contra el sistema real y la API de Telegram confirmó la entrega (ok = true, message_id = 594) y los indicadores del mensaje coinciden con los de la vista metrics_mensuales. Antes,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La interfaz no desborda horizontalmente en los tres anchos revisados. El recuento formal, que hasta el 28 de agosto de 2026 estaba pendiente, se automatizó en tests/auth_errores.js (npm run test:autherrores): declara uno por uno los veintidós códigos que Supabase Auth puede devolver en los flujos de signUp, signInWithPassword y verifyOtp, y falla si alguno no tiene mensaje en español. Su primera ejecución acreditó que el requisito no se cumplía —once de veintidós—: faltaban, entre otros, los del enlace de confirmación vencido, que son los más probables en operación real. Incorporadas las traducciones faltantes, la cobertura es de 22/22.</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