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la actualización en tiempo real del tablero quedó fuera de esta verificación por una limitación de configuración de la plataforma utilizada.</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the dashboard's real-time updating fell outside this verification due to a platform configuration limitation.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i w:val="0"/>
        </w:rPr>
        <w:t>6.3 Incidente de seguridad abierto</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demostrando la viabilidad técnica de delegar en el sistema las tareas administrativas que hoy se ejecutan de forma manual.</w:t>
      </w:r>
    </w:p>
    <w:p>
      <w:pPr/>
      <w:r>
        <w:rPr>
          <w:b/>
          <w:i w:val="0"/>
        </w:rPr>
        <w:t>Delimitación del objetivo general.</w:t>
      </w:r>
      <w:r>
        <w:rPr>
          <w:b w:val="0"/>
          <w:i w:val="0"/>
        </w:rPr>
        <w:t xml:space="preserve"> Una formulación anterior de este objetivo incorporaba el resultado «reduciendo la carga administrativa manual». Se la reemplazó porque ningún objetivo específico operacionaliza esa variable y ningún escenario de validación la mide: el trabajo no define «carga administrativa» en términos medibles, no establece una línea de base previa y no toma una medición posterior. Mantener la promesa habría dejado al trabajo concluyendo sobre algo que su estrategia de validación no puede acreditar.</w:t>
      </w:r>
    </w:p>
    <w:p>
      <w:pPr/>
      <w:r>
        <w:rPr>
          <w:b w:val="0"/>
          <w:i w:val="0"/>
        </w:rPr>
        <w:t xml:space="preserve">Se propone, para el trabajo futuro que sí la mida,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entendiendo por acción manual toda interacción del profesional con una herramienta (redactar un correo, copiar datos entre sistemas, generar un documento, actualizar una planilla). La comparación exigiría medir una muestra de leads gestionados manualmente y otra gestionada por el sistema. El Capítulo 8 recoge esta línea.</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w:t>
      </w:r>
      <w:r>
        <w:rPr>
          <w:b w:val="0"/>
          <w:i w:val="0"/>
        </w:rPr>
        <w:t xml:space="preserve"> No se define operacionalmente ni se mide (§1.5). El trabajo acredita que los flujos funcionan,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i w:val="0"/>
        </w:rPr>
        <w:t>Pasarela de pago real.</w:t>
      </w:r>
      <w:r>
        <w:rPr>
          <w:b w:val="0"/>
          <w:i w:val="0"/>
        </w:rPr>
        <w:t xml:space="preserve"> La integración con MercadoPago (§4.3.3) no se validó con una operación en producción: las pruebas se ejecutaron con credenciales de prueba, y cuando no hay credenciales reales configuradas el sistema cae a un modo de desarrollo que confirma el cobro sin depender del proveedor.</w:t>
      </w:r>
    </w:p>
    <w:p>
      <w:pPr>
        <w:pStyle w:val="Prrafodelista"/>
      </w:pPr>
      <w:r>
        <w:rPr>
          <w:b/>
          <w:i w:val="0"/>
        </w:rPr>
        <w:t>Validez fiscal de los comprobantes.</w:t>
      </w:r>
      <w:r>
        <w:rPr>
          <w:b w:val="0"/>
          <w:i w:val="0"/>
        </w:rPr>
        <w:t xml:space="preserve"> El documento que el sistema genera y titula «FACTURA» es un </w:t>
      </w:r>
      <w:r>
        <w:rPr>
          <w:b w:val="0"/>
          <w:i/>
        </w:rPr>
        <w:t>comprobante interno sin valor fiscal</w:t>
      </w:r>
      <w:r>
        <w:rPr>
          <w:b w:val="0"/>
          <w:i w:val="0"/>
        </w:rPr>
        <w:t>: no contempla los requisitos del régimen de facturación electrónica argentino —CUIT del emisor, condición frente al IVA, tipo de comprobante ni código de autorización electrónica—. Su incorporación se plantea como trabajo futuro (Capítulo 8).</w:t>
      </w:r>
    </w:p>
    <w:p>
      <w:pPr>
        <w:pStyle w:val="Prrafodelista"/>
      </w:pPr>
      <w:r>
        <w:rPr>
          <w:b/>
          <w:i w:val="0"/>
        </w:rPr>
        <w:t>Tratamiento de datos personales.</w:t>
      </w:r>
      <w:r>
        <w:rPr>
          <w:b w:val="0"/>
          <w:i w:val="0"/>
        </w:rPr>
        <w:t xml:space="preserve"> El sistema capta, almacena y transfiere a terceros (Supabase, Gmail, Telegram y Notion) datos de contacto de personas físicas identificables. No se implementan aviso de privacidad, consentimiento informado, política de retención ni registro de la base conforme a la Ley 25.326 de Protección de Datos Personales. La dimensión se discute en el Capítulo 6 y se difiere al Capítulo 8.</w:t>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la que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n8n es una plataforma de automatización de flujos de trabajo que permite integrar aplicaciones y servicios mediante nodos configurables conectados en un lienzo visual (n8n.io,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roofErr w:type="spellStart"/>
      <w:r/>
      <w:proofErr w:type="spellEnd"/>
      <w:r/>
      <w:proofErr w:type="spellStart"/>
      <w:r/>
      <w:proofErr w:type="spellEnd"/>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que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b w:val="0"/>
          <w:i w:val="0"/>
        </w:rPr>
        <w:t>La Tabla 2 presenta los requisitos no funcionales (RNF), organizados según las características de calidad de la norma ISO/IEC 25010:2023, segunda edición del modelo de calidad del producto de software, que cancela y reemplaza a la edición 2011 empleada en una versión anterior de este trabajo. Dos características cambiaron de nombre en la edición vigente: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b w:val="0"/>
                <w:i w:val="0"/>
                <w:sz w:val="14"/>
              </w:rPr>
              <w:t xml:space="preserve">20 altas consecutivas con el tablero abierto, midiendo el intervalo entre </w:t>
            </w:r>
            <w:r>
              <w:rPr>
                <w:b w:val="0"/>
                <w:i w:val="0"/>
                <w:sz w:val="14"/>
                <w:rFonts w:ascii="Consolas" w:hAnsi="Consolas" w:cs="Consolas"/>
              </w:rPr>
              <w:t>fecha_ingreso</w:t>
            </w:r>
            <w:r>
              <w:rPr>
                <w:b w:val="0"/>
                <w:i w:val="0"/>
                <w:sz w:val="14"/>
              </w:rPr>
              <w:t xml:space="preserve"> y el repintado de la fila.</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sz w:val="15"/>
              </w:rPr>
              <w:t xml:space="preserve">Frontend en el despliegue de Vercel; n8n y Gotenberg en contenedores locales levantados con </w:t>
            </w:r>
            <w:r>
              <w:rPr>
                <w:b w:val="0"/>
                <w:i w:val="0"/>
                <w:sz w:val="15"/>
                <w:rFonts w:ascii="Consolas" w:hAnsi="Consolas" w:cs="Consolas"/>
              </w:rPr>
              <w:t>docker compose up -d</w:t>
            </w:r>
            <w:r>
              <w:rPr>
                <w:b w:val="0"/>
                <w:i w:val="0"/>
                <w:sz w:val="15"/>
              </w:rPr>
              <w:t xml:space="preserve"> (Anexo G); base de datos en el proyecto gestionado de Supabase. [Completar: sistema operativo y versión de Docker de la máquina de ejecución.]</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149 nodos funcionales —165 en total, incluidas 16 notas de documentación— organizados en trece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trece webhooks, tres procesos programados y 149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rPr>
          <w:b w:val="0"/>
          <w:i w:val="0"/>
        </w:rPr>
        <w:t xml:space="preserve">El componente </w:t>
      </w:r>
      <w:r>
        <w:rPr>
          <w:rFonts w:ascii="Consolas" w:hAnsi="Consolas" w:cs="Consolas"/>
          <w:b w:val="0"/>
          <w:i w:val="0"/>
        </w:rPr>
        <w:t>lead-form.tsx</w:t>
      </w:r>
      <w:r>
        <w:rPr>
          <w:b w:val="0"/>
          <w:i w:val="0"/>
        </w:rPr>
        <w:t xml:space="preserve">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cs="Consolas"/>
          <w:b w:val="0"/>
          <w:i w:val="0"/>
        </w:rPr>
        <w:t>NEXT_PUBLIC_N8N_BASE</w:t>
      </w:r>
      <w:r>
        <w:rPr>
          <w:b w:val="0"/>
          <w:i w:val="0"/>
        </w:rPr>
        <w:t>. Ante una respuesta satisfactoria se muestra una confirmación; ante un error, un mensaje de alerta. Con esto se satisface el OE1 (Figura 5, véase Anexo A). En §4.3.1 se analizan tres consecuencias de este diseño que el trabajo no había discutido: el desajuste entre el rango del control deslizante y los tramos de puntaje, el hecho de que tres de los nueve valores ponderados del scoring no puedan originarse en este formulario, y el sesgo con que la opción «Otro» penalizaba a los leads que el sistema no supo clasificar.</w:t>
      </w:r>
      <w:r>
        <w:rPr>
          <w:b w:val="0"/>
          <w:i w:val="0"/>
        </w:rPr>
        <w:t xml:space="preserve"> La Figura 17 documenta el comportamiento de esa validación ante una entrada inválida (véase Anexo A).</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rPr>
          <w:b w:val="0"/>
          <w:i w:val="0"/>
        </w:rPr>
        <w:t>Conviene precisar la naturaleza de esa capa, porque una formulación anterior de este apartado la describía como ejecutada «en el borde» y como el lugar donde «se implementa la protección». Ambas afirmaciones son incorrectas.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El segundo nivel —y el único que constituye un control de acceso efectivo— es el componente de servidor de la ruta protegida. </w:t>
      </w:r>
      <w:r>
        <w:rPr>
          <w:rFonts w:ascii="Consolas" w:hAnsi="Consolas" w:cs="Consolas"/>
          <w:b w:val="0"/>
          <w:i w:val="0"/>
        </w:rPr>
        <w:t>dashboard/page.tsx</w:t>
      </w:r>
      <w:r>
        <w:rPr>
          <w:b w:val="0"/>
          <w:i w:val="0"/>
        </w:rPr>
        <w:t xml:space="preserve"> vuelve a resolver </w:t>
      </w:r>
      <w:r>
        <w:rPr>
          <w:rFonts w:ascii="Consolas" w:hAnsi="Consolas" w:cs="Consolas"/>
          <w:b w:val="0"/>
          <w:i w:val="0"/>
        </w:rPr>
        <w:t>getUser</w:t>
      </w:r>
      <w:r>
        <w:rPr>
          <w:b w:val="0"/>
          <w:i w:val="0"/>
        </w:rPr>
        <w:t xml:space="preserve"> y, además, consulta la tabla </w:t>
      </w:r>
      <w:r>
        <w:rPr>
          <w:rFonts w:ascii="Consolas" w:hAnsi="Consolas" w:cs="Consolas"/>
          <w:b w:val="0"/>
          <w:i w:val="0"/>
        </w:rPr>
        <w:t>profiles</w:t>
      </w:r>
      <w:r>
        <w:rPr>
          <w:b w:val="0"/>
          <w:i w:val="0"/>
        </w:rPr>
        <w:t xml:space="preserve"> y redirige a la raíz a todo usuario cuyo </w:t>
      </w:r>
      <w:r>
        <w:rPr>
          <w:rFonts w:ascii="Consolas" w:hAnsi="Consolas" w:cs="Consolas"/>
          <w:b w:val="0"/>
          <w:i w:val="0"/>
        </w:rPr>
        <w:t>role</w:t>
      </w:r>
      <w:r>
        <w:rPr>
          <w:b w:val="0"/>
          <w:i w:val="0"/>
        </w:rPr>
        <w:t xml:space="preserve"> no sea </w:t>
      </w:r>
      <w:r>
        <w:rPr>
          <w:rFonts w:ascii="Consolas" w:hAnsi="Consolas" w:cs="Consolas"/>
          <w:b w:val="0"/>
          <w:i w:val="0"/>
        </w:rPr>
        <w:t>admin</w:t>
      </w:r>
      <w:r>
        <w:rPr>
          <w:b w:val="0"/>
          <w:i w:val="0"/>
        </w:rPr>
        <w:t>. No alcanza, por tanto, con estar autenticado: el tablero exige rol de administrador. Esta compuerta de rol no figuraba en versiones anteriores de este apartado, que describían únicamente la validación de sesión y presentaban así un control de acceso más débil que el efectivamente implementado.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149 nodos funcionales (165 en total, incluidas 16 notas adhesivas de documentación) y organiza la lógica de negocio en varios procesos: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 Desde que el envío de la propuesta exige la intervención del profesional (§4.3.2), ese proceso pasó a ser más necesario y no menos: el estado NUEVO cubre ahora dos situaciones —un fallo del scoring y un lead calificado a la espera de términos— y ninguna de las dos tiene hoy un mecanismo desatendido que la reclame.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p>
    <w:p>
      <w:pPr/>
      <w:r>
        <w:rPr>
          <w:b w:val="0"/>
          <w:i w:val="0"/>
        </w:rPr>
        <w:t>El mapeo de servicios merece una precisión, porque una versión anterior de este apartado declaraba dos valores por omisión distintos para el mismo campo. Se trata de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rPr>
          <w:b w:val="0"/>
          <w:i w:val="0"/>
        </w:rPr>
        <w:t>De este modo, toda selección del formulario recibe una ponderación de servicio determinada y trazable. Corresponde, no obstante, señalar tres consecuencias del diseño que el trabajo no había discutido y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pPr/>
      <w:r>
        <w:t>Los términos de la propuesta los fija el profesional. Hasta el 24 de agosto de 2026 la propuesta se generaba y se enviaba sola en cuanto el scoring clasificaba al lead como HOT o WARM, y el importe que anunciaba —la fila «Inversión»— se tomaba de la columna presupuesto, es decir del valor que el propio interesado había elegido en el control deslizante del formulario público. Ese mismo valor se convertía después en el monto de la factura, en el importe del comprobante en PDF y en el precio de la preferencia de cobro de MercadoPago. La consecuencia era que el sistema comprometía al profesional con un precio que él no fijaba en ningún punto del recorrido, lo que contradecía la condición de la pregunta de investigación de automatizar «sin sacrificar el control del profesional sobre el proceso» (§1.3). Se incorporó por eso el webhook POST /propuesta-enviar, invocado desde el tablero interno con la misma protección que el resto de las acciones internas: el lead calificado permanece en estado NUEVO y aparece en la sección «Propuestas por enviar», donde el profesional carga precio, plazo y alcance. El nodo Guardar Términos aplica una actualización condicional —UPDATE … WHERE estado = 'NUEVO' AND tier IN ('HOT','WARM')— del mismo tipo que la de la aceptación, de modo que repetir la petición no reabre una propuesta ya enviada, y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t xml:space="preserve">cliente y, en paralelo, produce la factura en HTML, la convierte a PDF mediante el servicio </w:t>
      </w:r>
      <w:proofErr w:type="spellStart"/>
      <w:r>
        <w:t>Gotenberg</w:t>
      </w:r>
      <w:proofErr w:type="spellEnd"/>
      <w:r>
        <w:t xml:space="preserve"> (Figura 13,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9, véase Anexo A)</w:t>
      </w:r>
      <w:r>
        <w:t>.</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2 representa la secuencia completa y delimita el alcance de la transacción.</w:t>
      </w:r>
      <w:r>
        <w:rPr>
          <w:b w:val="0"/>
          <w:i w:val="0"/>
        </w:rPr>
        <w:t xml:space="preserve"> El correo con el que la factura llega al cliente y el comprobante en PDF que lleva adjunto se reproducen en las Figuras 14 y 15 (véase Anexo A).</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—a diferencia de la confirmación en sí, que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el mismo endpoint que documentaban versiones anteriores de este apartado (Figura 10, véase Anexo A).</w:t>
      </w:r>
      <w:r>
        <w:rPr>
          <w:rFonts w:ascii="Consolas" w:hAnsi="Consolas" w:cs="Consolas"/>
          <w:b w:val="0"/>
          <w:i w:val="0"/>
        </w:rPr>
      </w:r>
      <w:r>
        <w:rPr>
          <w:b w:val="0"/>
          <w:i w:val="0"/>
        </w:rPr>
      </w:r>
      <w:r>
        <w:rPr>
          <w:b w:val="0"/>
          <w:i/>
        </w:rPr>
      </w:r>
      <w:r>
        <w:rPr>
          <w:b w:val="0"/>
          <w:i w:val="0"/>
        </w:rPr>
      </w:r>
      <w:r>
        <w:rPr>
          <w:b w:val="0"/>
          <w:i/>
        </w:rPr>
      </w:r>
      <w:r>
        <w:rPr>
          <w:b w:val="0"/>
          <w:i w:val="0"/>
        </w:rPr>
      </w:r>
    </w:p>
    <w:p>
      <w:pPr/>
      <w:r>
        <w:rPr>
          <w:b/>
          <w:i w:val="0"/>
        </w:rPr>
        <w:t>Modelo de confianza del modo de desarrollo. El endpoint GET /webhook/pago-confirmado —vigente solo cuando no hay credenciales reales configuradas— conserva el defecto que señalaba una versión anterior de este apartado: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r>
        <w:rPr>
          <w:b w:val="0"/>
          <w:i w:val="0"/>
        </w:rPr>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prepara uno de tres mensajes según el número de seguimiento, cada uno con el enlace a la propuesta —el aviso invita a revisarla, de modo que llevarla es parte de su función—,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rPr>
          <w:b w:val="0"/>
          <w:i w:val="0"/>
        </w:rPr>
        <w:t>El modelo relacional se compone de cinco tablas y dos vistas: cuatro tablas de negocio —</w:t>
      </w:r>
      <w:r>
        <w:rPr>
          <w:rFonts w:ascii="Consolas" w:hAnsi="Consolas" w:cs="Consolas"/>
          <w:b w:val="0"/>
          <w:i w:val="0"/>
        </w:rPr>
        <w:t>leads</w:t>
      </w:r>
      <w:r>
        <w:rPr>
          <w:b w:val="0"/>
          <w:i w:val="0"/>
        </w:rPr>
        <w:t xml:space="preserve">, </w:t>
      </w:r>
      <w:r>
        <w:rPr>
          <w:rFonts w:ascii="Consolas" w:hAnsi="Consolas" w:cs="Consolas"/>
          <w:b w:val="0"/>
          <w:i w:val="0"/>
        </w:rPr>
        <w:t>facturas</w:t>
      </w:r>
      <w:r>
        <w:rPr>
          <w:b w:val="0"/>
          <w:i w:val="0"/>
        </w:rPr>
        <w:t xml:space="preserve">, </w:t>
      </w:r>
      <w:r>
        <w:rPr>
          <w:rFonts w:ascii="Consolas" w:hAnsi="Consolas" w:cs="Consolas"/>
          <w:b w:val="0"/>
          <w:i w:val="0"/>
        </w:rPr>
        <w:t>seguimientos</w:t>
      </w:r>
      <w:r>
        <w:rPr>
          <w:b w:val="0"/>
          <w:i w:val="0"/>
        </w:rPr>
        <w:t xml:space="preserve"> y </w:t>
      </w:r>
      <w:r>
        <w:rPr>
          <w:rFonts w:ascii="Consolas" w:hAnsi="Consolas" w:cs="Consolas"/>
          <w:b w:val="0"/>
          <w:i w:val="0"/>
        </w:rPr>
        <w:t>logs</w:t>
      </w:r>
      <w:r>
        <w:rPr>
          <w:b w:val="0"/>
          <w:i w:val="0"/>
        </w:rPr>
        <w:t xml:space="preserve">— y la tabla </w:t>
      </w:r>
      <w:r>
        <w:rPr>
          <w:rFonts w:ascii="Consolas" w:hAnsi="Consolas" w:cs="Consolas"/>
          <w:b w:val="0"/>
          <w:i w:val="0"/>
        </w:rPr>
        <w:t>profiles</w:t>
      </w:r>
      <w:r>
        <w:rPr>
          <w:b w:val="0"/>
          <w:i w:val="0"/>
        </w:rP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cs="Consolas"/>
          <w:b w:val="0"/>
          <w:i w:val="0"/>
        </w:rPr>
        <w:t>db/schema.sql</w:t>
      </w:r>
      <w:r>
        <w:rPr>
          <w:b w:val="0"/>
          <w:i w:val="0"/>
        </w:rPr>
        <w:t xml:space="preserve"> del repositorio; la Tabla 6 describe la tabla </w:t>
      </w:r>
      <w:r>
        <w:rPr>
          <w:rFonts w:ascii="Consolas" w:hAnsi="Consolas" w:cs="Consolas"/>
          <w:b w:val="0"/>
          <w:i w:val="0"/>
        </w:rPr>
        <w:t>leads</w:t>
      </w:r>
      <w:r>
        <w:rPr>
          <w:b w:val="0"/>
          <w:i w:val="0"/>
        </w:rPr>
        <w:t>, núcleo del sistema, y la Tabla 7 resume las restantes. El esquema declara siete tipos enumerados, integridad referencial con borrado en cascada, once índices —tres de ellos compuestos o parciales— y un disparador que mantiene actualizada la marca temporal de modificación: elementos que versiones anteriores de este apartado no documentaban y que conviene consignar, porque el trabajo perdía crédito por ingeniería efectivamente realizada.</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sz w:val="15"/>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 que hasta esta revisión no estaban documentados.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rPr>
          <w:b w:val="0"/>
          <w:i w:val="0"/>
        </w:rP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dos columnas que versiones anteriores de este apartado no consignaban: el origen real de cada invocación y el control de origen aplicado. La segunda de ellas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agrava por el incidente de credenciales descrito en el Capítulo 6.</w:t>
      </w:r>
      <w:r>
        <w:rPr>
          <w:b/>
          <w:i w:val="0"/>
        </w:rPr>
      </w:r>
      <w:r>
        <w:rPr>
          <w:b w:val="0"/>
          <w:i w:val="0"/>
        </w:rPr>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i w:val="0"/>
                <w:sz w:val="13"/>
              </w:rPr>
              <w:t>La confidencialidad y la integridad de los datos no están garantizadas mientras las claves no se roten.</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i w:val="0"/>
                <w:sz w:val="13"/>
              </w:rPr>
              <w:t>Incidente abierto</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i w:val="0"/>
        </w:rPr>
        <w:t>El desarrollo de este capítulo identificó siete riesgos de diseño que el sistema no resuelve en su estado actual y que conviene reunir para que la discusión (Capítulo 6) y los trabajos futuros (Capítulo 8) los retomen sin dispersión. Cinco son de seguridad y están consignados en la Tabla 11 (S1 a S5, más S7 como incidente abierto).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E7 y E14 siguen sin ejecutar y su celda lo dice; el motivo se detalla más abajo.</w:t>
      </w:r>
    </w:p>
    <w:p>
      <w:pPr/>
      <w:r>
        <w:rPr>
          <w:b w:val="0"/>
          <w:i w:val="0"/>
        </w:rPr>
        <w:t>Alcance de la cobertura: los escenarios E1 a E4 verifican la normalización, la validación y el scoring (OE1 y OE2); E1b, el paso en que el profesional fija los términos y se envía la propuesta (OE3); E5 y E6, la aceptación, la facturación y la protección por token (OE3); E7, la actualización en tiempo real del tablero (OE4); E8 a E10, los caminos alternativos de la gestión posterior a la propuesta (OE3); y E11 a E13, los tres procesos programados (OE5). E14 queda declarado para el cobro real con MercadoPago y aún sin ejecutar (§4.3.3). Los quince escenarios se trazan en la matriz del Anexo E, que en versiones anteriores omitía E8, E9 y E10.</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latencia p95 medida = 0,56 s · 1,06 s · 0,55 s en tres corridas independientes del 26 de agosto de 2026 · eventos recibidos = 15 de 15 · peor caso 1,06 s frente al umbral de 3 s. Instrumento: scripts/medir-realtime.mjs.</w:t>
            </w:r>
          </w:p>
        </w:tc>
        <w:tc>
          <w:tcPr>
            <w:tcW w:type="dxa" w:w="1928"/>
          </w:tcPr>
          <w:p>
            <w:pPr>
              <w:spacing w:after="40" w:before="40"/>
              <w:jc w:val="left"/>
            </w:pPr>
            <w:r>
              <w:rPr>
                <w:b/>
                <w:i w:val="0"/>
                <w:sz w:val="13"/>
              </w:rPr>
              <w:t>Pendiente:</w:t>
            </w:r>
            <w:r>
              <w:rPr>
                <w:b w:val="0"/>
                <w:i w:val="0"/>
                <w:sz w:val="13"/>
              </w:rPr>
              <w:t xml:space="preserve"> captura del tablero inmediatamente antes y después del alta. La evidencia actual consigna una afirmación («se observa en vivo») y no un artefacto.</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Comprobado contra la base real: mes = 2026-08, total_leads = 2, propuestas_pendientes = 4</w:t>
            </w:r>
          </w:p>
        </w:tc>
        <w:tc>
          <w:tcPr>
            <w:tcW w:type="dxa" w:w="1928"/>
          </w:tcPr>
          <w:p>
            <w:pPr>
              <w:spacing w:after="40" w:before="40"/>
              <w:jc w:val="left"/>
            </w:pPr>
            <w:r>
              <w:rPr>
                <w:b/>
                <w:i w:val="0"/>
                <w:sz w:val="13"/>
              </w:rPr>
              <w:t>Pendiente:</w:t>
            </w:r>
            <w:r>
              <w:rPr>
                <w:b w:val="0"/>
                <w:i w:val="0"/>
                <w:sz w:val="13"/>
              </w:rPr>
              <w:t xml:space="preserve"> sólo la captura del mensaje recibido en Telegram. La causa por la que este escenario no producía evidencia se corrigió el 24-ago-2026: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estado_pago antes/después = [registrar] · mp_payment_id persistido = [registrar] · notificación duplicada aplicada una sola vez = [registrar]</w:t>
            </w:r>
          </w:p>
        </w:tc>
        <w:tc>
          <w:tcPr>
            <w:tcW w:type="dxa" w:w="1928"/>
          </w:tcPr>
          <w:p>
            <w:pPr>
              <w:spacing w:after="40" w:before="40"/>
              <w:jc w:val="left"/>
            </w:pPr>
            <w:r>
              <w:rPr>
                <w:b/>
                <w:i w:val="0"/>
                <w:sz w:val="13"/>
              </w:rPr>
              <w:t>Pendiente: requiere credenciales de prueba de MercadoPago y el sistema levantado con MP_ACCESS_TOKEN configurado.</w:t>
            </w:r>
            <w:r>
              <w:rPr>
                <w:b w:val="0"/>
                <w:i w:val="0"/>
                <w:sz w:val="13"/>
              </w:rPr>
            </w:r>
          </w:p>
        </w:tc>
      </w:tr>
    </w:tbl>
    <w:p>
      <w:pPr/>
      <w:r>
        <w:rPr>
          <w:b w:val="0"/>
          <w:i/>
          <w:sz w:val="15"/>
        </w:rPr>
        <w:t>Nota. Elaboración propia. Los valores de la columna «Resultado esperado» se derivan de las reglas de la Tabla 5 y son verificables por cálculo. Las celdas «[registrar]» y las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a E10, doce escenarios desde que E1 se desdobló en la calificación y el envío de la propuesta)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tres corridas independientes de cinco repeticiones cada una, con 15 eventos recibidos sobre 15 esperados y un peor caso de 1,06 s frente al umbral de 3 s del RNF6.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 actividad de agosto para que la vista agregue. Queda, entonces, un solo escenario sin ejecutar por razones ajenas al código: E14, que requiere credenciales de prueba de MercadoPago y una tarjeta de test, es decir una operación con el proveedor real.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39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Y tests/verificar_afirmaciones.js recalcula desde el repositorio los números que este documento afirma —nodos, webhooks, tablas, vistas, umbrales y las ponderaciones de la Tabla 5— y falla si dejaron de ser ciertos, que es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los tres requisitos que dependen de los procesos programados (RF8, RF9 y RF10), que tras la corrida manual de E11 a E13 del 23 de agosto de 2026 quedan verificados parcialmente: el seguimiento y los recordatorios dejaron evidencia en la base, el reporte diario no.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tres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Las celdas monetarias quedan expresamente sin completar porque este trabajo no operó en producción ni verificó tarifas vigentes: consignar cifras no comprobadas reproduciría el defecto que esta tabla viene a corregir. Deben completarse con las tarifas publicadas en la fecha de presentación, indicando esa fecha de consulta.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a cambio de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lo que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i w:val="0"/>
        </w:rPr>
        <w:t>La arquitectura es híbrida, no autoalojada.</w:t>
      </w:r>
      <w:r>
        <w:rPr>
          <w:b w:val="0"/>
          <w:i w:val="0"/>
        </w:rPr>
        <w:t xml:space="preserve"> El sistema depende de cinco servicios gestionados por terceros: Supabase, Vercel, Gmail, Telegram y Notion. Solo n8n es efectivamente autoalojado, y en un equipo local. La «propiedad total del dato» que §2.8 invocaba como razón para construir no se verifica en el artefacto y así quedó reformulada.</w:t>
      </w:r>
    </w:p>
    <w:p>
      <w:pPr>
        <w:pStyle w:val="Prrafodelista"/>
      </w:pPr>
      <w:r>
        <w:rPr>
          <w:b/>
          <w:i w:val="0"/>
        </w:rPr>
        <w:t>El sistema tiene deudas de seguridad conocidas; algunas siguen abiertas y una se cerró en el camino. La Tabla 11 las enumera. La más grave,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Por lo tanto, la confirmación de pago solo puede originarse ya en el proveedor real. La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r>
        <w:rPr>
          <w:b w:val="0"/>
          <w:i w:val="0"/>
        </w:rPr>
      </w:r>
    </w:p>
    <w:p>
      <w:pPr>
        <w:pStyle w:val="Prrafodelista"/>
      </w:pPr>
      <w:r>
        <w:rPr>
          <w:b/>
          <w:i w:val="0"/>
        </w:rPr>
        <w:t>El sistema opera fuera de dos marcos normativos aplicables.</w:t>
      </w:r>
      <w:r>
        <w:rPr>
          <w:b w:val="0"/>
          <w:i w:val="0"/>
        </w:rPr>
        <w:t xml:space="preserve"> El comprobante que genera no cumple los requisitos del régimen de facturación electrónica argentino y el tratamiento de datos de contacto de personas identificables no contempla la Ley 25.326 (§1.7). Ambas dimensiones son directamente aplicables al artefacto y su omisión es una limitación del trabajo, no una decisión de alcance neutra.</w:t>
      </w:r>
    </w:p>
    <w:p>
      <w:pPr>
        <w:pStyle w:val="Ttulo2"/>
      </w:pPr>
      <w:r>
        <w:rPr>
          <w:b w:val="0"/>
          <w:i w:val="0"/>
        </w:rPr>
        <w:t>6.3 Incidente de seguridad abierto</w:t>
      </w:r>
    </w:p>
    <w:p>
      <w:pPr/>
      <w:r>
        <w:rPr>
          <w:b w:val="0"/>
          <w:i w:val="0"/>
        </w:rPr>
        <w:t>Durante la configuración inicial del proyecto de Supabase, la secret key y la service_role key se compartieron por un canal de mensajería no seguro. Ninguna de las dos se utilizó en el código ni se almacenó en el repositorio: el frontend emplea únicamente la clave pública, y el motor de automatización guarda la service_role key en sus credenciales internas. Pese a eso, la exposición ocurrió y no ha sido revertida. El proyecto de Supabase pertenece a un tercero, y la regeneración de esas claves requiere un rol de administrador del que el equipo no dispone.</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Esto no es una línea de trabajo futuro sino un incidente de seguridad abierto, y como tal se consigna aquí y en la Tabla 11 (S7). Su relevancia es directa: según §4.6, la </w:t>
      </w:r>
      <w:r>
        <w:rPr>
          <w:rFonts w:ascii="Consolas" w:hAnsi="Consolas" w:cs="Consolas"/>
          <w:b w:val="0"/>
          <w:i w:val="0"/>
        </w:rPr>
        <w:t>service_role key</w:t>
      </w:r>
      <w:r>
        <w:rPr>
          <w:b w:val="0"/>
          <w:i w:val="0"/>
        </w:rPr>
        <w:t xml:space="preserve"> evade por diseño la seguridad a nivel de fila y es la única credencial con permiso de escritura sobre las cinco tablas. Mientras no se rote, la integridad de los datos no está garantizada. La resolución —gestionar el acceso con el titular del proyecto o migrar a un proyecto propio— debe completarse antes de cualquier uso real y, preferentemente, antes de la defensa.</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del mes, embudo y facturas pendientes. </w:t>
      </w:r>
      <w:r>
        <w:rPr>
          <w:b/>
        </w:rPr>
        <w:t>Cumplido: el modelo de datos y la RLS están verificados (npm run test:rls), y la actualización en tiempo real del tablero (escenario E7) se midió el 26 de agosto de 2026 con scripts/medir-realtime.mjs, en tres corridas independientes, con una latencia p95 de 0,56 s en el mejor caso y 1,06 s en el peor, por debajo del umbral de 3 s que fija el RNF6.</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parcialmente: el seguimiento y los recordatorios de pago se ejercitaron manualmente el 23-ago-2026 (E11, E12), lo que reveló y permitió corregir tres defectos reales; el reporte diario (E13) se disparó pero no produjo evidencia, porque no queda actividad de agosto persistida en la base para que la vista agregue (Capítulo 5).</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El control del profesional, primera condición de la pregunta de investigación, se materializa en dos puntos y no en uno solo: el tablero interno, desde el que cancela leads, resuelve pedidos de cambio, actualiza el estado del trabajo y cierra el proyecto; y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Quedan igualmente sugeridos, pero no demostrados, la mejora de indicadores comerciales reales y el menor costo operativo frente a las alternativas comerciales: el primero dependería de una operación en producción y el segundo, de completar la estimación de la Tabla 13 con tarifas verificadas.</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i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Se excluye deliberadamente de esta lista la rotación de credenciales comprometidas: no es una línea de trabajo futuro sino un incidente de seguridad abierto y se trata como tal en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que ahora cubre dos casos distintos: el síntoma de un fallo del nodo de scoring y la propuesta calificada que el profesional dejó sin enviar (§4.3.1 y §4.3.2). Este segundo caso es el más probable de los dos y hoy sólo se mitiga con la notificación inmediata y la visibilidad en el tablero.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i w:val="0"/>
        </w:rPr>
        <w:t>5. Completar el cumplimiento normativo.</w:t>
      </w:r>
      <w:r>
        <w:rPr>
          <w:b w:val="0"/>
          <w:i w:val="0"/>
        </w:rPr>
        <w:t xml:space="preserve"> Incorporar los requisitos del régimen de facturación electrónica argentino para que el comprobante tenga validez fiscal, y el tratamiento de datos personales conforme a la Ley 25.326: aviso de privacidad en el formulario, consentimiento informado, política de retención y registro de la base.</w:t>
      </w:r>
    </w:p>
    <w:p>
      <w:pPr/>
      <w:r>
        <w:rPr>
          <w:b/>
          <w:i w:val="0"/>
        </w:rPr>
        <w:t>6. Cerrar lo que queda de la integración de pagos. La pasarela de pago real ya está integrada (MercadoPago, §4.3.3): la confirmación depende de la API del proveedor, no de una acción del cliente, y la actualización es idempotente. Quedan dos tareas: habilitar por defecto la validación de firma del webhook (MP_WEBHOOK_SECRET), hoy opcional, y evaluar el split de pagos vía la API de Marketplace de MercadoPago cuando el sistema pase a operar con más de un profesional cobrando a cuentas distintas (§4.5).</w:t>
      </w:r>
      <w:r>
        <w:rPr>
          <w:b w:val="0"/>
          <w:i w:val="0"/>
        </w:rPr>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Incorporar la acción de cierre al tablero interno.</w:t>
      </w:r>
      <w:r>
        <w:rPr>
          <w:b w:val="0"/>
          <w:i w:val="0"/>
        </w:rPr>
        <w:t xml:space="preserve"> Hecho el 24 de agosto de 2026: el tablero ofrece la acción sobre los trabajos entregados y </w:t>
      </w:r>
      <w:r>
        <w:rPr>
          <w:rFonts w:ascii="Consolas" w:hAnsi="Consolas" w:cs="Consolas"/>
          <w:b w:val="0"/>
          <w:i w:val="0"/>
        </w:rPr>
        <w:t>/proyecto-cerrado</w:t>
      </w:r>
      <w:r>
        <w:rPr>
          <w:b w:val="0"/>
          <w:i w:val="0"/>
        </w:rPr>
        <w:t xml:space="preserve"> adoptó el Header Auth del resto del panel (§4.3.4). De este modo, la tasa de conversión y el tiempo promedio de ciclo dejan de estar clavados en cero por no existir ninguna acción capaz de producir el estado CERRADO. Queda unificar la nomenclatura de las rutas, hoy dividida entre barra y guion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3623094"/>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3623094"/>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26 de agosto de 2026 sobre datos reales del sistema. Las facturas pendientes, los trabajos activos y los pedidos de cambio continúan por debajo del corte de la imagen.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4754880" cy="2271304"/>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2271304"/>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149 nodos funcionales —165 en total, incluidas 16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32</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29</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165</w:t>
            </w:r>
          </w:p>
        </w:tc>
        <w:tc>
          <w:tcPr>
            <w:tcW w:type="dxa" w:w="4139"/>
          </w:tcPr>
          <w:p>
            <w:pPr>
              <w:spacing w:after="40" w:before="40"/>
              <w:jc w:val="left"/>
            </w:pPr>
            <w:r>
              <w:rPr>
                <w:b w:val="0"/>
                <w:i w:val="0"/>
                <w:sz w:val="14"/>
              </w:rPr>
              <w:t>149 funcionales + 16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Rama HOT/WARM: Telegram - Propuesta Por Enviar (el lead queda a la espera de los términos). Rama COLD: Telegram - Lead Frio y Gmail - Acuse Lead Frio, en paralelo.</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rPr>
          <w:b w:val="0"/>
          <w:i w:val="0"/>
        </w:rP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 Las dos últimas no figuraban en versiones anteriores del trabajo, que trazaba objetivos pero no requisitos, con lo que la trazabilidad quedaba incompleta en su mitad.</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sz w:val="14"/>
              </w:rPr>
              <w:t xml:space="preserve">Alcanzado en cuanto a viabilidad técnica y trazabilidad. </w:t>
            </w:r>
            <w:r>
              <w:rPr>
                <w:b/>
                <w:i w:val="0"/>
                <w:sz w:val="14"/>
              </w:rPr>
              <w:t>No</w:t>
            </w:r>
            <w:r>
              <w:rPr>
                <w:b w:val="0"/>
                <w:i w:val="0"/>
                <w:sz w:val="14"/>
              </w:rPr>
              <w:t xml:space="preserve"> se midió la magnitud de la reducción de la carga administrativa: excluida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sz w:val="14"/>
              </w:rPr>
              <w:t>Verificado. El modelo de datos y la seguridad a nivel de fila se comprueban con npm run test:rls (24 casos rol por rol sobre un PostgreSQL real). La actualización en tiempo real del tablero (E7) se midió el 26 de agosto de 2026 con scripts/medir-realtime.mjs: 15 eventos sobre 15, peor caso 1,06 s, por debajo del umbral de 3 s del RNF6.</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parcialmente. Los procesos de seguimiento y recordatorios de pago (E11, E12) se dispararon manualmente el 23-ago-2026, lo que reveló y permitió corregir tres defectos de expresión reales; el reporte diario (E13) se disparó pero no produjo evidencia, porque no queda actividad de agosto persistida en la base para que la vista metrics_mensuales agregue.</w:t>
            </w:r>
          </w:p>
        </w:tc>
        <w:tc>
          <w:tcPr>
            <w:tcW w:type="dxa" w:w="907"/>
          </w:tcPr>
          <w:p>
            <w:pPr>
              <w:spacing w:after="40" w:before="40"/>
              <w:jc w:val="left"/>
            </w:pPr>
            <w:r>
              <w:rPr>
                <w:b w:val="0"/>
                <w:i w:val="0"/>
                <w:sz w:val="14"/>
              </w:rPr>
              <w:t>Cap. 7</w:t>
            </w:r>
          </w:p>
        </w:tc>
      </w:tr>
    </w:tbl>
    <w:p>
      <w:pPr/>
      <w:r>
        <w:rPr>
          <w:b w:val="0"/>
          <w:i/>
          <w:sz w:val="15"/>
        </w:rPr>
        <w:t>Nota. Elaboración propia. Las celdas «[registrar]» dependen de la reejecución de los escenarios conforme al protocolo de la Tabla 4.</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rPr>
                <w:b w:val="0"/>
                <w:i w:val="0"/>
                <w:sz w:val="14"/>
              </w:rPr>
              <w:t>Verificado parcialmente: el registro del cobro se comprueba en el modo de desarrollo (pago idempotente). El cierre del proyecto no tiene escenario propio (E14 pendiente).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parcialmente (E13): el reporte diario no produjo evidencia (sin actividad de agosto persistida para agregar); en cambio,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sz w:val="14"/>
              </w:rPr>
              <w:t>Verificado: el tablero lee y muestra los siete conjuntos de datos, y la actualización en vivo (E7) se comprobó con una latencia p95 de entre 0,55 y 1,06 s en tres corridas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parcialmente: la interfaz no desborda horizontalmente y los mensajes de error de autenticación se muestran en español. Falta el recuento formal de códigos cubiertos por translateAuthError sobre el total posible.</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b w:val="0"/>
                <w:i w:val="0"/>
                <w:sz w:val="14"/>
              </w:rPr>
              <w:t>20 altas consecutivas midiendo la latencia hasta el repintado (E7).</w:t>
            </w:r>
          </w:p>
        </w:tc>
        <w:tc>
          <w:tcPr>
            <w:tcW w:type="dxa" w:w="1247"/>
          </w:tcPr>
          <w:p>
            <w:pPr>
              <w:spacing w:after="40" w:before="40"/>
              <w:jc w:val="left"/>
            </w:pPr>
            <w:r>
              <w:rPr>
                <w:sz w:val="14"/>
              </w:rPr>
              <w:t>Verificado. La medición de latencia (scripts/medir-realtime.mjs) recibió los 15 eventos esperados en tres corridas independientes del 26 de agosto de 2026, con una p95 de 0,56 s, 1,06 s y 0,55 s respectivamente. El peor caso, 1,06 s, queda por debajo del umbral de 3 s.</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b w:val="0"/>
                <w:i w:val="0"/>
                <w:sz w:val="14"/>
              </w:rPr>
              <w:t>Frontend (servidor)</w:t>
            </w:r>
          </w:p>
        </w:tc>
        <w:tc>
          <w:tcPr>
            <w:tcW w:type="dxa" w:w="4025"/>
          </w:tcPr>
          <w:p>
            <w:pPr>
              <w:spacing w:after="40" w:before="40"/>
              <w:jc w:val="left"/>
            </w:pPr>
            <w:r>
              <w:rPr>
                <w:b/>
                <w:i w:val="0"/>
                <w:sz w:val="14"/>
              </w:rPr>
              <w:t>Secreta.</w:t>
            </w:r>
            <w:r>
              <w:rPr>
                <w:b w:val="0"/>
                <w:i w:val="0"/>
                <w:sz w:val="14"/>
              </w:rPr>
              <w:t xml:space="preserve"> Evade la RLS por diseño.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b w:val="0"/>
                <w:i w:val="0"/>
                <w:sz w:val="14"/>
              </w:rPr>
              <w:t>Secreta. Valor del header de autenticación que exigen los cuatro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