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r>
        <w:rPr>
          <w:b w:val="0"/>
          <w:i w:val="0"/>
        </w:rPr>
        <w:t xml:space="preserve">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y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y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cada uno con el enlace a la propuesta —el aviso invita a revisarla, de modo que llevarla es parte de su función—,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latencia p95 medida = 0,56 s · 1,06 s · 0,55 s en tres corridas independientes del 26 de agosto de 2026 · eventos recibidos = 15 de 15 · peor caso 1,06 s frente al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tres corridas independientes de cinco repeticiones cada una, con 15 eventos recibidos sobre 15 esperados y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sin ejecutar por razones ajenas al código: E14, que requiere credenciales de prueba de MercadoPago y una tarjeta de test, es decir una operación con el proveedor real.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Por lo tanto,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con una latencia p95 de 0,56 s en el mejor caso y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tablero interno, desde el que cancela leads, resuelve pedidos de cambio, actualiza el estado del trabajo y cierra el proyecto; y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ahora cubre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sz w:val="14"/>
              </w:rPr>
              <w:t>Verificado. La medición de latencia (scripts/medir-realtime.mjs) recibió los 15 eventos esperados en tres corridas independientes del 26 de agosto de 2026, con una p95 de 0,56 s, 1,06 s y 0,55 s respectivamente. El peor caso, 1,06 s, queda por debajo del umbral de 3 s.</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