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Token por factura.</w:t>
            </w:r>
            <w:r>
              <w:rPr>
                <w:b w:val="0"/>
                <w:i w:val="0"/>
                <w:sz w:val="13"/>
              </w:rPr>
              <w:t xml:space="preserve"> pago_token (mismo mecanismo que accept_token), generado al emitir la factura y exigido junto al identificador en la cadena de consulta (§4.3.3, S1 de la Tabla 11, cerrada el 31-ago-2026).</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cinco de los trece webhooks no verifican la identidad de quien los invoca: no hay firma HMAC, ni secreto compartido, ni lista blanca de direcciones, ni mTLS. Un sexto —pago-confirmado— tenía el mismo problema y se cerró el 31 de agosto de 2026 con un token por factura, exigido junto al identificador de factura (S1, Tabla 11, parcial).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S1 y S8, todas las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(cinco de ellos sin credencial alguna posible, uno —pago-confirmado— sin la única credencial que le corresponde),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Cinco de los trece webhooks no autentican el origen de la invocación (§4.5): lead/nuevo, lead-acepta, lead-propuesta, lead-rechaza y lead-modifica. pago-confirmado (modo desarrollo) se cerró con un token por factura, verificado contra la base (docs/verificacion-y-seguridad.md §5.2). Los seis invocados desde el tablero interno (trabajo-estado, lead-cancelar, cambio-aceptar, cambio-rechazar, proyecto-cerrado y propuesta-enviar) ya exigen Header Auth, con revalidación de sesión y de rol admin del lado del servidor en /api/crm/[accion]. El de MercadoPago (mp/notificacion) se trata aparte en S8, cerrada.</w:t>
            </w:r>
          </w:p>
        </w:tc>
        <w:tc>
          <w:tcPr>
            <w:tcW w:type="dxa" w:w="2324"/>
          </w:tcPr>
          <w:p>
            <w:pPr>
              <w:spacing w:after="40" w:before="40"/>
              <w:jc w:val="left"/>
            </w:pPr>
            <w:r>
              <w:rPr>
                <w:b w:val="0"/>
                <w:i w:val="0"/>
                <w:sz w:val="13"/>
              </w:rPr>
              <w:t>Cualquiera que conozca una de las cinco URL sin protección puede inyectar leads o aceptar una propuesta sin autorización. Mientras estuvo abierta, además, marcar un pago era posible con solo adivinar el factura_id (formato FAC-&lt;año&gt;-&lt;4 dígitos&gt;, 10.000 combinaciones por año).</w:t>
            </w:r>
          </w:p>
        </w:tc>
        <w:tc>
          <w:tcPr>
            <w:tcW w:type="dxa" w:w="2494"/>
          </w:tcPr>
          <w:p>
            <w:pPr>
              <w:spacing w:after="40" w:before="40"/>
              <w:jc w:val="left"/>
            </w:pPr>
            <w:r>
              <w:rPr>
                <w:b w:val="0"/>
                <w:i w:val="0"/>
                <w:sz w:val="13"/>
              </w:rPr>
              <w:t>Implementada el 31-ago-2026 para pago-confirmado: un token por factura (pago_token, mismo mecanismo que accept_token), generado al emitir la factura y exigido en la consulta de confirmación. Para los cinco webhooks restantes —el formulario público y los cuatro protegidos por accept_token—, un secreto compartido no es viable: los ejecuta el navegador de un tercero y quedaría expuesto en el código (docs/verificacion-y-seguridad.md §5.2, que desarrolla por qué agregar uno ahí sería seguridad aparente). La mitigación que corresponde a esos cinco es limitar el abuso —rate limiting o captcha en lead/nuevo—, no autenticación de origen; queda como trabajo futuro (Capítulo 8).</w:t>
            </w:r>
          </w:p>
        </w:tc>
        <w:tc>
          <w:tcPr>
            <w:tcW w:type="dxa" w:w="1191"/>
          </w:tcPr>
          <w:p>
            <w:pPr>
              <w:spacing w:after="40" w:before="40"/>
              <w:jc w:val="left"/>
            </w:pPr>
            <w:r>
              <w:rPr>
                <w:b w:val="0"/>
                <w:i w:val="0"/>
                <w:sz w:val="13"/>
              </w:rPr>
              <w:t>Parcial — cerrada para pago-confirmado; los otros cinco quedan abiertos por diseño</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y almacenamiento en gestor de secretos de la clave. La mitigación de código que esta fila proponía originalmente —políticas de escritura acotadas por rol— no tendría efecto: service_role tiene el atributo BYPASSRLS, que hace que las políticas de fila no se evalúen contra sus escrituras, sean cuales fueran (verificado en tests/rls/bootstrap.sql). La mitigación de código que sí tendría efecto es reemplazar la conexión de n8n por un rol de Postgres sin BYPASSRLS, con privilegios acotados por tabla y operación. No se implementa: las 28 escrituras que hace hoy el flujo no tienen ninguna verificación automatizada que corra bajo ese rol acotado —solo una está cubierta bajo service_role en tests/rls/casos.sql, y tests/idempotencia.mjs corre como superusuario, con la RLS inerte por completo—, de modo que introducir el cambio sin esa cobertura arriesgaría romper una escritura legítima sin que ninguna prueba lo detectara a tiempo.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cinco dejaron de estar completamente abiertos: S2 el 23 de agosto de 2026, con la verificación que rechaza el modo de desarrollo del webhook de pago si hay credenciales de MercadoPago activas (§6.2); dos más el 27 de agosto de 2026, por la vía que la propia Tabla 11 tenía escrita; y S1 y S8 el 31 de agosto de 2026 —la primera de forma parcial, para pago-confirmado; la segunda por completo,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(parcial, para los cinco webhooks restantes), S3 y S4,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S1 y S8, seis de los trece webhooks atienden a un cliente sin credencial y sin navegador, y el alta de un lead prospera por esa vía. De las ocho deudas, seis se cerraron o mitigaron en el curso del trabajo (S1, S2, S5, S6, S7 y S8) y dos siguen abiertas (S3 y S4). Ninguna impide la demostración de viabilidad técnica; el remanente de S1 —los cinco webhooks que quedan sin autenticación de origen por diseño, según se justifica en §4.6—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La validación de firma del webhook de MercadoPago (MP_WEBHOOK_SECRET) y el token de pago-confirmado se implementaron el 31 de agosto de 2026 y dejaron de figurar aquí (Tabla 11, S8 y S1 parcial, cerradas). Queda almacenar un resumen criptográfico del token de aceptación en lugar del valor en claro (el vencimiento configurable ya está implementado; S3). Implementar rate limiting o captcha en el formulario público (lead/nuevo) y en los cuatro webhooks protegidos por accept_token, que es la mitigación que les corresponde en lugar de un secreto compartido (docs/verificacion-y-seguridad.md §5.2).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