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60FC7" w:rsidRDefault="00D60FC7"/>
    <w:p w:rsidR="00D60FC7" w:rsidRDefault="00000000">
      <w:pPr>
        <w:spacing w:after="120" w:line="240" w:lineRule="auto"/>
        <w:jc w:val="center"/>
      </w:pPr>
      <w:r>
        <w:rPr>
          <w:b/>
          <w:sz w:val="28"/>
          <w:szCs w:val="28"/>
        </w:rPr>
        <w:t>Universidad Tecnológica Nacional</w:t>
      </w:r>
    </w:p>
    <w:p w:rsidR="00D60FC7" w:rsidRDefault="00000000">
      <w:pPr>
        <w:spacing w:after="120" w:line="240" w:lineRule="auto"/>
        <w:jc w:val="center"/>
      </w:pPr>
      <w:r>
        <w:t>Facultad Regional Mendoza</w:t>
      </w:r>
    </w:p>
    <w:p w:rsidR="00D60FC7" w:rsidRDefault="00000000">
      <w:pPr>
        <w:spacing w:after="120" w:line="240" w:lineRule="auto"/>
        <w:jc w:val="center"/>
      </w:pPr>
      <w:r>
        <w:t>Tecnicatura Universitaria en Programación</w:t>
      </w:r>
    </w:p>
    <w:p w:rsidR="00D60FC7" w:rsidRDefault="00D60FC7"/>
    <w:p w:rsidR="00D60FC7" w:rsidRDefault="00D60FC7"/>
    <w:p w:rsidR="00D60FC7" w:rsidRDefault="00D60FC7"/>
    <w:p w:rsidR="00D60FC7" w:rsidRDefault="00000000">
      <w:pPr>
        <w:pStyle w:val="Ttulo"/>
      </w:pPr>
      <w:r>
        <w:t xml:space="preserve">Automatización del Ciclo de Vida del Cliente para </w:t>
      </w:r>
      <w:proofErr w:type="spellStart"/>
      <w:r>
        <w:t>Freelancers</w:t>
      </w:r>
      <w:proofErr w:type="spellEnd"/>
      <w:r>
        <w:t xml:space="preserve"> con n8n</w:t>
      </w:r>
    </w:p>
    <w:p w:rsidR="00D60FC7" w:rsidRDefault="00000000">
      <w:pPr>
        <w:spacing w:after="120" w:line="240" w:lineRule="auto"/>
        <w:jc w:val="center"/>
      </w:pPr>
      <w:r>
        <w:rPr>
          <w:sz w:val="22"/>
          <w:szCs w:val="22"/>
        </w:rPr>
        <w:t>Diseño e implementación de una plataforma web para la gestión automatizada del ciclo de vida del cliente (captación, calificación, propuesta, facturación y cobro)</w:t>
      </w:r>
    </w:p>
    <w:p w:rsidR="00D60FC7" w:rsidRDefault="00D60FC7"/>
    <w:p w:rsidR="00D60FC7" w:rsidRDefault="00D60FC7"/>
    <w:p w:rsidR="00D60FC7" w:rsidRDefault="00D60FC7"/>
    <w:p w:rsidR="00D60FC7" w:rsidRDefault="00000000">
      <w:pPr>
        <w:spacing w:after="120" w:line="240" w:lineRule="auto"/>
        <w:jc w:val="center"/>
      </w:pPr>
      <w:r>
        <w:rPr>
          <w:sz w:val="22"/>
          <w:szCs w:val="22"/>
        </w:rPr>
        <w:t>Trabajo Final presentado para optar al título de</w:t>
      </w:r>
    </w:p>
    <w:p w:rsidR="00D60FC7" w:rsidRDefault="00000000">
      <w:pPr>
        <w:spacing w:after="120" w:line="240" w:lineRule="auto"/>
        <w:jc w:val="center"/>
      </w:pPr>
      <w:r>
        <w:rPr>
          <w:b/>
        </w:rPr>
        <w:t>Técnico Universitario en Programación</w:t>
      </w:r>
    </w:p>
    <w:p w:rsidR="00D60FC7" w:rsidRDefault="00D60FC7"/>
    <w:p w:rsidR="00D60FC7" w:rsidRDefault="00D60FC7"/>
    <w:p w:rsidR="00D60FC7" w:rsidRDefault="00000000">
      <w:pPr>
        <w:spacing w:after="120" w:line="240" w:lineRule="auto"/>
        <w:jc w:val="center"/>
      </w:pPr>
      <w:r>
        <w:t xml:space="preserve">Autores: Mateo </w:t>
      </w:r>
      <w:proofErr w:type="spellStart"/>
      <w:r>
        <w:t>Morgui</w:t>
      </w:r>
      <w:proofErr w:type="spellEnd"/>
      <w:r>
        <w:t xml:space="preserve"> — Tobías Rivas</w:t>
      </w:r>
    </w:p>
    <w:p w:rsidR="00D60FC7" w:rsidRDefault="00000000">
      <w:pPr>
        <w:spacing w:after="120" w:line="240" w:lineRule="auto"/>
        <w:jc w:val="center"/>
      </w:pPr>
      <w:r>
        <w:t>Director de Tesis: Alberto Cortez</w:t>
      </w:r>
    </w:p>
    <w:p w:rsidR="00D60FC7" w:rsidRDefault="00D60FC7"/>
    <w:p w:rsidR="00D60FC7" w:rsidRDefault="00D60FC7"/>
    <w:p w:rsidR="00D60FC7" w:rsidRDefault="00D60FC7"/>
    <w:p w:rsidR="00D60FC7" w:rsidRDefault="00000000">
      <w:pPr>
        <w:spacing w:after="120" w:line="240" w:lineRule="auto"/>
        <w:jc w:val="center"/>
      </w:pPr>
      <w:r>
        <w:t>Mendoza — Argentina</w:t>
      </w:r>
    </w:p>
    <w:p w:rsidR="00D60FC7" w:rsidRDefault="00000000">
      <w:pPr>
        <w:spacing w:after="120" w:line="240" w:lineRule="auto"/>
        <w:jc w:val="center"/>
      </w:pPr>
      <w:r>
        <w:rPr>
          <w:b/>
        </w:rPr>
        <w:t>2026</w:t>
      </w:r>
    </w:p>
    <w:p>
      <w:pPr/>
      <w:r>
        <w:rPr>
          <w:b w:val="0"/>
          <w:i w:val="0"/>
        </w:rPr>
        <w:t>Fecha de presentación: [completar según el reglamento vigente]</w:t>
      </w:r>
    </w:p>
    <w:p>
      <w:pPr/>
      <w:r>
        <w:rPr>
          <w:b w:val="0"/>
          <w:i w:val="0"/>
        </w:rPr>
        <w:t>Tribunal evaluador: [completar con la composición designada]</w:t>
      </w:r>
    </w:p>
    <w:p w:rsidR="00D60FC7" w:rsidRDefault="00000000">
      <w:r>
        <w:br w:type="page"/>
      </w:r>
    </w:p>
    <w:p w:rsidR="00D60FC7" w:rsidRDefault="00000000">
      <w:pPr>
        <w:pStyle w:val="Ttulo1"/>
      </w:pPr>
      <w:bookmarkStart w:id="9000" w:name="_Toc900000001"/>
      <w:r>
        <w:t>Declaración de originalidad y uso de herramientas de inteligencia artificial</w:t>
      </w:r>
      <w:bookmarkEnd w:id="9000"/>
    </w:p>
    <w:p w:rsidR="00D60FC7" w:rsidRDefault="00000000">
      <w:r>
        <w:t>Los autores de este Trabajo Final, Mateo Morgui y Tobías Rivas, declaramos que el presente documento y el artefacto de software que describe son de nuestra autoría, desarrollados bajo la dirección de Alberto Cortez, y que no contienen plagio de fuentes de terceros: toda cita textual o paráfrasis de otros autores está debidamente atribuida en el cuerpo del texto y en la lista de Referencias, conforme a la norma APA 7 declarada en el Capítulo 3.</w:t>
      </w:r>
    </w:p>
    <w:p w:rsidR="00D60FC7" w:rsidRDefault="00000000">
      <w:r>
        <w:t>Declaramos asimismo que, durante el desarrollo del artefacto de software y la redacción y revisión de este documento, se utilizaron herramientas de inteligencia artificial generativa como apoyo —asistentes de programación para la implementación de código, y asistentes de edición de texto para la redacción, la verificación de afirmaciones contra el código fuente y el esquema de datos, y la corrección del documento—. En todos los casos, las decisiones de diseño, arquitectura, alcance, metodología y contenido sustantivo fueron tomadas y revisadas por los autores, quienes asumen la responsabilidad plena sobre la exactitud, la originalidad y la integridad académica de este trabajo.</w:t>
      </w:r>
    </w:p>
    <w:p w:rsidR="00D60FC7" w:rsidRDefault="00000000">
      <w:r>
        <w:br w:type="page"/>
      </w:r>
    </w:p>
    <w:p w:rsidR="00D60FC7" w:rsidRDefault="00000000">
      <w:pPr>
        <w:pStyle w:val="Ttulo1"/>
      </w:pPr>
      <w:bookmarkStart w:id="0" w:name="_Toc233808406"/>
      <w:r>
        <w:t>Resumen</w:t>
      </w:r>
      <w:bookmarkEnd w:id="0"/>
    </w:p>
    <w:p w:rsidR="00D60FC7" w:rsidRDefault="00000000">
      <w:r>
        <w:t xml:space="preserve">El trabajo aborda la carga administrativa que enfrenta el </w:t>
      </w:r>
      <w:proofErr w:type="spellStart"/>
      <w:r>
        <w:t>freelancer</w:t>
      </w:r>
      <w:proofErr w:type="spellEnd"/>
      <w:r>
        <w:t xml:space="preserve"> que trabaja solo: cada cliente potencial exige una secuencia de tareas manuales y repetitivas —responder consultas, calificar la oportunidad, elaborar y enviar una propuesta, hacer seguimiento, facturar, registrar el pago y solicitar un testimonio— que, con varios clientes en paralelo, se acumulan, se retrasan o se olvidan, con la consiguiente pérdida de oportunidades y una imagen poco profesional. Como respuesta se diseñó e implementó una plataforma web que automatiza el ciclo de vida completo del cliente mediante una arquitectura orientada a eventos. La solución integra tres capas: un </w:t>
      </w:r>
      <w:proofErr w:type="spellStart"/>
      <w:r>
        <w:t>frontend</w:t>
      </w:r>
      <w:proofErr w:type="spellEnd"/>
      <w:r>
        <w:t xml:space="preserve"> desarrollado en Next.js y </w:t>
      </w:r>
      <w:proofErr w:type="spellStart"/>
      <w:r>
        <w:t>React</w:t>
      </w:r>
      <w:proofErr w:type="spellEnd"/>
      <w:r>
        <w:t xml:space="preserve"> que expone un formulario público de captación y un tablero de control autenticado; un motor de orquestación de bajo código, n8n, que coordina la normalización, el </w:t>
      </w:r>
      <w:proofErr w:type="spellStart"/>
      <w:r>
        <w:t>scoring</w:t>
      </w:r>
      <w:proofErr w:type="spellEnd"/>
      <w:r>
        <w:t xml:space="preserve">, la generación de propuestas y facturas, y las notificaciones multicanal; y una base de datos relacional gestionada, </w:t>
      </w:r>
      <w:proofErr w:type="spellStart"/>
      <w:r>
        <w:t>Supabase</w:t>
      </w:r>
      <w:proofErr w:type="spellEnd"/>
      <w:r>
        <w:t xml:space="preserve"> (PostgreSQL), con seguridad a nivel de fila. El sistema calcula automáticamente un puntaje de prioridad que clasifica cada lead en tres niveles (HOT, WARM y COLD), dispara propuestas por correo, habilita la aceptación mediante un enlace con token de un solo uso, genera la factura en PDF y ejecuta procesos programados de seguimiento, recordatorio de pago y reporte diario de métricas. La validación mediante escenarios controlados verificó el funcionamiento integral de los flujos de captación, calificación, aceptación y facturación, así como la actualización en tiempo real del tablero.</w:t>
      </w:r>
    </w:p>
    <w:p w:rsidR="00D60FC7" w:rsidRDefault="00D60FC7"/>
    <w:p w:rsidR="00D60FC7" w:rsidRDefault="00000000">
      <w:r>
        <w:rPr>
          <w:b/>
        </w:rPr>
        <w:t>Palabras clave:</w:t>
      </w:r>
      <w:r>
        <w:t xml:space="preserve"> automatización de procesos; orquestación de flujos de trabajo; n8n; gestión de leads; </w:t>
      </w:r>
      <w:proofErr w:type="spellStart"/>
      <w:r>
        <w:t>scoring</w:t>
      </w:r>
      <w:proofErr w:type="spellEnd"/>
      <w:r>
        <w:t xml:space="preserve">; arquitectura orientada a eventos; </w:t>
      </w:r>
      <w:proofErr w:type="spellStart"/>
      <w:r>
        <w:t>Supabase</w:t>
      </w:r>
      <w:proofErr w:type="spellEnd"/>
      <w:r>
        <w:t>; Next.js.</w:t>
      </w:r>
    </w:p>
    <w:p>
      <w:pPr/>
    </w:p>
    <w:p>
      <w:pPr>
        <w:pStyle w:val="Ttulo1"/>
      </w:pPr>
      <w:r>
        <w:rPr>
          <w:b w:val="0"/>
          <w:i w:val="0"/>
        </w:rPr>
        <w:t>Abstract</w:t>
      </w:r>
    </w:p>
    <w:p>
      <w:pPr/>
      <w:r>
        <w:rPr>
          <w:b w:val="0"/>
          <w:i w:val="0"/>
        </w:rPr>
        <w:t>This work addresses the administrative burden faced by solo freelancers: every prospective client triggers a sequence of manual, repetitive tasks —answering enquiries, qualifying the opportunity, drafting and sending a proposal, following up, invoicing, recording payment and requesting a testimonial— which, with several clients in parallel, pile up, get delayed or are forgotten, resulting in lost opportunities and an unprofessional image. In response, a web platform was designed and implemented to automate the full client life cycle through an event-driven architecture. The solution integrates three layers: a Next.js and React frontend exposing a public lead-capture form and an authenticated control dashboard; a low-code orchestration engine, n8n, coordinating normalisation, scoring, proposal and invoice generation and multichannel notifications; and a managed relational database, Supabase (PostgreSQL), with row level security. The system automatically computes a priority score that classifies each lead into three tiers (HOT, WARM and COLD), sends proposals by email, enables acceptance through a single-use token link, generates the invoice as a PDF and runs scheduled follow-up, payment reminder and daily metrics reporting processes. Validation through controlled scenarios verified the end-to-end operation of the capture, qualification, acceptance and invoicing flows, as well as the real-time updating of the dashboard. The work demonstrates the technical feasibility of the proposed automation; the magnitude of the reduction in administrative workload was not measured and is declared outside the scope.</w:t>
      </w:r>
    </w:p>
    <w:p>
      <w:pPr/>
    </w:p>
    <w:p>
      <w:pPr/>
      <w:r>
        <w:rPr>
          <w:b w:val="0"/>
          <w:i/>
        </w:rPr>
        <w:t>Keywords:</w:t>
      </w:r>
      <w:r>
        <w:rPr>
          <w:b w:val="0"/>
          <w:i w:val="0"/>
        </w:rPr>
        <w:t xml:space="preserve"> process automation; workflow orchestration; n8n; lead management; lead scoring; event-driven architecture; Supabase; Next.js.</w:t>
      </w:r>
    </w:p>
    <w:p w:rsidR="00D60FC7" w:rsidRDefault="00000000">
      <w:r>
        <w:br w:type="page"/>
      </w:r>
    </w:p>
    <w:p w:rsidR="00D60FC7" w:rsidRDefault="00000000">
      <w:pPr>
        <w:pStyle w:val="Ttulo1"/>
      </w:pPr>
      <w:bookmarkStart w:id="2" w:name="_Toc233808408"/>
      <w:r>
        <w:t>Índice</w:t>
      </w:r>
      <w:bookmarkEnd w:id="2"/>
    </w:p>
    <w:p>
      <w:pPr/>
      <w:r>
        <w:fldChar w:fldCharType="begin" w:dirty="true"/>
      </w:r>
      <w:r>
        <w:instrText xml:space="preserve"> TOC \o "1-3" \h \z \u </w:instrText>
      </w:r>
      <w:r>
        <w:fldChar w:fldCharType="separate"/>
      </w:r>
    </w:p>
    <w:p>
      <w:pPr>
        <w:pStyle w:val="TDC1"/>
      </w:pPr>
      <w:r>
        <w:rPr>
          <w:b w:val="0"/>
          <w:i w:val="0"/>
        </w:rPr>
        <w:t>Declaración de originalidad y uso de herramientas de inteligencia artificial</w:t>
      </w:r>
    </w:p>
    <w:p>
      <w:pPr>
        <w:pStyle w:val="TDC1"/>
      </w:pPr>
      <w:r>
        <w:rPr>
          <w:b w:val="0"/>
          <w:i w:val="0"/>
        </w:rPr>
        <w:t>Resumen</w:t>
      </w:r>
    </w:p>
    <w:p>
      <w:pPr>
        <w:pStyle w:val="TDC1"/>
      </w:pPr>
      <w:r>
        <w:rPr>
          <w:b w:val="0"/>
          <w:i w:val="0"/>
        </w:rPr>
        <w:t>Abstract</w:t>
      </w:r>
    </w:p>
    <w:p>
      <w:pPr>
        <w:pStyle w:val="TDC1"/>
      </w:pPr>
      <w:r>
        <w:rPr>
          <w:b w:val="0"/>
          <w:i w:val="0"/>
        </w:rPr>
        <w:t>Capítulo 1: Introducción</w:t>
      </w:r>
    </w:p>
    <w:p>
      <w:pPr>
        <w:pStyle w:val="TDC2"/>
      </w:pPr>
      <w:r>
        <w:rPr>
          <w:b w:val="0"/>
          <w:i w:val="0"/>
        </w:rPr>
        <w:t>1.1 Contexto del problema</w:t>
      </w:r>
    </w:p>
    <w:p>
      <w:pPr>
        <w:pStyle w:val="TDC2"/>
      </w:pPr>
      <w:r>
        <w:rPr>
          <w:b w:val="0"/>
          <w:i w:val="0"/>
        </w:rPr>
        <w:t>1.2 Planteamiento del problema</w:t>
      </w:r>
    </w:p>
    <w:p>
      <w:pPr>
        <w:pStyle w:val="TDC2"/>
      </w:pPr>
      <w:r>
        <w:rPr>
          <w:b w:val="0"/>
          <w:i w:val="0"/>
        </w:rPr>
        <w:t>1.3 Tema, problema y pregunta de investigación</w:t>
      </w:r>
    </w:p>
    <w:p>
      <w:pPr>
        <w:pStyle w:val="TDC2"/>
      </w:pPr>
      <w:r>
        <w:rPr>
          <w:b w:val="0"/>
          <w:i w:val="0"/>
        </w:rPr>
        <w:t>1.4 Justificación</w:t>
      </w:r>
    </w:p>
    <w:p>
      <w:pPr>
        <w:pStyle w:val="TDC2"/>
      </w:pPr>
      <w:r>
        <w:rPr>
          <w:b w:val="0"/>
          <w:i w:val="0"/>
        </w:rPr>
        <w:t>1.5 Objetivo general</w:t>
      </w:r>
    </w:p>
    <w:p>
      <w:pPr>
        <w:pStyle w:val="TDC2"/>
      </w:pPr>
      <w:r>
        <w:rPr>
          <w:b w:val="0"/>
          <w:i w:val="0"/>
        </w:rPr>
        <w:t>1.6 Objetivos específicos</w:t>
      </w:r>
    </w:p>
    <w:p>
      <w:pPr>
        <w:pStyle w:val="TDC2"/>
      </w:pPr>
      <w:r>
        <w:rPr>
          <w:b w:val="0"/>
          <w:i w:val="0"/>
        </w:rPr>
        <w:t>1.7 Alcance y limitaciones</w:t>
      </w:r>
    </w:p>
    <w:p>
      <w:pPr>
        <w:pStyle w:val="TDC1"/>
      </w:pPr>
      <w:r>
        <w:rPr>
          <w:b w:val="0"/>
          <w:i w:val="0"/>
        </w:rPr>
        <w:t>Capítulo 2: Marco Teórico</w:t>
      </w:r>
    </w:p>
    <w:p>
      <w:pPr>
        <w:pStyle w:val="TDC2"/>
      </w:pPr>
      <w:r>
        <w:rPr>
          <w:b w:val="0"/>
          <w:i w:val="0"/>
        </w:rPr>
        <w:t>2.1 Automatización de procesos y arquitecturas orientadas a eventos</w:t>
      </w:r>
    </w:p>
    <w:p>
      <w:pPr>
        <w:pStyle w:val="TDC2"/>
      </w:pPr>
      <w:r>
        <w:rPr>
          <w:b w:val="0"/>
          <w:i w:val="0"/>
        </w:rPr>
        <w:t>2.2 Orquestación de bajo código: n8n</w:t>
      </w:r>
    </w:p>
    <w:p>
      <w:pPr>
        <w:pStyle w:val="TDC2"/>
      </w:pPr>
      <w:r>
        <w:rPr>
          <w:b w:val="0"/>
          <w:i w:val="0"/>
        </w:rPr>
        <w:t>2.3 Gestión de leads: normalización, scoring y clasificación</w:t>
      </w:r>
    </w:p>
    <w:p>
      <w:pPr>
        <w:pStyle w:val="TDC2"/>
      </w:pPr>
      <w:r>
        <w:rPr>
          <w:b w:val="0"/>
          <w:i w:val="0"/>
        </w:rPr>
        <w:t>2.4 Backend como servicio y Supabase</w:t>
      </w:r>
    </w:p>
    <w:p>
      <w:pPr>
        <w:pStyle w:val="TDC2"/>
      </w:pPr>
      <w:r>
        <w:rPr>
          <w:b w:val="0"/>
          <w:i w:val="0"/>
        </w:rPr>
        <w:t>2.5 Desarrollo web moderno: Next.js y renderizado híbrido</w:t>
      </w:r>
    </w:p>
    <w:p>
      <w:pPr>
        <w:pStyle w:val="TDC2"/>
      </w:pPr>
      <w:r>
        <w:rPr>
          <w:b w:val="0"/>
          <w:i w:val="0"/>
        </w:rPr>
        <w:t>2.6 Seguridad: autenticación, RLS y tokens de un solo uso</w:t>
      </w:r>
    </w:p>
    <w:p>
      <w:pPr>
        <w:pStyle w:val="TDC2"/>
      </w:pPr>
      <w:r>
        <w:rPr>
          <w:b w:val="0"/>
          <w:i w:val="0"/>
        </w:rPr>
        <w:t>2.7 Antecedentes y estado del arte</w:t>
      </w:r>
    </w:p>
    <w:p>
      <w:pPr>
        <w:pStyle w:val="TDC2"/>
      </w:pPr>
      <w:r>
        <w:rPr>
          <w:b w:val="0"/>
          <w:i w:val="0"/>
        </w:rPr>
        <w:t>2.8 Construir frente a configurar una herramienta existente</w:t>
      </w:r>
    </w:p>
    <w:p>
      <w:pPr>
        <w:pStyle w:val="TDC1"/>
      </w:pPr>
      <w:r>
        <w:rPr>
          <w:b w:val="0"/>
          <w:i w:val="0"/>
        </w:rPr>
        <w:t>Capítulo 3: Marco Metodológico</w:t>
      </w:r>
    </w:p>
    <w:p>
      <w:pPr>
        <w:pStyle w:val="TDC2"/>
      </w:pPr>
      <w:r>
        <w:rPr>
          <w:b w:val="0"/>
          <w:i w:val="0"/>
        </w:rPr>
        <w:t>3.1 Tipo y naturaleza del trabajo</w:t>
      </w:r>
    </w:p>
    <w:p>
      <w:pPr>
        <w:pStyle w:val="TDC2"/>
      </w:pPr>
      <w:r>
        <w:rPr>
          <w:b w:val="0"/>
          <w:i w:val="0"/>
        </w:rPr>
        <w:t>3.2 Metodología de desarrollo</w:t>
      </w:r>
    </w:p>
    <w:p>
      <w:pPr>
        <w:pStyle w:val="TDC2"/>
      </w:pPr>
      <w:r>
        <w:rPr>
          <w:b w:val="0"/>
          <w:i w:val="0"/>
        </w:rPr>
        <w:t>3.3 Técnicas de relevamiento</w:t>
      </w:r>
    </w:p>
    <w:p>
      <w:pPr>
        <w:pStyle w:val="TDC2"/>
      </w:pPr>
      <w:r>
        <w:rPr>
          <w:b w:val="0"/>
          <w:i w:val="0"/>
        </w:rPr>
        <w:t>3.4 Requisitos funcionales</w:t>
      </w:r>
    </w:p>
    <w:p>
      <w:pPr>
        <w:pStyle w:val="TDC2"/>
      </w:pPr>
      <w:r>
        <w:rPr>
          <w:b w:val="0"/>
          <w:i w:val="0"/>
        </w:rPr>
        <w:t>3.5 Requisitos no funcionales</w:t>
      </w:r>
    </w:p>
    <w:p>
      <w:pPr>
        <w:pStyle w:val="TDC2"/>
      </w:pPr>
      <w:r>
        <w:rPr>
          <w:b w:val="0"/>
          <w:i w:val="0"/>
        </w:rPr>
        <w:t>3.6 Herramientas y tecnologías</w:t>
      </w:r>
    </w:p>
    <w:p>
      <w:pPr>
        <w:pStyle w:val="TDC2"/>
      </w:pPr>
      <w:r>
        <w:rPr>
          <w:b w:val="0"/>
          <w:i w:val="0"/>
        </w:rPr>
        <w:t>3.7 Estrategia de validación del artefacto</w:t>
      </w:r>
    </w:p>
    <w:p>
      <w:pPr>
        <w:pStyle w:val="TDC2"/>
      </w:pPr>
      <w:r>
        <w:rPr>
          <w:b w:val="0"/>
          <w:i w:val="0"/>
        </w:rPr>
        <w:t>3.8 Protocolo de ejecución y registro de la validación</w:t>
      </w:r>
    </w:p>
    <w:p>
      <w:pPr>
        <w:pStyle w:val="TDC1"/>
      </w:pPr>
      <w:r>
        <w:rPr>
          <w:b w:val="0"/>
          <w:i w:val="0"/>
        </w:rPr>
        <w:t>Capítulo 4: Diseño y Desarrollo del Sistema</w:t>
      </w:r>
    </w:p>
    <w:p>
      <w:pPr>
        <w:pStyle w:val="TDC2"/>
      </w:pPr>
      <w:r>
        <w:rPr>
          <w:b w:val="0"/>
          <w:i w:val="0"/>
        </w:rPr>
        <w:t>4.1 Arquitectura general</w:t>
      </w:r>
    </w:p>
    <w:p>
      <w:pPr>
        <w:pStyle w:val="TDC2"/>
      </w:pPr>
      <w:r>
        <w:rPr>
          <w:b w:val="0"/>
          <w:i w:val="0"/>
        </w:rPr>
        <w:t>4.2 Frontend (Next.js)</w:t>
      </w:r>
    </w:p>
    <w:p>
      <w:pPr>
        <w:pStyle w:val="TDC3"/>
      </w:pPr>
      <w:r>
        <w:rPr>
          <w:b w:val="0"/>
          <w:i w:val="0"/>
        </w:rPr>
        <w:t>4.2.1 Formulario público de captación</w:t>
      </w:r>
    </w:p>
    <w:p>
      <w:pPr>
        <w:pStyle w:val="TDC3"/>
      </w:pPr>
      <w:r>
        <w:rPr>
          <w:b w:val="0"/>
          <w:i w:val="0"/>
        </w:rPr>
        <w:t>4.2.2 Autenticación con Supabase Auth</w:t>
      </w:r>
    </w:p>
    <w:p>
      <w:pPr>
        <w:pStyle w:val="TDC3"/>
      </w:pPr>
      <w:r>
        <w:rPr>
          <w:b w:val="0"/>
          <w:i w:val="0"/>
        </w:rPr>
        <w:t>4.2.3 Protección de rutas</w:t>
      </w:r>
    </w:p>
    <w:p>
      <w:pPr>
        <w:pStyle w:val="TDC3"/>
      </w:pPr>
      <w:r>
        <w:rPr>
          <w:b w:val="0"/>
          <w:i w:val="0"/>
        </w:rPr>
        <w:t>4.2.4 Cliente de Supabase y degradación defensiva</w:t>
      </w:r>
    </w:p>
    <w:p>
      <w:pPr>
        <w:pStyle w:val="TDC3"/>
      </w:pPr>
      <w:r>
        <w:rPr>
          <w:b w:val="0"/>
          <w:i w:val="0"/>
        </w:rPr>
        <w:t>4.2.5 Tablero de control en tiempo real</w:t>
      </w:r>
    </w:p>
    <w:p>
      <w:pPr>
        <w:pStyle w:val="TDC3"/>
      </w:pPr>
      <w:r>
        <w:rPr>
          <w:b w:val="0"/>
          <w:i w:val="0"/>
        </w:rPr>
        <w:t>4.2.6 Página de aceptación de propuestas</w:t>
      </w:r>
    </w:p>
    <w:p>
      <w:pPr>
        <w:pStyle w:val="TDC2"/>
      </w:pPr>
      <w:r>
        <w:rPr>
          <w:b w:val="0"/>
          <w:i w:val="0"/>
        </w:rPr>
        <w:t>4.3 Backend de automatización (n8n)</w:t>
      </w:r>
    </w:p>
    <w:p>
      <w:pPr>
        <w:pStyle w:val="TDC3"/>
      </w:pPr>
      <w:r>
        <w:rPr>
          <w:b w:val="0"/>
          <w:i w:val="0"/>
        </w:rPr>
        <w:t>4.3.1 Captación y calificación (webhook de nuevo lead)</w:t>
      </w:r>
    </w:p>
    <w:p>
      <w:pPr>
        <w:pStyle w:val="TDC3"/>
      </w:pPr>
      <w:r>
        <w:rPr>
          <w:b w:val="0"/>
          <w:i w:val="0"/>
        </w:rPr>
        <w:t>4.3.2 Aceptación y facturación (webhook de lead acepta)</w:t>
      </w:r>
    </w:p>
    <w:p>
      <w:pPr>
        <w:pStyle w:val="TDC3"/>
      </w:pPr>
      <w:r>
        <w:rPr>
          <w:b w:val="0"/>
          <w:i w:val="0"/>
        </w:rPr>
        <w:t>4.3.3 Pago (webhook de confirmación de MercadoPago)</w:t>
      </w:r>
    </w:p>
    <w:p>
      <w:pPr>
        <w:pStyle w:val="TDC3"/>
      </w:pPr>
      <w:r>
        <w:rPr>
          <w:b w:val="0"/>
          <w:i w:val="0"/>
        </w:rPr>
        <w:t>4.3.4 Cierre de proyecto (webhook de proyecto cerrado)</w:t>
      </w:r>
    </w:p>
    <w:p>
      <w:pPr>
        <w:pStyle w:val="TDC3"/>
      </w:pPr>
      <w:r>
        <w:rPr>
          <w:b w:val="0"/>
          <w:i w:val="0"/>
        </w:rPr>
        <w:t>4.3.5 Procesos programados</w:t>
      </w:r>
    </w:p>
    <w:p>
      <w:pPr>
        <w:pStyle w:val="TDC3"/>
      </w:pPr>
      <w:r>
        <w:rPr>
          <w:b w:val="0"/>
          <w:i w:val="0"/>
        </w:rPr>
        <w:t>4.3.6 Manejo de errores</w:t>
      </w:r>
    </w:p>
    <w:p>
      <w:pPr>
        <w:pStyle w:val="TDC3"/>
      </w:pPr>
      <w:r>
        <w:rPr>
          <w:b w:val="0"/>
          <w:i w:val="0"/>
        </w:rPr>
        <w:t>4.3.7 Gestión interactiva del ciclo posterior a la propuesta</w:t>
      </w:r>
    </w:p>
    <w:p>
      <w:pPr>
        <w:pStyle w:val="TDC2"/>
      </w:pPr>
      <w:r>
        <w:rPr>
          <w:b w:val="0"/>
          <w:i w:val="0"/>
        </w:rPr>
        <w:t>4.4 Modelo de datos</w:t>
      </w:r>
    </w:p>
    <w:p>
      <w:pPr>
        <w:pStyle w:val="TDC2"/>
      </w:pPr>
      <w:r>
        <w:rPr>
          <w:b w:val="0"/>
          <w:i w:val="0"/>
        </w:rPr>
        <w:t>4.5 Contratos de integración</w:t>
      </w:r>
    </w:p>
    <w:p>
      <w:pPr>
        <w:pStyle w:val="TDC2"/>
      </w:pPr>
      <w:r>
        <w:rPr>
          <w:b w:val="0"/>
          <w:i w:val="0"/>
        </w:rPr>
        <w:t>4.6 Seguridad</w:t>
      </w:r>
    </w:p>
    <w:p>
      <w:pPr>
        <w:pStyle w:val="TDC2"/>
      </w:pPr>
      <w:r>
        <w:rPr>
          <w:b w:val="0"/>
          <w:i w:val="0"/>
        </w:rPr>
        <w:t>4.7 Decisiones de diseño</w:t>
      </w:r>
    </w:p>
    <w:p>
      <w:pPr>
        <w:pStyle w:val="TDC2"/>
      </w:pPr>
      <w:r>
        <w:rPr>
          <w:b w:val="0"/>
          <w:i w:val="0"/>
        </w:rPr>
        <w:t>4.8 Reglas de negocio</w:t>
      </w:r>
    </w:p>
    <w:p>
      <w:pPr>
        <w:pStyle w:val="TDC2"/>
      </w:pPr>
      <w:r>
        <w:rPr>
          <w:b w:val="0"/>
          <w:i w:val="0"/>
        </w:rPr>
        <w:t>4.9 Síntesis de los riesgos de diseño identificados</w:t>
      </w:r>
    </w:p>
    <w:p>
      <w:pPr>
        <w:pStyle w:val="TDC1"/>
      </w:pPr>
      <w:r>
        <w:rPr>
          <w:b w:val="0"/>
          <w:i w:val="0"/>
        </w:rPr>
        <w:t>Capítulo 5: Resultados y Validación</w:t>
      </w:r>
    </w:p>
    <w:p>
      <w:pPr>
        <w:pStyle w:val="TDC1"/>
      </w:pPr>
      <w:r>
        <w:rPr>
          <w:b w:val="0"/>
          <w:i w:val="0"/>
        </w:rPr>
        <w:t>Capítulo 6: Discusión</w:t>
      </w:r>
    </w:p>
    <w:p>
      <w:pPr>
        <w:pStyle w:val="TDC2"/>
      </w:pPr>
      <w:r>
        <w:rPr>
          <w:b w:val="0"/>
          <w:i w:val="0"/>
        </w:rPr>
        <w:t>6.1 Comparación con el estado del arte</w:t>
      </w:r>
    </w:p>
    <w:p>
      <w:pPr>
        <w:pStyle w:val="TDC2"/>
      </w:pPr>
      <w:r>
        <w:rPr>
          <w:b w:val="0"/>
          <w:i w:val="0"/>
        </w:rPr>
        <w:t>6.2 Limitaciones que comprometen las afirmaciones del trabajo</w:t>
      </w:r>
    </w:p>
    <w:p>
      <w:pPr>
        <w:pStyle w:val="TDC2"/>
      </w:pPr>
      <w:r>
        <w:rPr>
          <w:b w:val="0"/>
          <w:i w:val="0"/>
        </w:rPr>
        <w:t>6.3 Incidente de seguridad abierto</w:t>
      </w:r>
    </w:p>
    <w:p>
      <w:pPr>
        <w:pStyle w:val="TDC1"/>
      </w:pPr>
      <w:r>
        <w:rPr>
          <w:b w:val="0"/>
          <w:i w:val="0"/>
        </w:rPr>
        <w:t>Capítulo 7: Conclusiones</w:t>
      </w:r>
    </w:p>
    <w:p>
      <w:pPr>
        <w:pStyle w:val="TDC2"/>
      </w:pPr>
      <w:r>
        <w:rPr>
          <w:b w:val="0"/>
          <w:i w:val="0"/>
        </w:rPr>
        <w:t>7.1 Aprendizajes del proceso</w:t>
      </w:r>
    </w:p>
    <w:p>
      <w:pPr>
        <w:pStyle w:val="TDC1"/>
      </w:pPr>
      <w:r>
        <w:rPr>
          <w:b w:val="0"/>
          <w:i w:val="0"/>
        </w:rPr>
        <w:t>Capítulo 8: Trabajos Futuros y Recomendaciones</w:t>
      </w:r>
    </w:p>
    <w:p>
      <w:pPr>
        <w:pStyle w:val="TDC1"/>
      </w:pPr>
      <w:r>
        <w:rPr>
          <w:b w:val="0"/>
          <w:i w:val="0"/>
        </w:rPr>
        <w:t>Referencias</w:t>
      </w:r>
    </w:p>
    <w:p>
      <w:pPr>
        <w:pStyle w:val="TDC1"/>
      </w:pPr>
      <w:r>
        <w:rPr>
          <w:b w:val="0"/>
          <w:i w:val="0"/>
        </w:rPr>
        <w:t>Anexos</w:t>
      </w:r>
    </w:p>
    <w:p>
      <w:pPr>
        <w:pStyle w:val="TDC2"/>
      </w:pPr>
      <w:r>
        <w:rPr>
          <w:b w:val="0"/>
          <w:i w:val="0"/>
        </w:rPr>
        <w:t>Anexo A. Evidencias visuales</w:t>
      </w:r>
    </w:p>
    <w:p>
      <w:pPr>
        <w:pStyle w:val="TDC2"/>
      </w:pPr>
      <w:r>
        <w:rPr>
          <w:b w:val="0"/>
          <w:i w:val="0"/>
        </w:rPr>
        <w:t>Anexo B. Flujos de trabajo de n8n</w:t>
      </w:r>
    </w:p>
    <w:p>
      <w:pPr>
        <w:pStyle w:val="TDC2"/>
      </w:pPr>
      <w:r>
        <w:rPr>
          <w:b w:val="0"/>
          <w:i w:val="0"/>
        </w:rPr>
        <w:t>Anexo C. Seguridad a nivel de fila (esquema de políticas)</w:t>
      </w:r>
    </w:p>
    <w:p>
      <w:pPr>
        <w:pStyle w:val="TDC2"/>
      </w:pPr>
      <w:r>
        <w:rPr>
          <w:b w:val="0"/>
          <w:i w:val="0"/>
        </w:rPr>
        <w:t>Anexo D. Contrato de datos del formulario</w:t>
      </w:r>
    </w:p>
    <w:p>
      <w:pPr>
        <w:pStyle w:val="TDC2"/>
      </w:pPr>
      <w:r>
        <w:rPr>
          <w:b w:val="0"/>
          <w:i w:val="0"/>
        </w:rPr>
        <w:t>Anexo E. Matriz de trazabilidad</w:t>
      </w:r>
    </w:p>
    <w:p>
      <w:pPr>
        <w:pStyle w:val="TDC2"/>
      </w:pPr>
      <w:r>
        <w:rPr>
          <w:b w:val="0"/>
          <w:i w:val="0"/>
        </w:rPr>
        <w:t>Anexo F. Esquema de la base de datos (DDL)</w:t>
      </w:r>
    </w:p>
    <w:p>
      <w:pPr>
        <w:pStyle w:val="TDC2"/>
      </w:pPr>
      <w:r>
        <w:rPr>
          <w:b w:val="0"/>
          <w:i w:val="0"/>
        </w:rPr>
        <w:t>Anexo G. Puesta en marcha del entorno</w:t>
      </w:r>
    </w:p>
    <w:p>
      <w:pPr/>
      <w:r>
        <w:fldChar w:fldCharType="end"/>
      </w:r>
    </w:p>
    <w:p>
      <w:pPr/>
      <w:r>
        <w:rPr>
          <w:b w:val="0"/>
          <w:i/>
          <w:sz w:val="15"/>
        </w:rPr>
        <w:t>Los números de página de este índice se generan al actualizar el campo en el procesador de textos (Word: clic derecho sobre el índice → Actualizar campos → Actualizar toda la tabla).</w:t>
      </w:r>
    </w:p>
    <w:p>
      <w:pPr>
        <w:pStyle w:val="Ttulo1"/>
      </w:pPr>
      <w:r>
        <w:rPr>
          <w:b w:val="0"/>
          <w:i w:val="0"/>
        </w:rPr>
        <w:t>Índice de tablas</w:t>
      </w:r>
    </w:p>
    <w:p>
      <w:pPr>
        <w:pStyle w:val="TDC1"/>
      </w:pPr>
      <w:r>
        <w:rPr>
          <w:b w:val="0"/>
          <w:i w:val="0"/>
        </w:rPr>
        <w:t>Tabla 1. Requisitos funcionales del sistema</w:t>
      </w:r>
    </w:p>
    <w:p>
      <w:pPr>
        <w:pStyle w:val="TDC1"/>
      </w:pPr>
      <w:r>
        <w:rPr>
          <w:b w:val="0"/>
          <w:i w:val="0"/>
        </w:rPr>
        <w:t>Tabla 2. Requisitos no funcionales del sistema (ISO/IEC 25010:2023)</w:t>
      </w:r>
    </w:p>
    <w:p>
      <w:pPr>
        <w:pStyle w:val="TDC1"/>
      </w:pPr>
      <w:r>
        <w:rPr>
          <w:b w:val="0"/>
          <w:i w:val="0"/>
        </w:rPr>
        <w:t>Tabla 3. Herramientas y tecnologías utilizadas, con su versión</w:t>
      </w:r>
    </w:p>
    <w:p>
      <w:pPr>
        <w:pStyle w:val="TDC1"/>
      </w:pPr>
      <w:r>
        <w:rPr>
          <w:b w:val="0"/>
          <w:i w:val="0"/>
        </w:rPr>
        <w:t>Tabla 4. Protocolo de ejecución y registro de la validación</w:t>
      </w:r>
    </w:p>
    <w:p>
      <w:pPr>
        <w:pStyle w:val="TDC1"/>
      </w:pPr>
      <w:r>
        <w:rPr>
          <w:b w:val="0"/>
          <w:i w:val="0"/>
        </w:rPr>
        <w:t>Tabla 5. Reglas de cálculo del score</w:t>
      </w:r>
    </w:p>
    <w:p>
      <w:pPr>
        <w:pStyle w:val="TDC1"/>
      </w:pPr>
      <w:r>
        <w:rPr>
          <w:b w:val="0"/>
          <w:i w:val="0"/>
        </w:rPr>
        <w:t>Tabla 6. Esquema de la tabla leads</w:t>
      </w:r>
    </w:p>
    <w:p>
      <w:pPr>
        <w:pStyle w:val="TDC1"/>
      </w:pPr>
      <w:r>
        <w:rPr>
          <w:b w:val="0"/>
          <w:i w:val="0"/>
        </w:rPr>
        <w:t>Tabla 7. Esquema de las tablas facturas, seguimientos, logs y profiles</w:t>
      </w:r>
    </w:p>
    <w:p>
      <w:pPr>
        <w:pStyle w:val="TDC1"/>
      </w:pPr>
      <w:r>
        <w:rPr>
          <w:b w:val="0"/>
          <w:i w:val="0"/>
        </w:rPr>
        <w:t>Tabla 8. Definición operacional de los indicadores del tablero</w:t>
      </w:r>
    </w:p>
    <w:p>
      <w:pPr>
        <w:pStyle w:val="TDC1"/>
      </w:pPr>
      <w:r>
        <w:rPr>
          <w:b w:val="0"/>
          <w:i w:val="0"/>
        </w:rPr>
        <w:t>Tabla 9. Estados del ciclo de vida del lead y del trabajo</w:t>
      </w:r>
    </w:p>
    <w:p>
      <w:pPr>
        <w:pStyle w:val="TDC1"/>
      </w:pPr>
      <w:r>
        <w:rPr>
          <w:b w:val="0"/>
          <w:i w:val="0"/>
        </w:rPr>
        <w:t>Tabla 10. Contratos de integración (webhooks de n8n)</w:t>
      </w:r>
    </w:p>
    <w:p>
      <w:pPr>
        <w:pStyle w:val="TDC1"/>
      </w:pPr>
      <w:r>
        <w:rPr>
          <w:b w:val="0"/>
          <w:i w:val="0"/>
        </w:rPr>
        <w:t>Tabla 11. Deudas de seguridad identificadas y no resueltas</w:t>
      </w:r>
    </w:p>
    <w:p>
      <w:pPr>
        <w:pStyle w:val="TDC1"/>
      </w:pPr>
      <w:r>
        <w:rPr>
          <w:b w:val="0"/>
          <w:i w:val="0"/>
        </w:rPr>
        <w:t>Tabla 12. Escenarios de validación, resultado esperado y evidencia</w:t>
      </w:r>
    </w:p>
    <w:p>
      <w:pPr>
        <w:pStyle w:val="TDC1"/>
      </w:pPr>
      <w:r>
        <w:rPr>
          <w:b w:val="0"/>
          <w:i w:val="0"/>
        </w:rPr>
        <w:t>Tabla 13. Estimación de costo total de propiedad a doce meses</w:t>
      </w:r>
    </w:p>
    <w:p>
      <w:pPr>
        <w:pStyle w:val="TDC1"/>
      </w:pPr>
      <w:r>
        <w:rPr>
          <w:b w:val="0"/>
          <w:i w:val="0"/>
        </w:rPr>
        <w:t>Tabla 14. Comparación funcional frente a las alternativas revisadas en §2.7</w:t>
      </w:r>
    </w:p>
    <w:p>
      <w:pPr>
        <w:pStyle w:val="TDC1"/>
      </w:pPr>
      <w:r>
        <w:rPr>
          <w:b w:val="0"/>
          <w:i w:val="0"/>
        </w:rPr>
        <w:t>Tabla 15. Composición del flujo por tipo de nodo (Anexo B)</w:t>
      </w:r>
    </w:p>
    <w:p>
      <w:pPr>
        <w:pStyle w:val="TDC1"/>
      </w:pPr>
      <w:r>
        <w:rPr>
          <w:b w:val="0"/>
          <w:i w:val="0"/>
        </w:rPr>
        <w:t>Tabla 16. Procesos del flujo, disparador y nodos principales (Anexo B)</w:t>
      </w:r>
    </w:p>
    <w:p>
      <w:pPr>
        <w:pStyle w:val="TDC1"/>
      </w:pPr>
      <w:r>
        <w:rPr>
          <w:b w:val="0"/>
          <w:i w:val="0"/>
        </w:rPr>
        <w:t>Tabla 17. Contrato de datos de entrada del webhook de captación (Anexo D)</w:t>
      </w:r>
    </w:p>
    <w:p>
      <w:pPr>
        <w:pStyle w:val="TDC1"/>
      </w:pPr>
      <w:r>
        <w:rPr>
          <w:b w:val="0"/>
          <w:i w:val="0"/>
        </w:rPr>
        <w:t>Tabla 18. Matriz de trazabilidad de objetivos y pregunta de investigación (Anexo E)</w:t>
      </w:r>
    </w:p>
    <w:p>
      <w:pPr>
        <w:pStyle w:val="TDC1"/>
      </w:pPr>
      <w:r>
        <w:rPr>
          <w:b w:val="0"/>
          <w:i w:val="0"/>
        </w:rPr>
        <w:t>Tabla 19. Trazabilidad de los requisitos funcionales (Anexo E)</w:t>
      </w:r>
    </w:p>
    <w:p>
      <w:pPr>
        <w:pStyle w:val="TDC1"/>
      </w:pPr>
      <w:r>
        <w:rPr>
          <w:b w:val="0"/>
          <w:i w:val="0"/>
        </w:rPr>
        <w:t>Tabla 20. Trazabilidad de los requisitos no funcionales (Anexo E)</w:t>
      </w:r>
    </w:p>
    <w:p>
      <w:pPr>
        <w:pStyle w:val="TDC1"/>
      </w:pPr>
      <w:r>
        <w:rPr>
          <w:b w:val="0"/>
          <w:i w:val="0"/>
        </w:rPr>
        <w:t>Tabla 21. Variables de entorno requeridas (Anexo G)</w:t>
      </w:r>
    </w:p>
    <w:p>
      <w:pPr>
        <w:pStyle w:val="Ttulo1"/>
      </w:pPr>
      <w:r>
        <w:rPr>
          <w:b w:val="0"/>
          <w:i w:val="0"/>
        </w:rPr>
        <w:t>Índice de figuras</w:t>
      </w:r>
    </w:p>
    <w:p>
      <w:pPr>
        <w:pStyle w:val="TDC1"/>
      </w:pPr>
      <w:r>
        <w:rPr>
          <w:b w:val="0"/>
          <w:i w:val="0"/>
        </w:rPr>
        <w:t>Figura 1. Arquitectura en tres capas del sistema (§4.1)</w:t>
      </w:r>
    </w:p>
    <w:p>
      <w:pPr>
        <w:pStyle w:val="TDC1"/>
      </w:pPr>
      <w:r>
        <w:rPr>
          <w:b w:val="0"/>
          <w:i w:val="0"/>
        </w:rPr>
        <w:t>Figura 2. Diagrama entidad-relación del modelo de datos (§4.4)</w:t>
      </w:r>
    </w:p>
    <w:p>
      <w:pPr>
        <w:pStyle w:val="TDC1"/>
      </w:pPr>
      <w:r>
        <w:rPr>
          <w:b w:val="0"/>
          <w:i w:val="0"/>
        </w:rPr>
        <w:t>Figura 3. Máquinas de estados del lead y del trabajo (§4.4)</w:t>
      </w:r>
    </w:p>
    <w:p>
      <w:pPr>
        <w:pStyle w:val="TDC1"/>
      </w:pPr>
      <w:r>
        <w:rPr>
          <w:b w:val="0"/>
          <w:i w:val="0"/>
        </w:rPr>
        <w:t>Figura 4. Diagrama de secuencia del flujo de aceptación y facturación (§4.3.2)</w:t>
      </w:r>
    </w:p>
    <w:p>
      <w:pPr>
        <w:pStyle w:val="TDC1"/>
      </w:pPr>
      <w:r>
        <w:rPr>
          <w:b w:val="0"/>
          <w:i w:val="0"/>
        </w:rPr>
        <w:t>Figura 5. Formulario público de captación de leads (Anexo A)</w:t>
      </w:r>
    </w:p>
    <w:p>
      <w:pPr>
        <w:pStyle w:val="TDC1"/>
      </w:pPr>
      <w:r>
        <w:rPr>
          <w:b w:val="0"/>
          <w:i w:val="0"/>
        </w:rPr>
        <w:t>Figura 6. Tablero de control interno (Anexo A)</w:t>
      </w:r>
    </w:p>
    <w:p>
      <w:pPr>
        <w:pStyle w:val="TDC1"/>
      </w:pPr>
      <w:r>
        <w:rPr>
          <w:b w:val="0"/>
          <w:i w:val="0"/>
        </w:rPr>
        <w:t>Figura 7. Página pública de aceptación de propuesta (Anexo A)</w:t>
      </w:r>
    </w:p>
    <w:p>
      <w:pPr>
        <w:pStyle w:val="TDC1"/>
      </w:pPr>
      <w:r>
        <w:rPr>
          <w:b w:val="0"/>
          <w:i w:val="0"/>
        </w:rPr>
        <w:t>Figura 8. Flujo de captación y calificación en n8n (Anexo A)</w:t>
      </w:r>
    </w:p>
    <w:p>
      <w:pPr>
        <w:pStyle w:val="TDC1"/>
      </w:pPr>
      <w:r>
        <w:rPr>
          <w:b w:val="0"/>
          <w:i w:val="0"/>
        </w:rPr>
        <w:t>Figura 9. Flujo de aceptación y facturación en n8n (Anexo A)</w:t>
      </w:r>
    </w:p>
    <w:p>
      <w:pPr>
        <w:pStyle w:val="TDC1"/>
      </w:pPr>
      <w:r>
        <w:rPr>
          <w:b w:val="0"/>
          <w:i w:val="0"/>
        </w:rPr>
        <w:t>Figura 10. Flujo de confirmación de pago en n8n (Anexo A)</w:t>
      </w:r>
    </w:p>
    <w:p>
      <w:pPr>
        <w:pStyle w:val="TDC1"/>
      </w:pPr>
      <w:r>
        <w:rPr>
          <w:b w:val="0"/>
          <w:i w:val="0"/>
        </w:rPr>
        <w:t>Figura 11. Flujo de cierre de proyecto en n8n (Anexo A)</w:t>
      </w:r>
    </w:p>
    <w:p>
      <w:pPr>
        <w:pStyle w:val="TDC1"/>
      </w:pPr>
      <w:r>
        <w:rPr>
          <w:b w:val="0"/>
          <w:i w:val="0"/>
        </w:rPr>
        <w:t>Figura 12. Procesos programados en n8n (Anexo A)</w:t>
      </w:r>
    </w:p>
    <w:p>
      <w:pPr>
        <w:pStyle w:val="TDC1"/>
      </w:pPr>
      <w:r>
        <w:rPr>
          <w:b w:val="0"/>
          <w:i w:val="0"/>
        </w:rPr>
        <w:t>Figura 13. Correo de propuesta generado por el sistema (Anexo A)</w:t>
      </w:r>
    </w:p>
    <w:p>
      <w:pPr>
        <w:pStyle w:val="TDC1"/>
      </w:pPr>
      <w:r>
        <w:rPr>
          <w:b w:val="0"/>
          <w:i w:val="0"/>
        </w:rPr>
        <w:t>Figura 14. Correo de envío de la factura (Anexo A)</w:t>
      </w:r>
    </w:p>
    <w:p>
      <w:pPr>
        <w:pStyle w:val="TDC1"/>
      </w:pPr>
      <w:r>
        <w:rPr>
          <w:b w:val="0"/>
          <w:i w:val="0"/>
        </w:rPr>
        <w:t>Figura 15. Comprobante en PDF generado por el sistema (Anexo A)</w:t>
      </w:r>
    </w:p>
    <w:p>
      <w:pPr>
        <w:pStyle w:val="TDC1"/>
      </w:pPr>
      <w:r>
        <w:rPr>
          <w:b w:val="0"/>
          <w:i w:val="0"/>
        </w:rPr>
        <w:t>Figura 16. Clasificación de leads por score y nivel (Anexo A)</w:t>
      </w:r>
    </w:p>
    <w:p>
      <w:pPr>
        <w:pStyle w:val="TDC1"/>
      </w:pPr>
      <w:r>
        <w:rPr>
          <w:b w:val="0"/>
          <w:i w:val="0"/>
        </w:rPr>
        <w:t>Figura 17. Validación del formulario ante entrada inválida (Anexo A)</w:t>
      </w:r>
    </w:p>
    <w:p>
      <w:pPr>
        <w:pStyle w:val="TDC1"/>
      </w:pPr>
      <w:r>
        <w:rPr>
          <w:b w:val="0"/>
          <w:i w:val="0"/>
        </w:rPr>
        <w:t>Figura 18. Los cuatro desenlaces de la página pública de aceptación de propuesta (Anexo A)</w:t>
      </w:r>
    </w:p>
    <w:p w:rsidR="00D60FC7" w:rsidRDefault="00000000">
      <w:r>
        <w:fldChar w:fldCharType="end"/>
      </w:r>
    </w:p>
    <w:p w:rsidR="00D60FC7" w:rsidRDefault="00000000">
      <w:r>
        <w:br w:type="page"/>
      </w:r>
    </w:p>
    <w:p w:rsidR="00D60FC7" w:rsidRDefault="00000000">
      <w:pPr>
        <w:pStyle w:val="Ttulo1"/>
      </w:pPr>
      <w:bookmarkStart w:id="3" w:name="_Toc233808409"/>
      <w:r>
        <w:t>Capítulo 1: Introducción</w:t>
      </w:r>
      <w:bookmarkEnd w:id="3"/>
    </w:p>
    <w:p w:rsidR="00D60FC7" w:rsidRDefault="00000000">
      <w:r>
        <w:t>Este capítulo delimita el problema que motiva el trabajo, distingue el tema de la pregunta de investigación, justifica la relevancia de la propuesta y fija los objetivos y el alcance que ordenan el resto del documento.</w:t>
      </w:r>
    </w:p>
    <w:p w:rsidR="00D60FC7" w:rsidRDefault="00000000">
      <w:pPr>
        <w:pStyle w:val="Ttulo2"/>
      </w:pPr>
      <w:bookmarkStart w:id="4" w:name="_Toc233808410"/>
      <w:r>
        <w:t>1.1 Contexto del problema</w:t>
      </w:r>
      <w:bookmarkEnd w:id="4"/>
    </w:p>
    <w:p w:rsidR="00D60FC7" w:rsidRDefault="00000000">
      <w:proofErr w:type="spellStart"/>
      <w:proofErr w:type="spellEnd"/>
      <w:proofErr w:type="spellStart"/>
      <w:proofErr w:type="spellEnd"/>
      <w:proofErr w:type="spellStart"/>
      <w:proofErr w:type="spellEnd"/>
      <w:proofErr w:type="spellStart"/>
      <w:proofErr w:type="spellEnd"/>
      <w:proofErr w:type="spellStart"/>
      <w:proofErr w:type="spellEnd"/>
      <w:r>
        <w:rPr>
          <w:b w:val="0"/>
          <w:i w:val="0"/>
        </w:rPr>
        <w:t>El trabajo independiente en el sector del software y los servicios digitales ha crecido de forma sostenida: el Online Labour Index registró un crecimiento interanual cercano al 20 % en la demanda de trabajo digital por proyecto (Kässi y Lehdonvirta, 2018), y en América Latina y el Caribe la Organización Internacional del Trabajo documenta una expansión reciente del trabajo mediado por plataformas digitales basadas en la web (OIT, 2025). El freelancer que ofrece desarrollo web, diseño, marketing o consultoría opera, en la mayoría de los casos, como una unidad de una sola persona: es simultáneamente quien vende, produce, factura y da soporte. A diferencia de una empresa con áreas comerciales y administrativas diferenciadas, el profesional independiente concentra todas esas funciones, lo que traslada una parte significativa de su tiempo productivo hacia tareas administrativas de bajo valor agregado.</w:t>
      </w:r>
    </w:p>
    <w:p w:rsidR="00D60FC7" w:rsidRDefault="00000000">
      <w:r>
        <w:t>Cada nuevo contacto comercial —o lead— inicia un ciclo que, gestionado manualmente, resulta frágil: recibir y ordenar los datos del interesado, evaluar si la oportunidad conviene, redactar una propuesta, enviarla, recordar el seguimiento si no hay respuesta, emitir la factura al cerrar, controlar el cobro y pedir un testimonio. Con un único cliente el proceso es abordable; con varios en paralelo, los pasos se superponen, se posponen o se pierden.</w:t>
      </w:r>
    </w:p>
    <w:p w:rsidR="00D60FC7" w:rsidRDefault="00000000">
      <w:pPr>
        <w:pStyle w:val="Ttulo2"/>
      </w:pPr>
      <w:bookmarkStart w:id="5" w:name="_Toc233808411"/>
      <w:r>
        <w:t>1.2 Planteamiento del problema</w:t>
      </w:r>
      <w:bookmarkEnd w:id="5"/>
    </w:p>
    <w:p w:rsidR="00D60FC7" w:rsidRDefault="00000000">
      <w:r>
        <w:t xml:space="preserve">La gestión manual del ciclo comercial del </w:t>
      </w:r>
      <w:proofErr w:type="spellStart"/>
      <w:r>
        <w:t>freelancer</w:t>
      </w:r>
      <w:proofErr w:type="spellEnd"/>
      <w:r>
        <w:t xml:space="preserve"> presenta tres debilidades concretas. En primer lugar, la falta de priorización: sin un criterio sistemático, se dedica el mismo esfuerzo a una consulta de bajo presupuesto y baja urgencia que a una oportunidad de alto valor. En segundo lugar, la pérdida de trazabilidad: el estado de cada oportunidad (si se envió la propuesta, si hubo seguimiento, si se facturó) queda disperso en correos y notas, sin una fuente única de verdad. En tercer lugar, la dependencia de la memoria del profesional para tareas que deberían dispararse solas, como el seguimiento a los tres días o el recordatorio de una factura próxima a vencer.</w:t>
      </w:r>
    </w:p>
    <w:p w:rsidR="00D60FC7" w:rsidRDefault="00000000">
      <w:r>
        <w:t xml:space="preserve">Estas debilidades no se resuelven contratando más personal —el </w:t>
      </w:r>
      <w:proofErr w:type="spellStart"/>
      <w:r>
        <w:t>freelancer</w:t>
      </w:r>
      <w:proofErr w:type="spellEnd"/>
      <w:r>
        <w:t>, por definición, trabaja solo— sino delegando las tareas repetitivas en un sistema que las ejecute de forma consistente, trazable y desatendida.</w:t>
      </w:r>
    </w:p>
    <w:p w:rsidR="00D60FC7" w:rsidRDefault="00000000">
      <w:pPr>
        <w:pStyle w:val="Ttulo2"/>
      </w:pPr>
      <w:bookmarkStart w:id="6" w:name="_Toc233808412"/>
      <w:r>
        <w:t>1.3 Tema, problema y pregunta de investigación</w:t>
      </w:r>
      <w:bookmarkEnd w:id="6"/>
    </w:p>
    <w:p w:rsidR="00D60FC7" w:rsidRDefault="00000000">
      <w:r>
        <w:t xml:space="preserve">El </w:t>
      </w:r>
      <w:r>
        <w:rPr>
          <w:b/>
        </w:rPr>
        <w:t>tema</w:t>
      </w:r>
      <w:r>
        <w:t xml:space="preserve"> del trabajo es la automatización de procesos comerciales y administrativos para trabajadores independientes del sector digital. El </w:t>
      </w:r>
      <w:r>
        <w:rPr>
          <w:b/>
        </w:rPr>
        <w:t>problema</w:t>
      </w:r>
      <w:r>
        <w:t xml:space="preserve"> es la carga manual, la falta de priorización y la pérdida de trazabilidad en la gestión del ciclo de vida del cliente. De ambos se deriva la siguiente </w:t>
      </w:r>
      <w:r>
        <w:rPr>
          <w:b/>
        </w:rPr>
        <w:t>pregunta de investigación</w:t>
      </w:r>
      <w:r>
        <w:t>:</w:t>
      </w:r>
    </w:p>
    <w:p w:rsidR="00D60FC7" w:rsidRDefault="00000000">
      <w:pPr>
        <w:spacing w:after="120"/>
        <w:ind w:left="720"/>
        <w:rPr>
          <w:i/>
        </w:rPr>
      </w:pPr>
      <w:proofErr w:type="spellStart"/>
      <w:proofErr w:type="spellEnd"/>
      <w:r>
        <w:rPr>
          <w:b w:val="0"/>
          <w:i w:val="0"/>
        </w:rPr>
        <w:t>¿Es técnicamente viable automatizar el ciclo de vida completo de la gestión de clientes de un freelancer —captación, calificación, propuesta, facturación y cobro— mediante una arquitectura orientada a eventos de bajo código, de modo que las tareas hoy ejecutadas manualmente queden delegadas en el sistema sin sacrificar la trazabilidad ni el control del profesional sobre el proceso?</w:t>
      </w:r>
    </w:p>
    <w:p>
      <w:pPr/>
      <w:r>
        <w:rPr>
          <w:b w:val="0"/>
          <w:i w:val="0"/>
        </w:rPr>
        <w:t>La pregunta se formula en términos de viabilidad técnica y no de magnitud del ahorro. La reducción efectiva de la carga administrativa es el efecto que se espera de la automatización, pero medirla exige una línea de base previa y una medición posterior sobre operación real, que este trabajo no realiza y declara fuera de alcance (§1.7). La delimitación se retoma en §1.5, en el Capítulo 6 y en el Capítulo 7.</w:t>
      </w:r>
    </w:p>
    <w:p w:rsidR="00D60FC7" w:rsidRDefault="00000000">
      <w:pPr>
        <w:pStyle w:val="Ttulo2"/>
      </w:pPr>
      <w:bookmarkStart w:id="7" w:name="_Toc233808413"/>
      <w:r>
        <w:t>1.4 Justificación</w:t>
      </w:r>
      <w:bookmarkEnd w:id="7"/>
    </w:p>
    <w:p w:rsidR="00D60FC7" w:rsidRDefault="00000000">
      <w:proofErr w:type="spellStart"/>
      <w:proofErr w:type="spellEnd"/>
      <w:proofErr w:type="spellStart"/>
      <w:proofErr w:type="spellEnd"/>
      <w:proofErr w:type="spellStart"/>
      <w:proofErr w:type="spellEnd"/>
      <w:r>
        <w:rPr>
          <w:b w:val="0"/>
          <w:i w:val="0"/>
        </w:rPr>
        <w:t>La respuesta a esa pregunta tiene relevancia profesional y técnica. Desde lo profesional, un sistema que automatice la captación, la calificación y el seguimiento puede liberar tiempo del freelancer para las tareas que efectivamente generan ingresos, y cabe esperar que mejore la velocidad y la consistencia de la respuesta al cliente. Estas expectativas son plausibles pero no se verifican empíricamente en este trabajo: se enuncian como resultado esperado y no como hallazgo. Desde lo técnico, el trabajo permite integrar y poner en diálogo un conjunto de tecnologías actuales —orquestación de bajo código, bases de datos gestionadas con seguridad a nivel de fila, renderizado híbrido en el frontend y comunicación por webhooks— en una solución funcional y verificable, lo que constituye evidencia concreta de las competencias esperadas de un Técnico Universitario en Programación.</w:t>
      </w:r>
    </w:p>
    <w:p w:rsidR="00D60FC7" w:rsidRDefault="00000000">
      <w:r>
        <w:t>El posicionamiento de esta decisión frente a las soluciones existentes se desarrolla en el estado del arte (§2.7) y en la discusión de construir frente a configurar (§2.8).</w:t>
      </w:r>
    </w:p>
    <w:p w:rsidR="00D60FC7" w:rsidRDefault="00000000">
      <w:pPr>
        <w:pStyle w:val="Ttulo2"/>
      </w:pPr>
      <w:bookmarkStart w:id="8" w:name="_Toc233808414"/>
      <w:r>
        <w:t>1.5 Objetivo general</w:t>
      </w:r>
      <w:bookmarkEnd w:id="8"/>
    </w:p>
    <w:p w:rsidR="00D60FC7" w:rsidRDefault="00000000">
      <w:proofErr w:type="spellStart"/>
      <w:proofErr w:type="spellEnd"/>
      <w:proofErr w:type="spellStart"/>
      <w:proofErr w:type="spellEnd"/>
      <w:r>
        <w:rPr>
          <w:b w:val="0"/>
          <w:i w:val="0"/>
        </w:rPr>
        <w:t>Diseñar, implementar y validar funcionalmente una plataforma web que automatice el ciclo de vida completo de la gestión de clientes para freelancers —desde la captación del lead hasta el cobro y el cierre— mediante la orquestación de eventos con n8n y la persistencia en una base de datos relacional gestionada con Supabase, demostrando la viabilidad técnica de delegar en el sistema las tareas administrativas que hoy se ejecutan de forma manual.</w:t>
      </w:r>
    </w:p>
    <w:p>
      <w:pPr/>
      <w:r>
        <w:rPr>
          <w:b/>
          <w:i w:val="0"/>
        </w:rPr>
        <w:t>Delimitación del objetivo general.</w:t>
      </w:r>
      <w:r>
        <w:rPr>
          <w:b w:val="0"/>
          <w:i w:val="0"/>
        </w:rPr>
        <w:t xml:space="preserve"> Una formulación anterior de este objetivo incorporaba el resultado «reduciendo la carga administrativa manual». Se la reemplazó porque ningún objetivo específico operacionaliza esa variable y ningún escenario de validación la mide: el trabajo no define «carga administrativa» en términos medibles, no establece una línea de base previa y no toma una medición posterior. Mantener la promesa habría dejado al trabajo concluyendo sobre algo que su estrategia de validación no puede acreditar.</w:t>
      </w:r>
    </w:p>
    <w:p>
      <w:pPr/>
      <w:r>
        <w:rPr>
          <w:b w:val="0"/>
          <w:i w:val="0"/>
        </w:rPr>
        <w:t xml:space="preserve">Se propone, para el trabajo futuro que sí la mida, la siguiente definición operacional: </w:t>
      </w:r>
      <w:r>
        <w:rPr>
          <w:b w:val="0"/>
          <w:i/>
        </w:rPr>
        <w:t>carga administrativa</w:t>
      </w:r>
      <w:r>
        <w:rPr>
          <w:b w:val="0"/>
          <w:i w:val="0"/>
        </w:rPr>
        <w:t xml:space="preserve"> = número de acciones manuales del profesional por lead gestionado, contadas desde el ingreso del contacto hasta el registro del cobro, entendiendo por acción manual toda interacción del profesional con una herramienta (redactar un correo, copiar datos entre sistemas, generar un documento, actualizar una planilla). La comparación exigiría medir una muestra de leads gestionados manualmente y otra gestionada por el sistema. El Capítulo 8 recoge esta línea.</w:t>
      </w:r>
    </w:p>
    <w:p w:rsidR="00D60FC7" w:rsidRDefault="00000000">
      <w:pPr>
        <w:pStyle w:val="Ttulo2"/>
      </w:pPr>
      <w:bookmarkStart w:id="9" w:name="_Toc233808415"/>
      <w:r>
        <w:t>1.6 Objetivos específicos</w:t>
      </w:r>
      <w:bookmarkEnd w:id="9"/>
    </w:p>
    <w:p w:rsidR="00D60FC7" w:rsidRDefault="00000000">
      <w:r>
        <w:t>Para alcanzar el objetivo general se definen los siguientes objetivos específicos (OE), redactados en infinitivo y retomados de forma trazable en los capítulos de diseño, en la validación y en las conclusiones (véase la matriz de trazabilidad del Anexo E):</w:t>
      </w:r>
    </w:p>
    <w:p w:rsidR="00D60FC7" w:rsidRDefault="00000000">
      <w:pPr>
        <w:pStyle w:val="Prrafodelista"/>
        <w:numPr>
          <w:ilvl w:val="0"/>
          <w:numId w:val="1"/>
        </w:numPr>
      </w:pPr>
      <w:r>
        <w:rPr>
          <w:b/>
        </w:rPr>
        <w:t>OE1.</w:t>
      </w:r>
      <w:r>
        <w:t xml:space="preserve"> Implementar un formulario web público de captación de leads, con validación, integrado a un </w:t>
      </w:r>
      <w:proofErr w:type="spellStart"/>
      <w:r>
        <w:t>backend</w:t>
      </w:r>
      <w:proofErr w:type="spellEnd"/>
      <w:r>
        <w:t xml:space="preserve"> de automatización mediante </w:t>
      </w:r>
      <w:proofErr w:type="spellStart"/>
      <w:r>
        <w:t>webhooks</w:t>
      </w:r>
      <w:proofErr w:type="spellEnd"/>
      <w:r>
        <w:t>.</w:t>
      </w:r>
    </w:p>
    <w:p w:rsidR="00D60FC7" w:rsidRDefault="00000000">
      <w:pPr>
        <w:pStyle w:val="Prrafodelista"/>
        <w:numPr>
          <w:ilvl w:val="0"/>
          <w:numId w:val="1"/>
        </w:numPr>
      </w:pPr>
      <w:r>
        <w:rPr>
          <w:b/>
        </w:rPr>
        <w:t>OE2.</w:t>
      </w:r>
      <w:r>
        <w:t xml:space="preserve"> Diseñar e implementar un mecanismo de normalización y </w:t>
      </w:r>
      <w:proofErr w:type="spellStart"/>
      <w:r>
        <w:t>scoring</w:t>
      </w:r>
      <w:proofErr w:type="spellEnd"/>
      <w:r>
        <w:t xml:space="preserve"> automático que clasifique cada lead en niveles de prioridad (HOT, WARM y COLD).</w:t>
      </w:r>
    </w:p>
    <w:p w:rsidR="00D60FC7" w:rsidRDefault="00000000">
      <w:pPr>
        <w:pStyle w:val="Prrafodelista"/>
        <w:numPr>
          <w:ilvl w:val="0"/>
          <w:numId w:val="1"/>
        </w:numPr>
      </w:pPr>
      <w:r>
        <w:rPr>
          <w:b/>
        </w:rPr>
        <w:t>OE3.</w:t>
      </w:r>
      <w:r>
        <w:t xml:space="preserve"> Automatizar el ciclo comercial —generación y envío de propuestas, aceptación mediante enlace con token, facturación en PDF y registro del cobro— con notificaciones multicanal por correo electrónico y </w:t>
      </w:r>
      <w:proofErr w:type="spellStart"/>
      <w:r>
        <w:t>Telegram</w:t>
      </w:r>
      <w:proofErr w:type="spellEnd"/>
      <w:r>
        <w:t>.</w:t>
      </w:r>
    </w:p>
    <w:p w:rsidR="00D60FC7" w:rsidRDefault="00000000">
      <w:pPr>
        <w:pStyle w:val="Prrafodelista"/>
        <w:numPr>
          <w:ilvl w:val="0"/>
          <w:numId w:val="1"/>
        </w:numPr>
      </w:pPr>
      <w:r>
        <w:rPr>
          <w:b/>
        </w:rPr>
        <w:t>OE4.</w:t>
      </w:r>
      <w:r>
        <w:t xml:space="preserve"> Diseñar un modelo de datos relacional en </w:t>
      </w:r>
      <w:proofErr w:type="spellStart"/>
      <w:r>
        <w:t>Supabase</w:t>
      </w:r>
      <w:proofErr w:type="spellEnd"/>
      <w:r>
        <w:t xml:space="preserve"> con seguridad a nivel de fila (RLS) y exponer un tablero de control autenticado con métricas en tiempo real.</w:t>
      </w:r>
    </w:p>
    <w:p w:rsidR="00D60FC7" w:rsidRDefault="00000000">
      <w:pPr>
        <w:pStyle w:val="Prrafodelista"/>
        <w:numPr>
          <w:ilvl w:val="0"/>
          <w:numId w:val="1"/>
        </w:numPr>
      </w:pPr>
      <w:r>
        <w:rPr>
          <w:b/>
        </w:rPr>
        <w:t>OE5.</w:t>
      </w:r>
      <w:r>
        <w:t xml:space="preserve"> Incorporar procesos programados —seguimiento de propuestas, recordatorios de pago y reporte diario de métricas— que operen sin intervención manual.</w:t>
      </w:r>
    </w:p>
    <w:p w:rsidR="00D60FC7" w:rsidRDefault="00000000">
      <w:pPr>
        <w:pStyle w:val="Ttulo2"/>
      </w:pPr>
      <w:bookmarkStart w:id="10" w:name="_Toc233808416"/>
      <w:r>
        <w:t>1.7 Alcance y limitaciones</w:t>
      </w:r>
      <w:bookmarkEnd w:id="10"/>
    </w:p>
    <w:p w:rsidR="00D60FC7" w:rsidRDefault="00000000">
      <w:r>
        <w:t>El trabajo corresponde a un producto mínimo viable (MVP) orientado a demostrar la viabilidad técnica de la automatización propuesta. El alcance comprende el diseño, la implementación y la validación funcional de los flujos descritos en un entorno controlado.</w:t>
      </w:r>
    </w:p>
    <w:p w:rsidR="00D60FC7" w:rsidRDefault="00000000">
      <w:proofErr w:type="spellStart"/>
      <w:proofErr w:type="spellEnd"/>
      <w:proofErr w:type="spellStart"/>
      <w:proofErr w:type="spellEnd"/>
      <w:proofErr w:type="spellStart"/>
      <w:proofErr w:type="spellEnd"/>
      <w:proofErr w:type="spellStart"/>
      <w:proofErr w:type="spellEnd"/>
      <w:r>
        <w:rPr>
          <w:b w:val="0"/>
          <w:i w:val="0"/>
        </w:rPr>
        <w:t>Quedan fuera del alcance, y se declaran explícitamente como limitaciones, los siguientes puntos:</w:t>
      </w:r>
    </w:p>
    <w:p>
      <w:pPr>
        <w:pStyle w:val="Prrafodelista"/>
      </w:pPr>
      <w:r>
        <w:rPr>
          <w:b/>
          <w:i w:val="0"/>
        </w:rPr>
        <w:t>Operación en producción con tráfico real.</w:t>
      </w:r>
      <w:r>
        <w:rPr>
          <w:b w:val="0"/>
          <w:i w:val="0"/>
        </w:rPr>
        <w:t xml:space="preserve"> No se reportan métricas operativas reales de adopción, rendimiento ni conversión.</w:t>
      </w:r>
    </w:p>
    <w:p>
      <w:pPr>
        <w:pStyle w:val="Prrafodelista"/>
      </w:pPr>
      <w:r>
        <w:rPr>
          <w:b/>
          <w:i w:val="0"/>
        </w:rPr>
        <w:t>Costos de infraestructura.</w:t>
      </w:r>
      <w:r>
        <w:rPr>
          <w:b w:val="0"/>
          <w:i w:val="0"/>
        </w:rPr>
        <w:t xml:space="preserve"> No se midieron los costos de operación del sistema. La exclusión es relevante porque §2.7 y §2.8 invocan el costo como una de las razones para construir; el Capítulo 6 incorpora por ello una estimación de costo total de propiedad con supuestos declarados (Tabla 13), en lugar de dar el argumento por probado.</w:t>
      </w:r>
    </w:p>
    <w:p>
      <w:pPr>
        <w:pStyle w:val="Prrafodelista"/>
      </w:pPr>
      <w:r>
        <w:rPr>
          <w:b/>
          <w:i w:val="0"/>
        </w:rPr>
        <w:t>Magnitud de la reducción de la carga administrativa.</w:t>
      </w:r>
      <w:r>
        <w:rPr>
          <w:b w:val="0"/>
          <w:i w:val="0"/>
        </w:rPr>
        <w:t xml:space="preserve"> No se define operacionalmente ni se mide (§1.5). El trabajo acredita que los flujos funcionan, no cuánto trabajo ahorran.</w:t>
      </w:r>
    </w:p>
    <w:p>
      <w:pPr>
        <w:pStyle w:val="Prrafodelista"/>
      </w:pPr>
      <w:r>
        <w:rPr>
          <w:b/>
          <w:i w:val="0"/>
        </w:rPr>
        <w:t>Exposición pública del motor de automatización.</w:t>
      </w:r>
      <w:r>
        <w:rPr>
          <w:b w:val="0"/>
          <w:i w:val="0"/>
        </w:rPr>
        <w:t xml:space="preserve"> Durante el desarrollo, n8n se ejecutó de forma autoalojada en un equipo local, sin URL pública estable (véase el Capítulo 6).</w:t>
      </w:r>
    </w:p>
    <w:p>
      <w:pPr>
        <w:pStyle w:val="Prrafodelista"/>
      </w:pPr>
      <w:r>
        <w:rPr>
          <w:b/>
          <w:i w:val="0"/>
        </w:rPr>
        <w:t>Pasarela de pago real.</w:t>
      </w:r>
      <w:r>
        <w:rPr>
          <w:b w:val="0"/>
          <w:i w:val="0"/>
        </w:rPr>
        <w:t xml:space="preserve"> La integración con MercadoPago (§4.3.3) no se validó con una operación en producción: las pruebas se ejecutaron con credenciales de prueba, y cuando no hay credenciales reales configuradas el sistema cae a un modo de desarrollo que confirma el cobro sin depender del proveedor.</w:t>
      </w:r>
    </w:p>
    <w:p>
      <w:pPr>
        <w:pStyle w:val="Prrafodelista"/>
      </w:pPr>
      <w:r>
        <w:rPr>
          <w:b/>
          <w:i w:val="0"/>
        </w:rPr>
        <w:t>Validez fiscal de los comprobantes.</w:t>
      </w:r>
      <w:r>
        <w:rPr>
          <w:b w:val="0"/>
          <w:i w:val="0"/>
        </w:rPr>
        <w:t xml:space="preserve"> El documento que el sistema genera y titula «FACTURA» es un </w:t>
      </w:r>
      <w:r>
        <w:rPr>
          <w:b w:val="0"/>
          <w:i/>
        </w:rPr>
        <w:t>comprobante interno sin valor fiscal</w:t>
      </w:r>
      <w:r>
        <w:rPr>
          <w:b w:val="0"/>
          <w:i w:val="0"/>
        </w:rPr>
        <w:t>: no contempla los requisitos del régimen de facturación electrónica argentino —CUIT del emisor, condición frente al IVA, tipo de comprobante ni código de autorización electrónica—. Su incorporación se plantea como trabajo futuro (Capítulo 8).</w:t>
      </w:r>
    </w:p>
    <w:p>
      <w:pPr>
        <w:pStyle w:val="Prrafodelista"/>
      </w:pPr>
      <w:r>
        <w:rPr>
          <w:b/>
          <w:i w:val="0"/>
        </w:rPr>
        <w:t>Tratamiento de datos personales.</w:t>
      </w:r>
      <w:r>
        <w:rPr>
          <w:b w:val="0"/>
          <w:i w:val="0"/>
        </w:rPr>
        <w:t xml:space="preserve"> El sistema capta, almacena y transfiere a terceros (Supabase, Gmail, Telegram y Notion) datos de contacto de personas físicas identificables. No se implementan aviso de privacidad, consentimiento informado, política de retención ni registro de la base conforme a la Ley 25.326 de Protección de Datos Personales. La dimensión se discute en el Capítulo 6 y se difiere al Capítulo 8.</w:t>
      </w:r>
    </w:p>
    <w:p>
      <w:pPr>
        <w:pStyle w:val="Prrafodelista"/>
      </w:pPr>
      <w:r>
        <w:rPr>
          <w:b/>
          <w:i w:val="0"/>
        </w:rPr>
        <w:t>Autenticación de origen de los webhooks. Siete de los doce webhooks no verifican la identidad de quien los invoca; los cuatro invocados desde el tablero interno ya exigen autenticación, y el de MercadoPago valida el pago contra su API aunque no siempre valide la firma de la notificación. La deuda remanente se declara y se analiza en §4.6 y en el Capítulo 6.</w:t>
      </w:r>
      <w:r>
        <w:rPr>
          <w:b w:val="0"/>
          <w:i w:val="0"/>
        </w:rPr>
      </w:r>
    </w:p>
    <w:p>
      <w:pPr/>
      <w:r>
        <w:rPr>
          <w:b w:val="0"/>
          <w:i w:val="0"/>
        </w:rPr>
        <w:t>Estas limitaciones se retoman en la discusión (Capítulo 6) y orientan los trabajos futuros (Capítulo 8).</w:t>
      </w:r>
    </w:p>
    <w:p w:rsidR="00D60FC7" w:rsidRDefault="00000000">
      <w:r>
        <w:br w:type="page"/>
      </w:r>
    </w:p>
    <w:p w:rsidR="00D60FC7" w:rsidRDefault="00000000">
      <w:pPr>
        <w:pStyle w:val="Ttulo1"/>
      </w:pPr>
      <w:bookmarkStart w:id="11" w:name="_Toc233808417"/>
      <w:r>
        <w:t>Capítulo 2: Marco Teórico</w:t>
      </w:r>
      <w:bookmarkEnd w:id="11"/>
    </w:p>
    <w:p w:rsidR="00D60FC7" w:rsidRDefault="00000000">
      <w:r>
        <w:t>Este capítulo presenta los fundamentos conceptuales y tecnológicos sobre los que se apoya la solución, y define de manera operativa los términos clave que se emplean en el resto del documento.</w:t>
      </w:r>
    </w:p>
    <w:p w:rsidR="00D60FC7" w:rsidRDefault="00000000">
      <w:pPr>
        <w:pStyle w:val="Ttulo2"/>
      </w:pPr>
      <w:bookmarkStart w:id="12" w:name="_Toc233808418"/>
      <w:r>
        <w:t>2.1 Automatización de procesos y arquitecturas orientadas a eventos</w:t>
      </w:r>
      <w:bookmarkEnd w:id="12"/>
    </w:p>
    <w:p w:rsidR="00D60FC7" w:rsidRDefault="00000000">
      <w:r>
        <w:t>La automatización de procesos consiste en delegar en un sistema la ejecución de tareas que, de otro modo, realizaría una persona de forma manual y repetitiva. Cuando esas tareas involucran múltiples sistemas —una base de datos, un servicio de correo, una API externa— el enfoque más adecuado es una arquitectura orientada a eventos, en la que un suceso (por ejemplo, la llegada de un nuevo lead) dispara una cadena de acciones coordinadas, secuenciales o condicionales (Hohpe y Woolf, 2003; Richardson, 2018). Este estilo desacopla al emisor del evento de sus consumidores y facilita incorporar nuevos pasos sin modificar los existentes.</w:t>
      </w:r>
      <w:proofErr w:type="spellStart"/>
      <w:r/>
      <w:proofErr w:type="spellEnd"/>
      <w:r/>
    </w:p>
    <w:p w:rsidR="00D60FC7" w:rsidRDefault="00000000">
      <w:proofErr w:type="spellStart"/>
      <w:proofErr w:type="spellEnd"/>
      <w:proofErr w:type="spellStart"/>
      <w:proofErr w:type="spellEnd"/>
      <w:r>
        <w:rPr>
          <w:b w:val="0"/>
          <w:i w:val="0"/>
        </w:rPr>
        <w:t>Un webhook es el mecanismo habitual para propagar estos eventos entre sistemas a través de la web: una URL que permanece a la escucha y recibe, típicamente mediante una petición HTTP POST, los datos de un suceso ocurrido en otro sistema. El mecanismo se apoya en el estilo arquitectónico REST sobre HTTP que Fielding (2000) formalizó. El término «webhook», en cambio, no procede de una fuente académica: es una convención consolidada en la práctica de la industria de integraciones. Se lo emplea aquí con el sentido operativo recién definido, sin atribuirle un origen concreto. En la solución, los webhooks son el punto de entrada de cada flujo de negocio.</w:t>
      </w:r>
    </w:p>
    <w:p w:rsidR="00D60FC7" w:rsidRDefault="00000000">
      <w:pPr>
        <w:pStyle w:val="Ttulo2"/>
      </w:pPr>
      <w:bookmarkStart w:id="13" w:name="_Toc233808419"/>
      <w:r>
        <w:t>2.2 Orquestación de bajo código: n8n</w:t>
      </w:r>
      <w:bookmarkEnd w:id="13"/>
    </w:p>
    <w:p w:rsidR="00D60FC7" w:rsidRDefault="00000000">
      <w:r>
        <w:t>n8n es una plataforma de automatización de flujos de trabajo que permite integrar aplicaciones y servicios mediante nodos configurables conectados en un lienzo visual (n8n.io, 2024). Su código está disponible públicamente bajo la Sustainable Use License —un modelo de licenciamiento «fair-code» que restringe el uso comercial competitivo y la redistribución paga—, por lo que no constituye código abierto en el sentido estricto que reconoce la Open Source Initiative. Cada nodo encapsula una operación —recibir un webhook, ejecutar código JavaScript, consultar una base de datos, enviar un correo— y las conexiones entre nodos definen el orden y las condiciones de ejecución. Su carácter de bajo código no elimina la programación, sino que la concentra en los puntos donde aporta valor (por ejemplo, la lógica de normalización o de scoring), delegando en nodos preconstruidos la integración con servicios externos. La literatura académica reciente sobre desarrollo de bajo código confirma este carácter híbrido: una revisión sistemática multi-vocal caracteriza el low-code development como una categoría que reduce, pero no elimina, la necesidad de programación, y señala la ausencia de consenso terminológico en el campo (Bucaioni, Cicchetti y Ciccozzi, 2022).</w:t>
      </w:r>
      <w:proofErr w:type="spellStart"/>
      <w:r/>
      <w:proofErr w:type="spellEnd"/>
      <w:r/>
      <w:proofErr w:type="spellStart"/>
      <w:r/>
      <w:proofErr w:type="spellEnd"/>
      <w:r/>
    </w:p>
    <w:p w:rsidR="00D60FC7" w:rsidRDefault="00000000">
      <w:r>
        <w:t xml:space="preserve">Dentro de la arquitectura del sistema, n8n cumple el rol de motor de orquestación: es la capa que conecta el </w:t>
      </w:r>
      <w:proofErr w:type="spellStart"/>
      <w:r>
        <w:t>frontend</w:t>
      </w:r>
      <w:proofErr w:type="spellEnd"/>
      <w:r>
        <w:t>, la base de datos y los servicios de mensajería, coordinando la secuencia de acciones sin trasladar la complejidad de integración al resto de los componentes.</w:t>
      </w:r>
    </w:p>
    <w:p w:rsidR="00D60FC7" w:rsidRDefault="00000000">
      <w:pPr>
        <w:pStyle w:val="Ttulo2"/>
      </w:pPr>
      <w:bookmarkStart w:id="14" w:name="_Toc233808420"/>
      <w:r>
        <w:t xml:space="preserve">2.3 Gestión de leads: normalización, </w:t>
      </w:r>
      <w:proofErr w:type="spellStart"/>
      <w:r>
        <w:t>scoring</w:t>
      </w:r>
      <w:proofErr w:type="spellEnd"/>
      <w:r>
        <w:t xml:space="preserve"> y clasificación</w:t>
      </w:r>
      <w:bookmarkEnd w:id="14"/>
    </w:p>
    <w:p w:rsidR="00D60FC7" w:rsidRDefault="00000000">
      <w:r>
        <w:t xml:space="preserve">Un </w:t>
      </w:r>
      <w:r>
        <w:rPr>
          <w:b/>
        </w:rPr>
        <w:t>lead</w:t>
      </w:r>
      <w:r>
        <w:t xml:space="preserve"> es un contacto comercial que ha manifestado interés en un producto o servicio (Kotler y Armstrong, 2017). La gestión de leads busca convertir ese interés en una operación concreta, y para ello ordena el recorrido del contacto a lo largo de un </w:t>
      </w:r>
      <w:r>
        <w:rPr>
          <w:b/>
        </w:rPr>
        <w:t>embudo de ventas</w:t>
      </w:r>
      <w:r>
        <w:t>: un conjunto de estados sucesivos, desde el primer contacto hasta el cierre.</w:t>
      </w:r>
    </w:p>
    <w:p w:rsidR="00D60FC7" w:rsidRDefault="00000000">
      <w:proofErr w:type="spellStart"/>
      <w:proofErr w:type="spellEnd"/>
      <w:proofErr w:type="spellStart"/>
      <w:proofErr w:type="spellEnd"/>
      <w:proofErr w:type="spellStart"/>
      <w:proofErr w:type="spellEnd"/>
      <w:proofErr w:type="spellStart"/>
      <w:proofErr w:type="spellEnd"/>
      <w:r>
        <w:rPr>
          <w:b w:val="0"/>
          <w:i w:val="0"/>
        </w:rPr>
        <w:t>Dos procesos son centrales en esa gestión. La normalización limpia y estandariza los datos de entrada —recortar espacios, unificar mayúsculas y minúsculas, validar formatos, aplicar valores por defecto— para garantizar la calidad y la consistencia de la información. El scoring asigna a cada lead un puntaje numérico según criterios ponderados (por ejemplo, presupuesto, urgencia o tipo de servicio) que permite priorizar las oportunidades más prometedoras y clasificarlas en niveles. La literatura arbitrada respalda la calificación automática de leads como práctica establecida de automatización comercial (Järvinen y Taiminen, 2016; Mero et al., 2020). Una revisión más reciente del estado del arte de los modelos de lead scoring confirma que la ponderación de atributos mediante reglas explícitas —el enfoque adoptado en la Tabla 5— sigue siendo el método predominante en la práctica comercial, frente a alternativas basadas en aprendizaje automático que exigen volúmenes históricos de los que este trabajo no dispone (Wu, Andreev y Benyoucef, 2023). La nomenclatura concreta HOT, WARM y COLD, en cambio, es vocabulario de práctica comercial de uso extendido y no una taxonomía propuesta por esos autores: se la adopta en este trabajo como convención, con los umbrales definidos en la Tabla 5. En todo el documento «nivel» y «tier» se emplean como sinónimos; se prefiere «nivel» en el cuerpo del texto y «tier» solo cuando se designa la columna homónima de la base de datos.</w:t>
      </w:r>
    </w:p>
    <w:p w:rsidR="00D60FC7" w:rsidRDefault="00000000">
      <w:pPr>
        <w:pStyle w:val="Ttulo2"/>
      </w:pPr>
      <w:bookmarkStart w:id="15" w:name="_Toc233808421"/>
      <w:r>
        <w:t xml:space="preserve">2.4 </w:t>
      </w:r>
      <w:proofErr w:type="spellStart"/>
      <w:r>
        <w:t>Backend</w:t>
      </w:r>
      <w:proofErr w:type="spellEnd"/>
      <w:r>
        <w:t xml:space="preserve"> como servicio y </w:t>
      </w:r>
      <w:proofErr w:type="spellStart"/>
      <w:r>
        <w:t>Supabase</w:t>
      </w:r>
      <w:bookmarkEnd w:id="15"/>
      <w:proofErr w:type="spellEnd"/>
    </w:p>
    <w:p w:rsidR="00D60FC7" w:rsidRDefault="00000000">
      <w:r>
        <w:t xml:space="preserve">El patrón </w:t>
      </w:r>
      <w:proofErr w:type="spellStart"/>
      <w:r>
        <w:rPr>
          <w:i/>
        </w:rPr>
        <w:t>Backend</w:t>
      </w:r>
      <w:proofErr w:type="spellEnd"/>
      <w:r>
        <w:rPr>
          <w:i/>
        </w:rPr>
        <w:t xml:space="preserve"> as a </w:t>
      </w:r>
      <w:proofErr w:type="spellStart"/>
      <w:r>
        <w:rPr>
          <w:i/>
        </w:rPr>
        <w:t>Service</w:t>
      </w:r>
      <w:proofErr w:type="spellEnd"/>
      <w:r>
        <w:t xml:space="preserve"> (</w:t>
      </w:r>
      <w:proofErr w:type="spellStart"/>
      <w:r>
        <w:t>BaaS</w:t>
      </w:r>
      <w:proofErr w:type="spellEnd"/>
      <w:r>
        <w:t xml:space="preserve">) provee, como servicio gestionado, capacidades de </w:t>
      </w:r>
      <w:proofErr w:type="spellStart"/>
      <w:r>
        <w:t>backend</w:t>
      </w:r>
      <w:proofErr w:type="spellEnd"/>
      <w:r>
        <w:t xml:space="preserve"> —base de datos, autenticación, almacenamiento y </w:t>
      </w:r>
      <w:proofErr w:type="spellStart"/>
      <w:r>
        <w:t>APIs</w:t>
      </w:r>
      <w:proofErr w:type="spellEnd"/>
      <w:r>
        <w:t xml:space="preserve">— que de otro modo el equipo debería implementar y operar. </w:t>
      </w:r>
      <w:proofErr w:type="spellStart"/>
      <w:r>
        <w:t>Supabase</w:t>
      </w:r>
      <w:proofErr w:type="spellEnd"/>
      <w:r>
        <w:t xml:space="preserve"> es una plataforma </w:t>
      </w:r>
      <w:proofErr w:type="spellStart"/>
      <w:r>
        <w:t>BaaS</w:t>
      </w:r>
      <w:proofErr w:type="spellEnd"/>
      <w:r>
        <w:t xml:space="preserve"> de código abierto construida sobre PostgreSQL, que expone la base de datos relacional junto con autenticación, </w:t>
      </w:r>
      <w:proofErr w:type="spellStart"/>
      <w:r>
        <w:t>APIs</w:t>
      </w:r>
      <w:proofErr w:type="spellEnd"/>
      <w:r>
        <w:t xml:space="preserve"> automáticas y suscripciones en tiempo real (</w:t>
      </w:r>
      <w:proofErr w:type="spellStart"/>
      <w:r>
        <w:t>Supabase</w:t>
      </w:r>
      <w:proofErr w:type="spellEnd"/>
      <w:r>
        <w:t xml:space="preserve">, 2024). Al apoyarse en PostgreSQL, hereda su modelo relacional, su lenguaje SQL y, en particular, la </w:t>
      </w:r>
      <w:r>
        <w:rPr>
          <w:b/>
        </w:rPr>
        <w:t>seguridad a nivel de fila</w:t>
      </w:r>
      <w:r>
        <w:t xml:space="preserve"> (</w:t>
      </w:r>
      <w:proofErr w:type="spellStart"/>
      <w:r>
        <w:rPr>
          <w:i/>
        </w:rPr>
        <w:t>Row</w:t>
      </w:r>
      <w:proofErr w:type="spellEnd"/>
      <w:r>
        <w:rPr>
          <w:i/>
        </w:rPr>
        <w:t xml:space="preserve"> </w:t>
      </w:r>
      <w:proofErr w:type="spellStart"/>
      <w:r>
        <w:rPr>
          <w:i/>
        </w:rPr>
        <w:t>Level</w:t>
      </w:r>
      <w:proofErr w:type="spellEnd"/>
      <w:r>
        <w:rPr>
          <w:i/>
        </w:rPr>
        <w:t xml:space="preserve"> Security</w:t>
      </w:r>
      <w:r>
        <w:t xml:space="preserve">, RLS), que permite definir, mediante políticas declarativas, qué filas puede leer o modificar cada rol (PostgreSQL Global </w:t>
      </w:r>
      <w:proofErr w:type="spellStart"/>
      <w:r>
        <w:t>Development</w:t>
      </w:r>
      <w:proofErr w:type="spellEnd"/>
      <w:r>
        <w:t xml:space="preserve"> </w:t>
      </w:r>
      <w:proofErr w:type="spellStart"/>
      <w:r>
        <w:t>Group</w:t>
      </w:r>
      <w:proofErr w:type="spellEnd"/>
      <w:r>
        <w:t>, 2024).</w:t>
      </w:r>
    </w:p>
    <w:p w:rsidR="00D60FC7" w:rsidRDefault="00000000">
      <w:pPr>
        <w:pStyle w:val="Ttulo2"/>
      </w:pPr>
      <w:bookmarkStart w:id="16" w:name="_Toc233808422"/>
      <w:r>
        <w:t>2.5 Desarrollo web moderno: Next.js y renderizado híbrido</w:t>
      </w:r>
      <w:bookmarkEnd w:id="16"/>
    </w:p>
    <w:p w:rsidR="00D60FC7" w:rsidRDefault="00000000">
      <w:r>
        <w:t xml:space="preserve">Next.js es un </w:t>
      </w:r>
      <w:proofErr w:type="spellStart"/>
      <w:r>
        <w:t>framework</w:t>
      </w:r>
      <w:proofErr w:type="spellEnd"/>
      <w:r>
        <w:t xml:space="preserve"> de desarrollo web construido sobre la biblioteca </w:t>
      </w:r>
      <w:proofErr w:type="spellStart"/>
      <w:r>
        <w:t>React</w:t>
      </w:r>
      <w:proofErr w:type="spellEnd"/>
      <w:r>
        <w:t xml:space="preserve"> que habilita un modelo de renderizado híbrido: combina componentes que se ejecutan en el servidor (</w:t>
      </w:r>
      <w:proofErr w:type="spellStart"/>
      <w:r>
        <w:rPr>
          <w:i/>
        </w:rPr>
        <w:t>React</w:t>
      </w:r>
      <w:proofErr w:type="spellEnd"/>
      <w:r>
        <w:rPr>
          <w:i/>
        </w:rPr>
        <w:t xml:space="preserve"> Server </w:t>
      </w:r>
      <w:proofErr w:type="spellStart"/>
      <w:r>
        <w:rPr>
          <w:i/>
        </w:rPr>
        <w:t>Components</w:t>
      </w:r>
      <w:proofErr w:type="spellEnd"/>
      <w:r>
        <w:t>) con componentes de cliente, y organiza la aplicación mediante un enrutador basado en el sistema de archivos (</w:t>
      </w:r>
      <w:r>
        <w:rPr>
          <w:i/>
        </w:rPr>
        <w:t xml:space="preserve">App </w:t>
      </w:r>
      <w:proofErr w:type="spellStart"/>
      <w:r>
        <w:rPr>
          <w:i/>
        </w:rPr>
        <w:t>Router</w:t>
      </w:r>
      <w:proofErr w:type="spellEnd"/>
      <w:r>
        <w:t>) (</w:t>
      </w:r>
      <w:proofErr w:type="spellStart"/>
      <w:r>
        <w:t>Vercel</w:t>
      </w:r>
      <w:proofErr w:type="spellEnd"/>
      <w:r>
        <w:t xml:space="preserve">, 2024). Este modelo permite ejecutar en el servidor las verificaciones sensibles —como la validación de la sesión antes de renderizar una página protegida— y reservar para el cliente la </w:t>
      </w:r>
      <w:r>
        <w:t>interactividad, lo que resulta pertinente para una aplicación que combina un formulario público con un tablero de control autenticado.</w:t>
      </w:r>
    </w:p>
    <w:p w:rsidR="00D60FC7" w:rsidRDefault="00000000">
      <w:pPr>
        <w:pStyle w:val="Ttulo2"/>
      </w:pPr>
      <w:bookmarkStart w:id="17" w:name="_Toc233808423"/>
      <w:r>
        <w:t>2.6 Seguridad: autenticación, RLS y tokens de un solo uso</w:t>
      </w:r>
      <w:bookmarkEnd w:id="17"/>
    </w:p>
    <w:p w:rsidR="00D60FC7" w:rsidRDefault="00000000">
      <w:r>
        <w:rPr>
          <w:b w:val="0"/>
          <w:i w:val="0"/>
        </w:rPr>
        <w:t>La solución articula tres mecanismos de seguridad complementarios. La autenticación por correo y contraseña restringe el acceso al tablero de control a usuarios registrados. La seguridad a nivel de fila garantiza que, aun con acceso a la API de datos, solo se puedan leer las filas autorizadas para el rol. Y los tokens de un solo uso protegen acciones públicas que no requieren cuenta —como la aceptación de una propuesta— asegurando que solo quien recibe el enlace pueda ejecutarla y que este no pueda reutilizarse. Este enfoque de defensa en profundidad es coherente con las buenas prácticas de seguridad en aplicaciones web (OWASP Foundation, 2025).</w:t>
      </w:r>
    </w:p>
    <w:p w:rsidR="00D60FC7" w:rsidRDefault="00000000">
      <w:pPr>
        <w:pStyle w:val="Ttulo2"/>
      </w:pPr>
      <w:bookmarkStart w:id="18" w:name="_Toc233808424"/>
      <w:r>
        <w:t>2.7 Antecedentes y estado del arte</w:t>
      </w:r>
      <w:bookmarkEnd w:id="18"/>
    </w:p>
    <w:p w:rsidR="00D60FC7" w:rsidRDefault="00000000">
      <w:r>
        <w:t>Antes de justificar la decisión de construir una solución propia, corresponde situarla frente a las herramientas que ya atienden, parcial o totalmente, el mismo problema: la automatización de la relación comercial con clientes. La literatura reconoce que automatizar el marketing y las ventas es una práctica ya establecida en el ámbito B2B (Järvinen y Taiminen, 2016) y que su adopción organizacional ha sido objeto de estudio empírico reciente (Mero et al., 2020), lo que motiva revisar dos categorías de soluciones comerciales: los CRM con funciones de automatización y las plataformas de integración de bajo código (iPaaS). Un freelancer que centraliza captación, calificación y facturación es, en este sentido, un caso límite de pequeña y mediana empresa; una metodología reciente para la automatización de procesos de negocio en PyMEs, desde el relevamiento de requisitos hasta la demostración práctica, confirma la pertinencia de abordar este ciclo comercial como un problema de automatización de procesos y no solo de calificación de leads aislada (Moreira, Mamede y Santos, 2025).</w:t>
      </w:r>
      <w:proofErr w:type="spellStart"/>
      <w:r/>
      <w:proofErr w:type="spellEnd"/>
      <w:r/>
      <w:proofErr w:type="spellStart"/>
      <w:r/>
      <w:proofErr w:type="spellEnd"/>
      <w:r/>
      <w:proofErr w:type="spellStart"/>
      <w:r/>
      <w:proofErr w:type="spellEnd"/>
      <w:r/>
    </w:p>
    <w:p w:rsidR="00D60FC7" w:rsidRDefault="00000000">
      <w:pPr>
        <w:pStyle w:val="Prrafodelista"/>
        <w:numPr>
          <w:ilvl w:val="0"/>
          <w:numId w:val="1"/>
        </w:numPr>
      </w:pPr>
      <w:r>
        <w:rPr>
          <w:b/>
        </w:rPr>
        <w:t xml:space="preserve">HubSpot: </w:t>
      </w:r>
      <w:r>
        <w:t xml:space="preserve">CRM todo en uno que combina pipeline de ventas, marketing por correo y una capa de automatización con </w:t>
      </w:r>
      <w:proofErr w:type="spellStart"/>
      <w:r>
        <w:t>scoring</w:t>
      </w:r>
      <w:proofErr w:type="spellEnd"/>
      <w:r>
        <w:t xml:space="preserve"> de leads configurable. Su plan gratuito cubre el registro básico de contactos, pero el </w:t>
      </w:r>
      <w:proofErr w:type="spellStart"/>
      <w:r>
        <w:t>scoring</w:t>
      </w:r>
      <w:proofErr w:type="spellEnd"/>
      <w:r>
        <w:t xml:space="preserve"> predictivo, los flujos de automatización avanzados y las integraciones profundas se habilitan en niveles de suscripción pagos por asiento. Los datos quedan alojados en la infraestructura del proveedor y la generación de documentos como facturas o propuestas requiere integraciones de terceros (HubSpot, 2024).</w:t>
      </w:r>
    </w:p>
    <w:p w:rsidR="00D60FC7" w:rsidRDefault="00000000">
      <w:pPr>
        <w:pStyle w:val="Prrafodelista"/>
        <w:numPr>
          <w:ilvl w:val="0"/>
          <w:numId w:val="1"/>
        </w:numPr>
      </w:pPr>
      <w:proofErr w:type="spellStart"/>
      <w:r>
        <w:rPr>
          <w:b/>
        </w:rPr>
        <w:t>Pipedrive</w:t>
      </w:r>
      <w:proofErr w:type="spellEnd"/>
      <w:r>
        <w:rPr>
          <w:b/>
        </w:rPr>
        <w:t xml:space="preserve">: </w:t>
      </w:r>
      <w:r>
        <w:t xml:space="preserve">CRM centrado en la gestión visual del pipeline de ventas, con formularios web de captación y reportes de embudo. Al igual que HubSpot, su modelo comercial cobra por asiento y por mes; carece de un motor de </w:t>
      </w:r>
      <w:proofErr w:type="spellStart"/>
      <w:r>
        <w:t>scoring</w:t>
      </w:r>
      <w:proofErr w:type="spellEnd"/>
      <w:r>
        <w:t xml:space="preserve"> configurable a nivel de reglas propias y no incluye generación nativa de facturación, por lo que requiere integraciones externas para cerrar el ciclo comercial completo (Pipedrive, 2024).</w:t>
      </w:r>
    </w:p>
    <w:p w:rsidR="00D60FC7" w:rsidRDefault="00000000">
      <w:pPr>
        <w:pStyle w:val="Prrafodelista"/>
        <w:numPr>
          <w:ilvl w:val="0"/>
          <w:numId w:val="1"/>
        </w:numPr>
      </w:pPr>
      <w:proofErr w:type="spellStart"/>
      <w:r>
        <w:rPr>
          <w:b/>
        </w:rPr>
        <w:t>Zapier</w:t>
      </w:r>
      <w:proofErr w:type="spellEnd"/>
      <w:r>
        <w:rPr>
          <w:b/>
        </w:rPr>
        <w:t xml:space="preserve">: </w:t>
      </w:r>
      <w:r>
        <w:t>plataforma de integración (</w:t>
      </w:r>
      <w:proofErr w:type="spellStart"/>
      <w:r>
        <w:t>iPaaS</w:t>
      </w:r>
      <w:proofErr w:type="spellEnd"/>
      <w:r>
        <w:t>) que conecta aplicaciones SaaS mediante disparadores y acciones sin código. No constituye un sistema de registro propio: opera sobre los datos que ya residen en otras plataformas y cobra en función de la cantidad de tareas ejecutadas por mes, un modelo cuyo costo escala con el volumen de leads procesados (Zapier, 2024).</w:t>
      </w:r>
    </w:p>
    <w:p w:rsidR="00D60FC7" w:rsidRDefault="00000000">
      <w:pPr>
        <w:pStyle w:val="Prrafodelista"/>
        <w:numPr>
          <w:ilvl w:val="0"/>
          <w:numId w:val="1"/>
        </w:numPr>
      </w:pPr>
      <w:proofErr w:type="spellStart"/>
      <w:r>
        <w:rPr>
          <w:b/>
        </w:rPr>
        <w:t>Make</w:t>
      </w:r>
      <w:proofErr w:type="spellEnd"/>
      <w:r>
        <w:rPr>
          <w:b/>
        </w:rPr>
        <w:t xml:space="preserve"> (anteriormente </w:t>
      </w:r>
      <w:proofErr w:type="spellStart"/>
      <w:r>
        <w:rPr>
          <w:b/>
        </w:rPr>
        <w:t>Integromat</w:t>
      </w:r>
      <w:proofErr w:type="spellEnd"/>
      <w:r>
        <w:rPr>
          <w:b/>
        </w:rPr>
        <w:t xml:space="preserve">): </w:t>
      </w:r>
      <w:r>
        <w:t xml:space="preserve">junto con n8n, una de las plataformas de automatización visual por escenarios más cercanas en filosofía al presente trabajo. A diferencia de n8n, </w:t>
      </w:r>
      <w:proofErr w:type="spellStart"/>
      <w:r>
        <w:t>Make</w:t>
      </w:r>
      <w:proofErr w:type="spellEnd"/>
      <w:r>
        <w:t xml:space="preserve"> se ofrece exclusivamente como servicio en la nube, con planes tarifados por operaciones ejecutadas; los datos del proceso transitan por la infraestructura del proveedor y no existe una alternativa de </w:t>
      </w:r>
      <w:proofErr w:type="spellStart"/>
      <w:r>
        <w:t>autoalojamiento</w:t>
      </w:r>
      <w:proofErr w:type="spellEnd"/>
      <w:r>
        <w:t xml:space="preserve"> equivalente a la que permite este trabajo (Make, 2024).</w:t>
      </w:r>
    </w:p>
    <w:p w:rsidR="00D60FC7" w:rsidRDefault="00000000">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b w:val="0"/>
          <w:i w:val="0"/>
        </w:rPr>
        <w:t>Ninguna de estas soluciones cubre, en un único producto, el problema tal como se lo plantea en este trabajo. HubSpot y Pipedrive ofrecen un CRM robusto, pero con reglas de calificación y de facturación limitadas o dependientes de terceros. Zapier y Make automatizan la integración entre sistemas, pero no son, en sí mismos, un sistema de registro con reglas de negocio propias. El hueco que este trabajo cubre es un pipeline propio y extremo a extremo que encadena captación, normalización y scoring con reglas específicas (Tabla 5), generación y envío de la propuesta, aceptación mediante token de un solo uso, facturación en PDF, registro del pago y cierre.</w:t>
      </w:r>
    </w:p>
    <w:p>
      <w:pPr/>
      <w:r>
        <w:rPr>
          <w:b w:val="0"/>
          <w:i w:val="0"/>
        </w:rPr>
        <w:t>Corresponden tres precisiones sobre el alcance de esta comparación, que el trabajo asume de forma explícita para no sobreestimar su propio aporte:</w:t>
      </w:r>
    </w:p>
    <w:p>
      <w:pPr>
        <w:pStyle w:val="Prrafodelista"/>
      </w:pPr>
      <w:r>
        <w:rPr>
          <w:b/>
          <w:i w:val="0"/>
        </w:rPr>
        <w:t>El vacío identificado es de oferta comercial, no solo de conocimiento: los apartados anteriores incorporan literatura arbitrada sobre orquestación de bajo código (Bucaioni et al., 2022), automatización de procesos en PyMEs (Moreira et al., 2025) y modelos de calificación de leads (Wu et al., 2023), pero esa literatura no trata específicamente la adopción de plataformas iPaaS —una búsqueda dirigida a ese tema no encontró resultados arbitrados sólidos posteriores a 2020, laguna que se reconoce en vez de forzar una cita débil—, ni se hallaron trabajos finales previos de la propia carrera sobre un problema análogo tras consultar el Repositorio Institucional Abierto de la UTN. Este apartado sigue siendo, por tanto, un análisis competitivo de cuatro productos comerciales y no un estado del arte exhaustivo, pero ya no carece por completo de respaldo académico.</w:t>
      </w:r>
      <w:r>
        <w:rPr>
          <w:b w:val="0"/>
          <w:i w:val="0"/>
        </w:rPr>
      </w:r>
    </w:p>
    <w:p>
      <w:pPr>
        <w:pStyle w:val="Prrafodelista"/>
      </w:pPr>
      <w:r>
        <w:rPr>
          <w:b/>
          <w:i w:val="0"/>
        </w:rPr>
        <w:t>Las fuentes de la comparación son las de los propios evaluados.</w:t>
      </w:r>
      <w:r>
        <w:rPr>
          <w:b w:val="0"/>
          <w:i w:val="0"/>
        </w:rPr>
        <w:t xml:space="preserve"> Las cuatro herramientas se caracterizan a partir de su documentación y de sus páginas de precios. No se incorporaron análisis independientes ni estudios de adopción, de modo que la comparación describe lo que cada proveedor declara y no lo que un tercero verificó.</w:t>
      </w:r>
    </w:p>
    <w:p>
      <w:pPr>
        <w:pStyle w:val="Prrafodelista"/>
      </w:pPr>
      <w:r>
        <w:rPr>
          <w:b/>
          <w:i w:val="0"/>
        </w:rPr>
        <w:t>El bajo costo operativo no se demuestra en este apartado.</w:t>
      </w:r>
      <w:r>
        <w:rPr>
          <w:b w:val="0"/>
          <w:i w:val="0"/>
        </w:rPr>
        <w:t xml:space="preserve"> §1.7 excluye los costos de infraestructura del alcance. Para no dejar el argumento sin cierre, el Capítulo 6 incorpora una estimación de costo total de propiedad a doce meses con supuestos declarados (Tabla 13) y una comparación funcional frente a las cuatro alternativas (Tabla 14).</w:t>
      </w:r>
    </w:p>
    <w:p w:rsidR="00D60FC7" w:rsidRDefault="00000000">
      <w:pPr>
        <w:pStyle w:val="Ttulo2"/>
      </w:pPr>
      <w:bookmarkStart w:id="19" w:name="_Toc233808425"/>
      <w:r>
        <w:t>2.8 Construir frente a configurar una herramienta existente</w:t>
      </w:r>
      <w:bookmarkEnd w:id="19"/>
    </w:p>
    <w:p w:rsidR="00D60FC7" w:rsidRDefault="00000000">
      <w:r>
        <w:t xml:space="preserve">Dado que existen </w:t>
      </w:r>
      <w:proofErr w:type="spellStart"/>
      <w:r>
        <w:t>CRMs</w:t>
      </w:r>
      <w:proofErr w:type="spellEnd"/>
      <w:r>
        <w:t xml:space="preserve"> y plataformas de integración capaces de cubrir partes del problema, cabe preguntarse por qué se optó por construir una solución propia en lugar de configurar alguna de ellas. La respuesta se apoya en cuatro razones.</w:t>
      </w:r>
    </w:p>
    <w:p w:rsidR="00D60FC7" w:rsidRDefault="00000000">
      <w:pPr>
        <w:pStyle w:val="Prrafodelista"/>
        <w:numPr>
          <w:ilvl w:val="0"/>
          <w:numId w:val="1"/>
        </w:num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b/>
          <w:i w:val="0"/>
        </w:rPr>
        <w:t>Costo y modelo de facturación.</w:t>
      </w:r>
      <w:r>
        <w:rPr>
          <w:b w:val="0"/>
          <w:i w:val="0"/>
        </w:rPr>
        <w:t xml:space="preserve"> Los planes de HubSpot, Pipedrive, Zapier y Make cobran cuotas recurrentes por asiento, por tarea o por operación, que crecen con el uso. El componente que concentra la lógica de negocio de esta solución —n8n— es autoalojable y no factura por ejecución, lo que traslada el costo a la infraestructura que lo hospeda. La ventaja es estructural, pero su magnitud no se demuestra aquí: la estimación se desarrolla en la Tabla 13 del Capítulo 6.</w:t>
      </w:r>
    </w:p>
    <w:p w:rsidR="00D60FC7" w:rsidRDefault="00000000">
      <w:pPr>
        <w:pStyle w:val="Prrafodelista"/>
        <w:numPr>
          <w:ilvl w:val="0"/>
          <w:numId w:val="1"/>
        </w:numPr>
      </w:pPr>
      <w:r>
        <w:rPr>
          <w:b/>
          <w:i w:val="0"/>
        </w:rPr>
        <w:t>Control sobre el dato y sobre las reglas de seguridad. Correr la orquestación sobre infraestructura propia permite definir las políticas de seguridad a nivel de fila y el esquema de tokens de un solo uso bajo control directo del equipo (véase §4.6 y el Anexo C), en línea con las recomendaciones de OWASP Foundation (2025). Corresponde precisar, sin embargo, que el sistema construido no otorga propiedad total del dato. Solo n8n es efectivamente autoalojado. La persistencia (Supabase), el despliegue del frontend (Vercel), el correo (Gmail), la mensajería (Telegram) y el tablero externo (Notion) son, en cambio, servicios gestionados por terceros, por cuya infraestructura transitan los datos comerciales. La arquitectura resultante es híbrida y así se la declara; el Capítulo 6 desarrolla la limitación.</w:t>
      </w:r>
      <w:r>
        <w:rPr>
          <w:b w:val="0"/>
          <w:i w:val="0"/>
        </w:rPr>
      </w:r>
      <w:r>
        <w:rPr>
          <w:b w:val="0"/>
          <w:i/>
        </w:rPr>
      </w:r>
      <w:r>
        <w:rPr>
          <w:b w:val="0"/>
          <w:i w:val="0"/>
        </w:rPr>
      </w:r>
    </w:p>
    <w:p w:rsidR="00D60FC7" w:rsidRDefault="00000000">
      <w:pPr>
        <w:pStyle w:val="Prrafodelista"/>
        <w:numPr>
          <w:ilvl w:val="0"/>
          <w:numId w:val="1"/>
        </w:numPr>
      </w:pPr>
      <w:r>
        <w:rPr>
          <w:b/>
        </w:rPr>
        <w:t xml:space="preserve">Personalización de las reglas de negocio: </w:t>
      </w:r>
      <w:r>
        <w:t xml:space="preserve">las reglas de </w:t>
      </w:r>
      <w:proofErr w:type="spellStart"/>
      <w:r>
        <w:t>scoring</w:t>
      </w:r>
      <w:proofErr w:type="spellEnd"/>
      <w:r>
        <w:t xml:space="preserve"> (Tabla 5) y el encadenamiento completo captación–propuesta–aceptación–factura–cobro–cierre son específicas del flujo comercial de un </w:t>
      </w:r>
      <w:proofErr w:type="spellStart"/>
      <w:r>
        <w:t>freelancer</w:t>
      </w:r>
      <w:proofErr w:type="spellEnd"/>
      <w:r>
        <w:t xml:space="preserve"> y no están disponibles llave en mano en los productos revisados, que ofrecen </w:t>
      </w:r>
      <w:proofErr w:type="spellStart"/>
      <w:r>
        <w:t>scoring</w:t>
      </w:r>
      <w:proofErr w:type="spellEnd"/>
      <w:r>
        <w:t xml:space="preserve"> genérico o requieren integraciones adicionales para completar el ciclo.</w:t>
      </w:r>
    </w:p>
    <w:p w:rsidR="00D60FC7" w:rsidRDefault="00000000">
      <w:pPr>
        <w:pStyle w:val="Prrafodelista"/>
        <w:numPr>
          <w:ilvl w:val="0"/>
          <w:numId w:val="1"/>
        </w:numPr>
      </w:pPr>
      <w:r>
        <w:rPr>
          <w:b/>
        </w:rPr>
        <w:t xml:space="preserve">Objetivo formativo del trabajo: </w:t>
      </w:r>
      <w:r>
        <w:t>el propósito declarado (§1.4, §1.5) es evidenciar competencias de integración de un Técnico Universitario en Programación mediante un artefacto de software verificable; operar una herramienta comercial ya configurada no habría permitido demostrar esas competencias de diseño e implementación.</w:t>
      </w:r>
    </w:p>
    <w:p w:rsidR="00D60FC7" w:rsidRDefault="00000000">
      <w:r>
        <w:t>Esta decisión no está exenta de costos: construir implica asumir el esfuerzo de desarrollo y el mantenimiento posterior del artefacto, responsabilidades que un producto comercial ya resuelto no exige. Configurar una herramienta existente sería preferible en un contexto distinto —un equipo con varios usuarios no técnicos, o una organización que priorice soporte comercial maduro por sobre la personalización—, escenario que excede el alcance de este trabajo (§1.7).</w:t>
      </w:r>
    </w:p>
    <w:p w:rsidR="00D60FC7" w:rsidRDefault="00000000">
      <w:proofErr w:type="spellStart"/>
      <w:proofErr w:type="spellEnd"/>
      <w:r>
        <w:rPr>
          <w:b w:val="0"/>
          <w:i w:val="0"/>
        </w:rPr>
        <w:t>Para el alcance definido —un freelancer individual, con un ciclo de vida comercial a medida, control directo sobre las reglas de negocio y un objetivo formativo explícito— construir la solución está justificado. El aporte original no reside en un algoritmo aislado, sino en el pipeline integrado y extremo a extremo que encadena las etapas descritas, verificado componente a componente contra el código fuente (§4.1). De las cuatro razones enunciadas, dos se sostienen sin reservas —personalización de las reglas y objetivo formativo— y dos lo hacen de forma parcial y así se declaran: el argumento de costo se estima en el Capítulo 6 y el de propiedad del dato se limita a la capa de orquestación.</w:t>
      </w:r>
    </w:p>
    <w:p w:rsidR="00D60FC7" w:rsidRDefault="00000000">
      <w:r>
        <w:br w:type="page"/>
      </w:r>
    </w:p>
    <w:p w:rsidR="00D60FC7" w:rsidRDefault="00000000">
      <w:pPr>
        <w:pStyle w:val="Ttulo1"/>
      </w:pPr>
      <w:bookmarkStart w:id="20" w:name="_Toc233808426"/>
      <w:r>
        <w:t>Capítulo 3: Marco Metodológico</w:t>
      </w:r>
      <w:bookmarkEnd w:id="20"/>
    </w:p>
    <w:p w:rsidR="00D60FC7" w:rsidRDefault="00000000">
      <w:r>
        <w:t>Este capítulo describe la naturaleza del trabajo, la metodología de desarrollo adoptada, las técnicas de relevamiento, los requisitos que guiaron la construcción, las herramientas empleadas y la estrategia de validación del artefacto.</w:t>
      </w:r>
      <w:r>
        <w:t xml:space="preserve"> La documentación del trabajo —incluidas las citas en el texto y la lista de referencias— se ajusta a las normas de estilo de la American Psychological Association en su séptima edición (APA, 2020).</w:t>
      </w:r>
    </w:p>
    <w:p w:rsidR="00D60FC7" w:rsidRDefault="00000000">
      <w:pPr>
        <w:pStyle w:val="Ttulo2"/>
      </w:pPr>
      <w:bookmarkStart w:id="21" w:name="_Toc233808427"/>
      <w:r>
        <w:t>3.1 Tipo y naturaleza del trabajo</w:t>
      </w:r>
      <w:bookmarkEnd w:id="21"/>
    </w:p>
    <w:p w:rsidR="00D60FC7" w:rsidRDefault="00000000">
      <w:proofErr w:type="spellStart"/>
      <w:proofErr w:type="spellEnd"/>
      <w:r>
        <w:rPr>
          <w:b w:val="0"/>
          <w:i w:val="0"/>
        </w:rPr>
        <w:t>Este trabajo final se inscribe en la categoría de desarrollo tecnológico de carácter aplicado: su resultado principal es un artefacto de software —una plataforma funcional— y no la contrastación de una hipótesis empírica. Por esa razón no se formula una hipótesis en sentido estadístico: el estudio se orienta por la pregunta de investigación y por los objetivos, y su rigor se juzga por la justificación de las decisiones de diseño, la calidad de la solución y la validación del producto (Pressman y Maxim, 2020). El paradigma es pragmático-ingenieril y el enfoque, cualitativo-descriptivo con registro de indicadores puntuales de ejecución.</w:t>
      </w:r>
    </w:p>
    <w:p w:rsidR="00D60FC7" w:rsidRDefault="00000000">
      <w:pPr>
        <w:pStyle w:val="Ttulo2"/>
      </w:pPr>
      <w:bookmarkStart w:id="22" w:name="_Toc233808428"/>
      <w:r>
        <w:t>3.2 Metodología de desarrollo</w:t>
      </w:r>
      <w:bookmarkEnd w:id="22"/>
    </w:p>
    <w:p w:rsidR="00D60FC7" w:rsidRDefault="00000000">
      <w:r>
        <w:rPr>
          <w:b w:val="0"/>
          <w:i w:val="0"/>
        </w:rPr>
        <w:t>Adoptamos un enfoque iterativo e incremental, apropiado para un producto mínimo viable cuyos requisitos se refinan a medida que el producto toma forma (Sommerville, 2016). El desarrollo avanzó por cinco incrementos funcionales, cada uno integrado y validado antes de abordar el siguiente: (1) captación y persistencia del lead; (2) normalización, scoring y clasificación en niveles; (3) generación y envío de la propuesta, con la página pública de aceptación protegida por token; (4) facturación en PDF, registro del pago y cierre del proyecto; y (5) procesos programados y gestión interactiva posterior a la propuesta. El criterio de cierre de cada incremento fue la ejecución satisfactoria de su camino principal y de al menos un camino alternativo. El versionado del código y la documentación de las decisiones se llevaron con Git; el historial público del repositorio permite verificar la secuencia.</w:t>
      </w:r>
    </w:p>
    <w:p w:rsidR="00D60FC7" w:rsidRDefault="00000000">
      <w:pPr>
        <w:pStyle w:val="Ttulo2"/>
      </w:pPr>
      <w:bookmarkStart w:id="23" w:name="_Toc233808429"/>
      <w:r>
        <w:t>3.3 Técnicas de relevamiento</w:t>
      </w:r>
      <w:bookmarkEnd w:id="23"/>
    </w:p>
    <w:p w:rsidR="00D60FC7" w:rsidRDefault="00000000">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b w:val="0"/>
          <w:i w:val="0"/>
        </w:rPr>
        <w:t>Dada la naturaleza de este trabajo —un desarrollo tecnológico aplicado orientado a un producto mínimo viable (§3.1)—, el relevamiento de requisitos se realizó mediante análisis documental del dominio del trabajo freelance, y no mediante un estudio empírico con usuarios.</w:t>
      </w:r>
    </w:p>
    <w:p>
      <w:pPr/>
      <w:r>
        <w:rPr>
          <w:b w:val="0"/>
          <w:i w:val="0"/>
        </w:rPr>
        <w:t>El procedimiento fue el siguiente. El corpus analizado se compuso de tres tipos de material. El primero es la literatura sobre gestión y automatización de leads (Järvinen y Taiminen, 2016; Mero et al., 2020; Kotler y Armstrong, 2017), de la que se tomaron las etapas del embudo y el concepto de calificación. El segundo son los datos sobre la expansión del trabajo independiente mediado por plataformas (Kässi y Lehdonvirta, 2018; OIT, 2025), que caracterizan el contexto. El tercero es la documentación funcional de las cuatro herramientas comerciales revisadas en §2.7, de la que se extrajeron las etapas que esos productos automatizan y las que dejan fuera.</w:t>
      </w:r>
    </w:p>
    <w:p>
      <w:pPr/>
      <w:r>
        <w:rPr>
          <w:b w:val="0"/>
          <w:i w:val="0"/>
        </w:rPr>
        <w:t>De ese material derivamos, por comparación de las secuencias descritas en las tres fuentes, un ciclo común de siete etapas: contacto, calificación, propuesta, seguimiento, aceptación, facturación y cobro. Ese ciclo se tradujo directamente en los estados de la Tabla 9 y en las reglas de negocio de §4.8: cada estado del ciclo de vida corresponde a una etapa del ciclo común, y cada regla de negocio, a una condición de transición entre etapas. No se aplicó codificación cualitativa formal ni criterio de saturación; el corpus es acotado y su análisis, descriptivo. Se declara esta limitación de procedimiento antes que presentar como sistemático un análisis que no lo fue.</w:t>
      </w:r>
    </w:p>
    <w:p>
      <w:pPr/>
      <w:r>
        <w:rPr>
          <w:b w:val="0"/>
          <w:i w:val="0"/>
        </w:rPr>
        <w:t>A ese análisis se sumó la experiencia directa de los autores en el desarrollo freelance, que operó como fuente de contraste de las etapas derivadas y como criterio para fijar los umbrales iniciales del scoring. Se reconoce como limitación metodológica la ausencia de un relevamiento primario con usuarios reales —encuestas o entrevistas a una muestra de freelancers—. En consecuencia, no se define una población y no puede juzgarse la validez externa de las reglas derivadas: los umbrales y las ponderaciones reflejan un criterio experto y no una distribución observada. Su incorporación se plantea como línea de trabajo futuro (Capítulo 8).</w:t>
      </w:r>
    </w:p>
    <w:p w:rsidR="00D60FC7" w:rsidRDefault="00000000">
      <w:pPr>
        <w:pStyle w:val="Ttulo2"/>
      </w:pPr>
      <w:bookmarkStart w:id="24" w:name="_Toc233808430"/>
      <w:r>
        <w:t>3.4 Requisitos funcionales</w:t>
      </w:r>
      <w:bookmarkEnd w:id="24"/>
    </w:p>
    <w:p w:rsidR="00D60FC7" w:rsidRDefault="00000000">
      <w:r>
        <w:t>La Tabla 1 resume los requisitos funcionales (RF) que el sistema debe satisfacer.</w:t>
      </w:r>
    </w:p>
    <w:p w:rsidR="00D60FC7" w:rsidRDefault="00000000">
      <w:pPr>
        <w:spacing w:after="120" w:line="240" w:lineRule="auto"/>
        <w:jc w:val="center"/>
      </w:pPr>
      <w:r>
        <w:rPr>
          <w:sz w:val="20"/>
          <w:szCs w:val="20"/>
        </w:rPr>
        <w:t>Tabla 1. Requisitos funcionales del sistema</w:t>
      </w:r>
    </w:p>
    <w:tbl>
      <w:tblPr>
        <w:tblW w:w="5000" w:type="pct"/>
        <w:tblInd w:w="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891"/>
        <w:gridCol w:w="7917"/>
      </w:tblGrid>
      <w:tr w:rsidR="00D60FC7">
        <w:tblPrEx>
          <w:tblCellMar>
            <w:top w:w="0" w:type="dxa"/>
            <w:bottom w:w="0" w:type="dxa"/>
          </w:tblCellMar>
        </w:tblPrEx>
        <w:trPr>
          <w:tblHeader/>
        </w:trPr>
        <w:tc>
          <w:tcPr>
            <w:tcW w:w="900" w:type="dxa"/>
            <w:shd w:val="clear" w:color="auto" w:fill="1F2937"/>
          </w:tcPr>
          <w:p w:rsidR="00D60FC7" w:rsidRDefault="00000000">
            <w:pPr>
              <w:spacing w:after="20" w:line="240" w:lineRule="auto"/>
              <w:jc w:val="left"/>
            </w:pPr>
            <w:r>
              <w:rPr>
                <w:b/>
                <w:color w:val="FFFFFF"/>
              </w:rPr>
              <w:t>ID</w:t>
            </w:r>
          </w:p>
        </w:tc>
        <w:tc>
          <w:tcPr>
            <w:tcW w:w="8100" w:type="dxa"/>
            <w:shd w:val="clear" w:color="auto" w:fill="1F2937"/>
          </w:tcPr>
          <w:p w:rsidR="00D60FC7" w:rsidRDefault="00000000">
            <w:pPr>
              <w:spacing w:after="20" w:line="240" w:lineRule="auto"/>
              <w:jc w:val="left"/>
            </w:pPr>
            <w:r>
              <w:rPr>
                <w:b/>
                <w:color w:val="FFFFFF"/>
              </w:rPr>
              <w:t>Requisito funcional</w:t>
            </w:r>
          </w:p>
        </w:tc>
      </w:tr>
      <w:tr w:rsidR="00D60FC7">
        <w:tblPrEx>
          <w:tblCellMar>
            <w:top w:w="0" w:type="dxa"/>
            <w:bottom w:w="0" w:type="dxa"/>
          </w:tblCellMar>
        </w:tblPrEx>
        <w:tc>
          <w:tcPr>
            <w:tcW w:w="900" w:type="dxa"/>
          </w:tcPr>
          <w:p w:rsidR="00D60FC7" w:rsidRDefault="00000000">
            <w:pPr>
              <w:spacing w:after="20" w:line="240" w:lineRule="auto"/>
              <w:jc w:val="left"/>
            </w:pPr>
            <w:r>
              <w:t>RF1</w:t>
            </w:r>
          </w:p>
        </w:tc>
        <w:tc>
          <w:tcPr>
            <w:tcW w:w="8100" w:type="dxa"/>
          </w:tcPr>
          <w:p w:rsidR="00D60FC7" w:rsidRDefault="00000000">
            <w:pPr>
              <w:spacing w:after="20" w:line="240" w:lineRule="auto"/>
              <w:jc w:val="left"/>
            </w:pPr>
            <w:r>
              <w:t>Permitir a un interesado enviar sus datos mediante un formulario público con validación.</w:t>
            </w:r>
          </w:p>
        </w:tc>
      </w:tr>
      <w:tr w:rsidR="00D60FC7">
        <w:tblPrEx>
          <w:tblCellMar>
            <w:top w:w="0" w:type="dxa"/>
            <w:bottom w:w="0" w:type="dxa"/>
          </w:tblCellMar>
        </w:tblPrEx>
        <w:tc>
          <w:tcPr>
            <w:tcW w:w="900" w:type="dxa"/>
          </w:tcPr>
          <w:p w:rsidR="00D60FC7" w:rsidRDefault="00000000">
            <w:pPr>
              <w:spacing w:after="20" w:line="240" w:lineRule="auto"/>
              <w:jc w:val="left"/>
            </w:pPr>
            <w:r>
              <w:t>RF2</w:t>
            </w:r>
          </w:p>
        </w:tc>
        <w:tc>
          <w:tcPr>
            <w:tcW w:w="8100" w:type="dxa"/>
          </w:tcPr>
          <w:p w:rsidR="00D60FC7" w:rsidRDefault="00000000">
            <w:pPr>
              <w:spacing w:after="20" w:line="240" w:lineRule="auto"/>
              <w:jc w:val="left"/>
            </w:pPr>
            <w:r>
              <w:t>Normalizar y validar los datos recibidos y rechazar los que no cumplan las reglas mínimas.</w:t>
            </w:r>
          </w:p>
        </w:tc>
      </w:tr>
      <w:tr w:rsidR="00D60FC7">
        <w:tblPrEx>
          <w:tblCellMar>
            <w:top w:w="0" w:type="dxa"/>
            <w:bottom w:w="0" w:type="dxa"/>
          </w:tblCellMar>
        </w:tblPrEx>
        <w:tc>
          <w:tcPr>
            <w:tcW w:w="900" w:type="dxa"/>
          </w:tcPr>
          <w:p w:rsidR="00D60FC7" w:rsidRDefault="00000000">
            <w:pPr>
              <w:spacing w:after="20" w:line="240" w:lineRule="auto"/>
              <w:jc w:val="left"/>
            </w:pPr>
            <w:r>
              <w:t>RF3</w:t>
            </w:r>
          </w:p>
        </w:tc>
        <w:tc>
          <w:tcPr>
            <w:tcW w:w="8100" w:type="dxa"/>
          </w:tcPr>
          <w:p w:rsidR="00D60FC7" w:rsidRDefault="00000000">
            <w:pPr>
              <w:spacing w:after="20" w:line="240" w:lineRule="auto"/>
              <w:jc w:val="left"/>
            </w:pPr>
            <w:r>
              <w:t>Calcular un puntaje (score) y clasificar cada lead en un nivel HOT, WARM o COLD.</w:t>
            </w:r>
          </w:p>
        </w:tc>
      </w:tr>
      <w:tr w:rsidR="00D60FC7">
        <w:tblPrEx>
          <w:tblCellMar>
            <w:top w:w="0" w:type="dxa"/>
            <w:bottom w:w="0" w:type="dxa"/>
          </w:tblCellMar>
        </w:tblPrEx>
        <w:tc>
          <w:tcPr>
            <w:tcW w:w="900" w:type="dxa"/>
          </w:tcPr>
          <w:p w:rsidR="00D60FC7" w:rsidRDefault="00000000">
            <w:pPr>
              <w:spacing w:after="20" w:line="240" w:lineRule="auto"/>
              <w:jc w:val="left"/>
            </w:pPr>
            <w:r>
              <w:t>RF4</w:t>
            </w:r>
          </w:p>
        </w:tc>
        <w:tc>
          <w:tcPr>
            <w:tcW w:w="8100" w:type="dxa"/>
          </w:tcPr>
          <w:p w:rsidR="00D60FC7" w:rsidRDefault="00000000">
            <w:pPr>
              <w:spacing w:after="20" w:line="240" w:lineRule="auto"/>
              <w:jc w:val="left"/>
            </w:pPr>
            <w:r>
              <w:t>Generar y enviar por correo una propuesta a los leads HOT y WARM.</w:t>
            </w:r>
          </w:p>
        </w:tc>
      </w:tr>
      <w:tr w:rsidR="00D60FC7">
        <w:tblPrEx>
          <w:tblCellMar>
            <w:top w:w="0" w:type="dxa"/>
            <w:bottom w:w="0" w:type="dxa"/>
          </w:tblCellMar>
        </w:tblPrEx>
        <w:tc>
          <w:tcPr>
            <w:tcW w:w="900" w:type="dxa"/>
          </w:tcPr>
          <w:p w:rsidR="00D60FC7" w:rsidRDefault="00000000">
            <w:pPr>
              <w:spacing w:after="20" w:line="240" w:lineRule="auto"/>
              <w:jc w:val="left"/>
            </w:pPr>
            <w:r>
              <w:t>RF5</w:t>
            </w:r>
          </w:p>
        </w:tc>
        <w:tc>
          <w:tcPr>
            <w:tcW w:w="8100" w:type="dxa"/>
          </w:tcPr>
          <w:p w:rsidR="00D60FC7" w:rsidRDefault="00000000">
            <w:pPr>
              <w:spacing w:after="20" w:line="240" w:lineRule="auto"/>
              <w:jc w:val="left"/>
            </w:pPr>
            <w:r>
              <w:t>Permitir la aceptación de la propuesta mediante un enlace con token de un solo uso.</w:t>
            </w:r>
          </w:p>
        </w:tc>
      </w:tr>
      <w:tr w:rsidR="00D60FC7">
        <w:tblPrEx>
          <w:tblCellMar>
            <w:top w:w="0" w:type="dxa"/>
            <w:bottom w:w="0" w:type="dxa"/>
          </w:tblCellMar>
        </w:tblPrEx>
        <w:tc>
          <w:tcPr>
            <w:tcW w:w="900" w:type="dxa"/>
          </w:tcPr>
          <w:p w:rsidR="00D60FC7" w:rsidRDefault="00000000">
            <w:pPr>
              <w:spacing w:after="20" w:line="240" w:lineRule="auto"/>
              <w:jc w:val="left"/>
            </w:pPr>
            <w:r>
              <w:t>RF6</w:t>
            </w:r>
          </w:p>
        </w:tc>
        <w:tc>
          <w:tcPr>
            <w:tcW w:w="8100" w:type="dxa"/>
          </w:tcPr>
          <w:p w:rsidR="00D60FC7" w:rsidRDefault="00000000">
            <w:pPr>
              <w:spacing w:after="20" w:line="240" w:lineRule="auto"/>
              <w:jc w:val="left"/>
            </w:pPr>
            <w:r>
              <w:t>Generar la factura en PDF y enviarla por correo al aceptar la propuesta.</w:t>
            </w:r>
          </w:p>
        </w:tc>
      </w:tr>
      <w:tr w:rsidR="00D60FC7">
        <w:tblPrEx>
          <w:tblCellMar>
            <w:top w:w="0" w:type="dxa"/>
            <w:bottom w:w="0" w:type="dxa"/>
          </w:tblCellMar>
        </w:tblPrEx>
        <w:tc>
          <w:tcPr>
            <w:tcW w:w="900" w:type="dxa"/>
          </w:tcPr>
          <w:p w:rsidR="00D60FC7" w:rsidRDefault="00000000">
            <w:pPr>
              <w:spacing w:after="20" w:line="240" w:lineRule="auto"/>
              <w:jc w:val="left"/>
            </w:pPr>
            <w:r>
              <w:t>RF7</w:t>
            </w:r>
          </w:p>
        </w:tc>
        <w:tc>
          <w:tcPr>
            <w:tcW w:w="8100" w:type="dxa"/>
          </w:tcPr>
          <w:p w:rsidR="00D60FC7" w:rsidRDefault="00000000">
            <w:pPr>
              <w:spacing w:after="20" w:line="240" w:lineRule="auto"/>
              <w:jc w:val="left"/>
            </w:pPr>
            <w:r>
              <w:t>Registrar el cobro de la factura y el cierre del proyecto.</w:t>
            </w:r>
          </w:p>
        </w:tc>
      </w:tr>
      <w:tr w:rsidR="00D60FC7">
        <w:tblPrEx>
          <w:tblCellMar>
            <w:top w:w="0" w:type="dxa"/>
            <w:bottom w:w="0" w:type="dxa"/>
          </w:tblCellMar>
        </w:tblPrEx>
        <w:tc>
          <w:tcPr>
            <w:tcW w:w="900" w:type="dxa"/>
          </w:tcPr>
          <w:p w:rsidR="00D60FC7" w:rsidRDefault="00000000">
            <w:pPr>
              <w:spacing w:after="20" w:line="240" w:lineRule="auto"/>
              <w:jc w:val="left"/>
            </w:pPr>
            <w:r>
              <w:t>RF8</w:t>
            </w:r>
          </w:p>
        </w:tc>
        <w:tc>
          <w:tcPr>
            <w:tcW w:w="8100" w:type="dxa"/>
          </w:tcPr>
          <w:p w:rsidR="00D60FC7" w:rsidRDefault="00000000">
            <w:pPr>
              <w:spacing w:after="20" w:line="240" w:lineRule="auto"/>
              <w:jc w:val="left"/>
            </w:pPr>
            <w:r>
              <w:t>Ejecutar seguimientos automáticos de las propuestas sin respuesta.</w:t>
            </w:r>
          </w:p>
        </w:tc>
      </w:tr>
      <w:tr w:rsidR="00D60FC7">
        <w:tblPrEx>
          <w:tblCellMar>
            <w:top w:w="0" w:type="dxa"/>
            <w:bottom w:w="0" w:type="dxa"/>
          </w:tblCellMar>
        </w:tblPrEx>
        <w:tc>
          <w:tcPr>
            <w:tcW w:w="900" w:type="dxa"/>
          </w:tcPr>
          <w:p w:rsidR="00D60FC7" w:rsidRDefault="00000000">
            <w:pPr>
              <w:spacing w:after="20" w:line="240" w:lineRule="auto"/>
              <w:jc w:val="left"/>
            </w:pPr>
            <w:r>
              <w:t>RF9</w:t>
            </w:r>
          </w:p>
        </w:tc>
        <w:tc>
          <w:tcPr>
            <w:tcW w:w="8100" w:type="dxa"/>
          </w:tcPr>
          <w:p w:rsidR="00D60FC7" w:rsidRDefault="00000000">
            <w:pPr>
              <w:spacing w:after="20" w:line="240" w:lineRule="auto"/>
              <w:jc w:val="left"/>
            </w:pPr>
            <w:r>
              <w:t>Enviar recordatorios de las facturas próximas a vencer o vencidas.</w:t>
            </w:r>
          </w:p>
        </w:tc>
      </w:tr>
      <w:tr w:rsidR="00D60FC7">
        <w:tblPrEx>
          <w:tblCellMar>
            <w:top w:w="0" w:type="dxa"/>
            <w:bottom w:w="0" w:type="dxa"/>
          </w:tblCellMar>
        </w:tblPrEx>
        <w:tc>
          <w:tcPr>
            <w:tcW w:w="900" w:type="dxa"/>
          </w:tcPr>
          <w:p w:rsidR="00D60FC7" w:rsidRDefault="00000000">
            <w:pPr>
              <w:spacing w:after="20" w:line="240" w:lineRule="auto"/>
              <w:jc w:val="left"/>
            </w:pPr>
            <w:r>
              <w:t>RF10</w:t>
            </w:r>
          </w:p>
        </w:tc>
        <w:tc>
          <w:tcPr>
            <w:tcW w:w="8100" w:type="dxa"/>
          </w:tcPr>
          <w:p w:rsidR="00D60FC7" w:rsidRDefault="00000000">
            <w:pPr>
              <w:spacing w:after="20" w:line="240" w:lineRule="auto"/>
              <w:jc w:val="left"/>
            </w:pPr>
            <w:r>
              <w:t xml:space="preserve">Notificar al profesional los eventos relevantes por </w:t>
            </w:r>
            <w:proofErr w:type="spellStart"/>
            <w:r>
              <w:t>Telegram</w:t>
            </w:r>
            <w:proofErr w:type="spellEnd"/>
            <w:r>
              <w:t xml:space="preserve"> y emitir un reporte diario de métricas.</w:t>
            </w:r>
          </w:p>
        </w:tc>
      </w:tr>
      <w:tr w:rsidR="00D60FC7">
        <w:tblPrEx>
          <w:tblCellMar>
            <w:top w:w="0" w:type="dxa"/>
            <w:bottom w:w="0" w:type="dxa"/>
          </w:tblCellMar>
        </w:tblPrEx>
        <w:tc>
          <w:tcPr>
            <w:tcW w:w="900" w:type="dxa"/>
          </w:tcPr>
          <w:p w:rsidR="00D60FC7" w:rsidRDefault="00000000">
            <w:pPr>
              <w:spacing w:after="20" w:line="240" w:lineRule="auto"/>
              <w:jc w:val="left"/>
            </w:pPr>
            <w:r>
              <w:t>RF11</w:t>
            </w:r>
          </w:p>
        </w:tc>
        <w:tc>
          <w:tcPr>
            <w:tcW w:w="8100" w:type="dxa"/>
          </w:tcPr>
          <w:p w:rsidR="00D60FC7" w:rsidRDefault="00000000">
            <w:pPr>
              <w:spacing w:after="20" w:line="240" w:lineRule="auto"/>
              <w:jc w:val="left"/>
            </w:pPr>
            <w:r>
              <w:t>Ofrecer un tablero de control autenticado con métricas, embudo y facturas pendientes en tiempo real.</w:t>
            </w:r>
          </w:p>
        </w:tc>
      </w:tr>
    </w:tbl>
    <w:p>
      <w:pPr/>
      <w:r>
        <w:rPr>
          <w:b w:val="0"/>
          <w:i/>
          <w:sz w:val="15"/>
        </w:rPr>
        <w:t>Nota. Elaboración propia.</w:t>
      </w:r>
    </w:p>
    <w:p w:rsidR="00D60FC7" w:rsidRDefault="00D60FC7"/>
    <w:p w:rsidR="00D60FC7" w:rsidRDefault="00000000">
      <w:pPr>
        <w:pStyle w:val="Ttulo2"/>
      </w:pPr>
      <w:bookmarkStart w:id="25" w:name="_Toc233808431"/>
      <w:r>
        <w:t>3.5 Requisitos no funcionales</w:t>
      </w:r>
      <w:bookmarkEnd w:id="25"/>
    </w:p>
    <w:p w:rsidR="00D60FC7" w:rsidRDefault="00000000">
      <w:r>
        <w:rPr>
          <w:b w:val="0"/>
          <w:i w:val="0"/>
        </w:rPr>
        <w:t>La Tabla 2 presenta los requisitos no funcionales (RNF), organizados según las características de calidad de la norma ISO/IEC 25010:2023, segunda edición del modelo de calidad del producto de software, que cancela y reemplaza a la edición 2011 empleada en una versión anterior de este trabajo. Dos características cambiaron de nombre en la edición vigente: «Usabilidad» pasó a denominarse «Capacidad de interacción», y «Portabilidad», «Flexibilidad». Cada requisito se enuncia con un umbral, una unidad y un método de verificación, de modo que pueda declararse cumplido o incumplido sin apelar a un juicio cualitativo; el resultado de su verificación se reporta en el Capítulo 5.</w:t>
      </w:r>
    </w:p>
    <w:p w:rsidR="00D60FC7" w:rsidRDefault="00000000">
      <w:pPr>
        <w:spacing w:after="120" w:line="240" w:lineRule="auto"/>
        <w:jc w:val="center"/>
      </w:pPr>
      <w:r>
        <w:rPr>
          <w:sz w:val="20"/>
          <w:szCs w:val="20"/>
        </w:rPr>
        <w:t>Tabla 2. Requisitos no funcionales del sistema</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5000" w:type="pct"/>
      </w:tblPr>
      <w:tblGrid>
        <w:gridCol w:w="2197"/>
        <w:gridCol w:w="2197"/>
        <w:gridCol w:w="2197"/>
        <w:gridCol w:w="2197"/>
      </w:tblGrid>
      <w:tr>
        <w:trPr>
          <w:tblHeader/>
        </w:trPr>
        <w:tc>
          <w:tcPr>
            <w:tcW w:type="dxa" w:w="567"/>
            <w:shd w:val="clear" w:color="auto" w:fill="1F2937"/>
          </w:tcPr>
          <w:p>
            <w:pPr>
              <w:spacing w:after="40" w:before="40"/>
              <w:jc w:val="left"/>
            </w:pPr>
            <w:r>
              <w:rPr>
                <w:b/>
                <w:i w:val="0"/>
                <w:color w:val="FFFFFF"/>
                <w:sz w:val="14"/>
              </w:rPr>
              <w:t>ID</w:t>
            </w:r>
          </w:p>
        </w:tc>
        <w:tc>
          <w:tcPr>
            <w:tcW w:type="dxa" w:w="1644"/>
            <w:shd w:val="clear" w:color="auto" w:fill="1F2937"/>
          </w:tcPr>
          <w:p>
            <w:pPr>
              <w:spacing w:after="40" w:before="40"/>
              <w:jc w:val="left"/>
            </w:pPr>
            <w:r>
              <w:rPr>
                <w:b/>
                <w:i w:val="0"/>
                <w:color w:val="FFFFFF"/>
                <w:sz w:val="14"/>
              </w:rPr>
              <w:t>Característica</w:t>
            </w:r>
          </w:p>
          <w:p>
            <w:pPr>
              <w:spacing w:after="40" w:before="0"/>
            </w:pPr>
            <w:r>
              <w:rPr>
                <w:b/>
                <w:i w:val="0"/>
                <w:color w:val="FFFFFF"/>
                <w:sz w:val="14"/>
              </w:rPr>
              <w:t>(ISO/IEC 25010:2023)</w:t>
            </w:r>
          </w:p>
        </w:tc>
        <w:tc>
          <w:tcPr>
            <w:tcW w:type="dxa" w:w="3402"/>
            <w:shd w:val="clear" w:color="auto" w:fill="1F2937"/>
          </w:tcPr>
          <w:p>
            <w:pPr>
              <w:spacing w:after="40" w:before="40"/>
              <w:jc w:val="left"/>
            </w:pPr>
            <w:r>
              <w:rPr>
                <w:b/>
                <w:i w:val="0"/>
                <w:color w:val="FFFFFF"/>
                <w:sz w:val="14"/>
              </w:rPr>
              <w:t>Requisito no funcional verificable</w:t>
            </w:r>
          </w:p>
        </w:tc>
        <w:tc>
          <w:tcPr>
            <w:tcW w:type="dxa" w:w="3175"/>
            <w:shd w:val="clear" w:color="auto" w:fill="1F2937"/>
          </w:tcPr>
          <w:p>
            <w:pPr>
              <w:spacing w:after="40" w:before="40"/>
              <w:jc w:val="left"/>
            </w:pPr>
            <w:r>
              <w:rPr>
                <w:b/>
                <w:i w:val="0"/>
                <w:color w:val="FFFFFF"/>
                <w:sz w:val="14"/>
              </w:rPr>
              <w:t>Método y criterio de verificación</w:t>
            </w:r>
          </w:p>
        </w:tc>
      </w:tr>
      <w:tr>
        <w:tc>
          <w:tcPr>
            <w:tcW w:type="dxa" w:w="567"/>
          </w:tcPr>
          <w:p>
            <w:pPr>
              <w:spacing w:after="40" w:before="40"/>
              <w:jc w:val="left"/>
            </w:pPr>
            <w:r>
              <w:rPr>
                <w:b w:val="0"/>
                <w:i w:val="0"/>
                <w:sz w:val="14"/>
              </w:rPr>
              <w:t>RNF1</w:t>
            </w:r>
          </w:p>
        </w:tc>
        <w:tc>
          <w:tcPr>
            <w:tcW w:type="dxa" w:w="1644"/>
          </w:tcPr>
          <w:p>
            <w:pPr>
              <w:spacing w:after="40" w:before="40"/>
              <w:jc w:val="left"/>
            </w:pPr>
            <w:r>
              <w:rPr>
                <w:b w:val="0"/>
                <w:i w:val="0"/>
                <w:sz w:val="14"/>
              </w:rPr>
              <w:t>Seguridad</w:t>
            </w:r>
          </w:p>
        </w:tc>
        <w:tc>
          <w:tcPr>
            <w:tcW w:type="dxa" w:w="3402"/>
          </w:tcPr>
          <w:p>
            <w:pPr>
              <w:spacing w:after="40" w:before="40"/>
              <w:jc w:val="left"/>
            </w:pPr>
            <w:r>
              <w:rPr>
                <w:b w:val="0"/>
                <w:i w:val="0"/>
                <w:sz w:val="14"/>
              </w:rPr>
              <w:t xml:space="preserve">El tablero solo es accesible para usuarios autenticados cuyo perfil tenga </w:t>
            </w:r>
            <w:r>
              <w:rPr>
                <w:b w:val="0"/>
                <w:i w:val="0"/>
                <w:sz w:val="14"/>
                <w:rFonts w:ascii="Consolas" w:hAnsi="Consolas" w:cs="Consolas"/>
              </w:rPr>
              <w:t>role = 'admin'</w:t>
            </w:r>
            <w:r>
              <w:rPr>
                <w:b w:val="0"/>
                <w:i w:val="0"/>
                <w:sz w:val="14"/>
              </w:rPr>
              <w:t xml:space="preserve">. Todas las tablas de negocio tienen RLS habilitada y ninguna política de escritura para el rol </w:t>
            </w:r>
            <w:r>
              <w:rPr>
                <w:b w:val="0"/>
                <w:i w:val="0"/>
                <w:sz w:val="14"/>
                <w:rFonts w:ascii="Consolas" w:hAnsi="Consolas" w:cs="Consolas"/>
              </w:rPr>
              <w:t>authenticated</w:t>
            </w:r>
            <w:r>
              <w:rPr>
                <w:b w:val="0"/>
                <w:i w:val="0"/>
                <w:sz w:val="14"/>
              </w:rPr>
              <w:t>.</w:t>
            </w:r>
          </w:p>
        </w:tc>
        <w:tc>
          <w:tcPr>
            <w:tcW w:type="dxa" w:w="3175"/>
          </w:tcPr>
          <w:p>
            <w:pPr>
              <w:spacing w:after="40" w:before="40"/>
              <w:jc w:val="left"/>
            </w:pPr>
            <w:r>
              <w:rPr>
                <w:b w:val="0"/>
                <w:i w:val="0"/>
                <w:sz w:val="14"/>
              </w:rPr>
              <w:t xml:space="preserve">Tres intentos de lectura de </w:t>
            </w:r>
            <w:r>
              <w:rPr>
                <w:b w:val="0"/>
                <w:i w:val="0"/>
                <w:sz w:val="14"/>
                <w:rFonts w:ascii="Consolas" w:hAnsi="Consolas" w:cs="Consolas"/>
              </w:rPr>
              <w:t>leads</w:t>
            </w:r>
            <w:r>
              <w:rPr>
                <w:b w:val="0"/>
                <w:i w:val="0"/>
                <w:sz w:val="14"/>
              </w:rPr>
              <w:t xml:space="preserve">: sin sesión, con sesión de rol </w:t>
            </w:r>
            <w:r>
              <w:rPr>
                <w:b w:val="0"/>
                <w:i w:val="0"/>
                <w:sz w:val="14"/>
                <w:rFonts w:ascii="Consolas" w:hAnsi="Consolas" w:cs="Consolas"/>
              </w:rPr>
              <w:t>user</w:t>
            </w:r>
            <w:r>
              <w:rPr>
                <w:b w:val="0"/>
                <w:i w:val="0"/>
                <w:sz w:val="14"/>
              </w:rPr>
              <w:t xml:space="preserve"> y con sesión de rol </w:t>
            </w:r>
            <w:r>
              <w:rPr>
                <w:b w:val="0"/>
                <w:i w:val="0"/>
                <w:sz w:val="14"/>
                <w:rFonts w:ascii="Consolas" w:hAnsi="Consolas" w:cs="Consolas"/>
              </w:rPr>
              <w:t>admin</w:t>
            </w:r>
            <w:r>
              <w:rPr>
                <w:b w:val="0"/>
                <w:i w:val="0"/>
                <w:sz w:val="14"/>
              </w:rPr>
              <w:t xml:space="preserve">. Criterio: 0, 0 y n filas respectivamente. Un </w:t>
            </w:r>
            <w:r>
              <w:rPr>
                <w:b w:val="0"/>
                <w:i w:val="0"/>
                <w:sz w:val="14"/>
                <w:rFonts w:ascii="Consolas" w:hAnsi="Consolas" w:cs="Consolas"/>
              </w:rPr>
              <w:t>INSERT</w:t>
            </w:r>
            <w:r>
              <w:rPr>
                <w:b w:val="0"/>
                <w:i w:val="0"/>
                <w:sz w:val="14"/>
              </w:rPr>
              <w:t xml:space="preserve"> con la clave pública debe ser rechazado.</w:t>
            </w:r>
          </w:p>
        </w:tc>
      </w:tr>
      <w:tr>
        <w:tc>
          <w:tcPr>
            <w:tcW w:type="dxa" w:w="567"/>
          </w:tcPr>
          <w:p>
            <w:pPr>
              <w:spacing w:after="40" w:before="40"/>
              <w:jc w:val="left"/>
            </w:pPr>
            <w:r>
              <w:rPr>
                <w:b w:val="0"/>
                <w:i w:val="0"/>
                <w:sz w:val="14"/>
              </w:rPr>
              <w:t>RNF2</w:t>
            </w:r>
          </w:p>
        </w:tc>
        <w:tc>
          <w:tcPr>
            <w:tcW w:type="dxa" w:w="1644"/>
          </w:tcPr>
          <w:p>
            <w:pPr>
              <w:spacing w:after="40" w:before="40"/>
              <w:jc w:val="left"/>
            </w:pPr>
            <w:r>
              <w:rPr>
                <w:b w:val="0"/>
                <w:i w:val="0"/>
                <w:sz w:val="14"/>
              </w:rPr>
              <w:t>Seguridad</w:t>
            </w:r>
          </w:p>
        </w:tc>
        <w:tc>
          <w:tcPr>
            <w:tcW w:type="dxa" w:w="3402"/>
          </w:tcPr>
          <w:p>
            <w:pPr>
              <w:spacing w:after="40" w:before="40"/>
              <w:jc w:val="left"/>
            </w:pPr>
            <w:r>
              <w:rPr>
                <w:b w:val="0"/>
                <w:i w:val="0"/>
                <w:sz w:val="14"/>
              </w:rPr>
              <w:t>La aceptación de una propuesta exige un token UUID válido y no reutilizable: ninguna invocación posterior a la primera puede alterar el estado ni emitir una segunda factura.</w:t>
            </w:r>
          </w:p>
        </w:tc>
        <w:tc>
          <w:tcPr>
            <w:tcW w:type="dxa" w:w="3175"/>
          </w:tcPr>
          <w:p>
            <w:pPr>
              <w:spacing w:after="40" w:before="40"/>
              <w:jc w:val="left"/>
            </w:pPr>
            <w:r>
              <w:rPr>
                <w:b w:val="0"/>
                <w:i w:val="0"/>
                <w:sz w:val="14"/>
              </w:rPr>
              <w:t xml:space="preserve">Dos invocaciones secuenciales y dos concurrentes de </w:t>
            </w:r>
            <w:r>
              <w:rPr>
                <w:b w:val="0"/>
                <w:i w:val="0"/>
                <w:sz w:val="14"/>
                <w:rFonts w:ascii="Consolas" w:hAnsi="Consolas" w:cs="Consolas"/>
              </w:rPr>
              <w:t>/lead-acepta</w:t>
            </w:r>
            <w:r>
              <w:rPr>
                <w:b w:val="0"/>
                <w:i w:val="0"/>
                <w:sz w:val="14"/>
              </w:rPr>
              <w:t xml:space="preserve"> con el mismo token. Criterio: exactamente 1 fila en </w:t>
            </w:r>
            <w:r>
              <w:rPr>
                <w:b w:val="0"/>
                <w:i w:val="0"/>
                <w:sz w:val="14"/>
                <w:rFonts w:ascii="Consolas" w:hAnsi="Consolas" w:cs="Consolas"/>
              </w:rPr>
              <w:t>facturas</w:t>
            </w:r>
            <w:r>
              <w:rPr>
                <w:b w:val="0"/>
                <w:i w:val="0"/>
                <w:sz w:val="14"/>
              </w:rPr>
              <w:t xml:space="preserve"> para ese </w:t>
            </w:r>
            <w:r>
              <w:rPr>
                <w:b w:val="0"/>
                <w:i w:val="0"/>
                <w:sz w:val="14"/>
                <w:rFonts w:ascii="Consolas" w:hAnsi="Consolas" w:cs="Consolas"/>
              </w:rPr>
              <w:t>lead_id</w:t>
            </w:r>
            <w:r>
              <w:rPr>
                <w:b w:val="0"/>
                <w:i w:val="0"/>
                <w:sz w:val="14"/>
              </w:rPr>
              <w:t>.</w:t>
            </w:r>
          </w:p>
        </w:tc>
      </w:tr>
      <w:tr>
        <w:tc>
          <w:tcPr>
            <w:tcW w:type="dxa" w:w="567"/>
          </w:tcPr>
          <w:p>
            <w:pPr>
              <w:spacing w:after="40" w:before="40"/>
              <w:jc w:val="left"/>
            </w:pPr>
            <w:r>
              <w:rPr>
                <w:b w:val="0"/>
                <w:i w:val="0"/>
                <w:sz w:val="14"/>
              </w:rPr>
              <w:t>RNF3</w:t>
            </w:r>
          </w:p>
        </w:tc>
        <w:tc>
          <w:tcPr>
            <w:tcW w:type="dxa" w:w="1644"/>
          </w:tcPr>
          <w:p>
            <w:pPr>
              <w:spacing w:after="40" w:before="40"/>
              <w:jc w:val="left"/>
            </w:pPr>
            <w:r>
              <w:rPr>
                <w:b w:val="0"/>
                <w:i w:val="0"/>
                <w:sz w:val="14"/>
              </w:rPr>
              <w:t>Fiabilidad</w:t>
            </w:r>
          </w:p>
        </w:tc>
        <w:tc>
          <w:tcPr>
            <w:tcW w:type="dxa" w:w="3402"/>
          </w:tcPr>
          <w:p>
            <w:pPr>
              <w:spacing w:after="40" w:before="40"/>
              <w:jc w:val="left"/>
            </w:pPr>
            <w:r>
              <w:rPr>
                <w:b w:val="0"/>
                <w:i w:val="0"/>
                <w:sz w:val="14"/>
              </w:rPr>
              <w:t xml:space="preserve">Ante datos inválidos, el flujo se detiene sin persistir el lead y deja un registro en </w:t>
            </w:r>
            <w:r>
              <w:rPr>
                <w:b w:val="0"/>
                <w:i w:val="0"/>
                <w:sz w:val="14"/>
                <w:rFonts w:ascii="Consolas" w:hAnsi="Consolas" w:cs="Consolas"/>
              </w:rPr>
              <w:t>logs</w:t>
            </w:r>
            <w:r>
              <w:rPr>
                <w:b w:val="0"/>
                <w:i w:val="0"/>
                <w:sz w:val="14"/>
              </w:rPr>
              <w:t>. Ante ausencia de variables de entorno, el frontend se construye y despliega sin error.</w:t>
            </w:r>
          </w:p>
        </w:tc>
        <w:tc>
          <w:tcPr>
            <w:tcW w:type="dxa" w:w="3175"/>
          </w:tcPr>
          <w:p>
            <w:pPr>
              <w:spacing w:after="40" w:before="40"/>
              <w:jc w:val="left"/>
            </w:pPr>
            <w:r>
              <w:rPr>
                <w:b w:val="0"/>
                <w:i w:val="0"/>
                <w:sz w:val="14"/>
              </w:rPr>
              <w:t xml:space="preserve">Tres entradas inválidas. Criterio: 0 filas nuevas en </w:t>
            </w:r>
            <w:r>
              <w:rPr>
                <w:b w:val="0"/>
                <w:i w:val="0"/>
                <w:sz w:val="14"/>
                <w:rFonts w:ascii="Consolas" w:hAnsi="Consolas" w:cs="Consolas"/>
              </w:rPr>
              <w:t>leads</w:t>
            </w:r>
            <w:r>
              <w:rPr>
                <w:b w:val="0"/>
                <w:i w:val="0"/>
                <w:sz w:val="14"/>
              </w:rPr>
              <w:t xml:space="preserve"> y 3 filas nuevas en </w:t>
            </w:r>
            <w:r>
              <w:rPr>
                <w:b w:val="0"/>
                <w:i w:val="0"/>
                <w:sz w:val="14"/>
                <w:rFonts w:ascii="Consolas" w:hAnsi="Consolas" w:cs="Consolas"/>
              </w:rPr>
              <w:t>logs</w:t>
            </w:r>
            <w:r>
              <w:rPr>
                <w:b w:val="0"/>
                <w:i w:val="0"/>
                <w:sz w:val="14"/>
              </w:rPr>
              <w:t>. Construcción sin variables de entorno: código de salida 0.</w:t>
            </w:r>
          </w:p>
        </w:tc>
      </w:tr>
      <w:tr>
        <w:tc>
          <w:tcPr>
            <w:tcW w:type="dxa" w:w="567"/>
          </w:tcPr>
          <w:p>
            <w:pPr>
              <w:spacing w:after="40" w:before="40"/>
              <w:jc w:val="left"/>
            </w:pPr>
            <w:r>
              <w:rPr>
                <w:b w:val="0"/>
                <w:i w:val="0"/>
                <w:sz w:val="14"/>
              </w:rPr>
              <w:t>RNF4</w:t>
            </w:r>
          </w:p>
        </w:tc>
        <w:tc>
          <w:tcPr>
            <w:tcW w:type="dxa" w:w="1644"/>
          </w:tcPr>
          <w:p>
            <w:pPr>
              <w:spacing w:after="40" w:before="40"/>
              <w:jc w:val="left"/>
            </w:pPr>
            <w:r>
              <w:rPr>
                <w:b w:val="0"/>
                <w:i w:val="0"/>
                <w:sz w:val="14"/>
              </w:rPr>
              <w:t>Mantenibilidad</w:t>
            </w:r>
          </w:p>
        </w:tc>
        <w:tc>
          <w:tcPr>
            <w:tcW w:type="dxa" w:w="3402"/>
          </w:tcPr>
          <w:p>
            <w:pPr>
              <w:spacing w:after="40" w:before="40"/>
              <w:jc w:val="left"/>
            </w:pPr>
            <w:r>
              <w:rPr>
                <w:b w:val="0"/>
                <w:i w:val="0"/>
                <w:sz w:val="14"/>
              </w:rPr>
              <w:t>Ningún componente del frontend escribe en las tablas de negocio: la totalidad de las escrituras se origina en el motor de orquestación.</w:t>
            </w:r>
          </w:p>
        </w:tc>
        <w:tc>
          <w:tcPr>
            <w:tcW w:type="dxa" w:w="3175"/>
          </w:tcPr>
          <w:p>
            <w:pPr>
              <w:spacing w:after="40" w:before="40"/>
              <w:jc w:val="left"/>
            </w:pPr>
            <w:r>
              <w:rPr>
                <w:b w:val="0"/>
                <w:i w:val="0"/>
                <w:sz w:val="14"/>
              </w:rPr>
              <w:t xml:space="preserve">Inspección estática del directorio </w:t>
            </w:r>
            <w:r>
              <w:rPr>
                <w:b w:val="0"/>
                <w:i w:val="0"/>
                <w:sz w:val="14"/>
                <w:rFonts w:ascii="Consolas" w:hAnsi="Consolas" w:cs="Consolas"/>
              </w:rPr>
              <w:t>src/</w:t>
            </w:r>
            <w:r>
              <w:rPr>
                <w:b w:val="0"/>
                <w:i w:val="0"/>
                <w:sz w:val="14"/>
              </w:rPr>
              <w:t xml:space="preserve">. Criterio: 0 llamadas a </w:t>
            </w:r>
            <w:r>
              <w:rPr>
                <w:b w:val="0"/>
                <w:i w:val="0"/>
                <w:sz w:val="14"/>
                <w:rFonts w:ascii="Consolas" w:hAnsi="Consolas" w:cs="Consolas"/>
              </w:rPr>
              <w:t>insert</w:t>
            </w:r>
            <w:r>
              <w:rPr>
                <w:b w:val="0"/>
                <w:i w:val="0"/>
                <w:sz w:val="14"/>
              </w:rPr>
              <w:t xml:space="preserve">, </w:t>
            </w:r>
            <w:r>
              <w:rPr>
                <w:b w:val="0"/>
                <w:i w:val="0"/>
                <w:sz w:val="14"/>
                <w:rFonts w:ascii="Consolas" w:hAnsi="Consolas" w:cs="Consolas"/>
              </w:rPr>
              <w:t>update</w:t>
            </w:r>
            <w:r>
              <w:rPr>
                <w:b w:val="0"/>
                <w:i w:val="0"/>
                <w:sz w:val="14"/>
              </w:rPr>
              <w:t xml:space="preserve">, </w:t>
            </w:r>
            <w:r>
              <w:rPr>
                <w:b w:val="0"/>
                <w:i w:val="0"/>
                <w:sz w:val="14"/>
                <w:rFonts w:ascii="Consolas" w:hAnsi="Consolas" w:cs="Consolas"/>
              </w:rPr>
              <w:t>upsert</w:t>
            </w:r>
            <w:r>
              <w:rPr>
                <w:b w:val="0"/>
                <w:i w:val="0"/>
                <w:sz w:val="14"/>
              </w:rPr>
              <w:t xml:space="preserve"> o </w:t>
            </w:r>
            <w:r>
              <w:rPr>
                <w:b w:val="0"/>
                <w:i w:val="0"/>
                <w:sz w:val="14"/>
                <w:rFonts w:ascii="Consolas" w:hAnsi="Consolas" w:cs="Consolas"/>
              </w:rPr>
              <w:t>delete</w:t>
            </w:r>
            <w:r>
              <w:rPr>
                <w:b w:val="0"/>
                <w:i w:val="0"/>
                <w:sz w:val="14"/>
              </w:rPr>
              <w:t xml:space="preserve"> sobre tablas de negocio.</w:t>
            </w:r>
          </w:p>
        </w:tc>
      </w:tr>
      <w:tr>
        <w:tc>
          <w:tcPr>
            <w:tcW w:type="dxa" w:w="567"/>
          </w:tcPr>
          <w:p>
            <w:pPr>
              <w:spacing w:after="40" w:before="40"/>
              <w:jc w:val="left"/>
            </w:pPr>
            <w:r>
              <w:rPr>
                <w:b w:val="0"/>
                <w:i w:val="0"/>
                <w:sz w:val="14"/>
              </w:rPr>
              <w:t>RNF5</w:t>
            </w:r>
          </w:p>
        </w:tc>
        <w:tc>
          <w:tcPr>
            <w:tcW w:type="dxa" w:w="1644"/>
          </w:tcPr>
          <w:p>
            <w:pPr>
              <w:spacing w:after="40" w:before="40"/>
              <w:jc w:val="left"/>
            </w:pPr>
            <w:r>
              <w:rPr>
                <w:b w:val="0"/>
                <w:i w:val="0"/>
                <w:sz w:val="14"/>
              </w:rPr>
              <w:t>Capacidad de interacción</w:t>
            </w:r>
          </w:p>
          <w:p>
            <w:pPr>
              <w:spacing w:after="40" w:before="0"/>
            </w:pPr>
            <w:r>
              <w:rPr>
                <w:b w:val="0"/>
                <w:i w:val="0"/>
                <w:sz w:val="14"/>
              </w:rPr>
              <w:t>(antes «Usabilidad»)</w:t>
            </w:r>
          </w:p>
        </w:tc>
        <w:tc>
          <w:tcPr>
            <w:tcW w:type="dxa" w:w="3402"/>
          </w:tcPr>
          <w:p>
            <w:pPr>
              <w:spacing w:after="40" w:before="40"/>
              <w:jc w:val="left"/>
            </w:pPr>
            <w:r>
              <w:rPr>
                <w:b w:val="0"/>
                <w:i w:val="0"/>
                <w:sz w:val="14"/>
              </w:rPr>
              <w:t>La interfaz se presenta sin desborde horizontal en anchos de 360 a 1920 px y el 100 % de los códigos de error de autenticación devueltos por la plataforma se muestra traducido al español.</w:t>
            </w:r>
          </w:p>
        </w:tc>
        <w:tc>
          <w:tcPr>
            <w:tcW w:type="dxa" w:w="3175"/>
          </w:tcPr>
          <w:p>
            <w:pPr>
              <w:spacing w:after="40" w:before="40"/>
              <w:jc w:val="left"/>
            </w:pPr>
            <w:r>
              <w:rPr>
                <w:b w:val="0"/>
                <w:i w:val="0"/>
                <w:sz w:val="14"/>
              </w:rPr>
              <w:t xml:space="preserve">Revisión en tres anchos (360, 768 y 1440 px). Recuento de códigos cubiertos por </w:t>
            </w:r>
            <w:r>
              <w:rPr>
                <w:b w:val="0"/>
                <w:i w:val="0"/>
                <w:sz w:val="14"/>
                <w:rFonts w:ascii="Consolas" w:hAnsi="Consolas" w:cs="Consolas"/>
              </w:rPr>
              <w:t>translateAuthError</w:t>
            </w:r>
            <w:r>
              <w:rPr>
                <w:b w:val="0"/>
                <w:i w:val="0"/>
                <w:sz w:val="14"/>
              </w:rPr>
              <w:t xml:space="preserve"> sobre el total de códigos posibles.</w:t>
            </w:r>
          </w:p>
        </w:tc>
      </w:tr>
      <w:tr>
        <w:tc>
          <w:tcPr>
            <w:tcW w:type="dxa" w:w="567"/>
          </w:tcPr>
          <w:p>
            <w:pPr>
              <w:spacing w:after="40" w:before="40"/>
              <w:jc w:val="left"/>
            </w:pPr>
            <w:r>
              <w:rPr>
                <w:b w:val="0"/>
                <w:i w:val="0"/>
                <w:sz w:val="14"/>
              </w:rPr>
              <w:t>RNF6</w:t>
            </w:r>
          </w:p>
        </w:tc>
        <w:tc>
          <w:tcPr>
            <w:tcW w:type="dxa" w:w="1644"/>
          </w:tcPr>
          <w:p>
            <w:pPr>
              <w:spacing w:after="40" w:before="40"/>
              <w:jc w:val="left"/>
            </w:pPr>
            <w:r>
              <w:rPr>
                <w:b w:val="0"/>
                <w:i w:val="0"/>
                <w:sz w:val="14"/>
              </w:rPr>
              <w:t>Eficiencia de desempeño</w:t>
            </w:r>
          </w:p>
        </w:tc>
        <w:tc>
          <w:tcPr>
            <w:tcW w:type="dxa" w:w="3402"/>
          </w:tcPr>
          <w:p>
            <w:pPr>
              <w:spacing w:after="40" w:before="40"/>
              <w:jc w:val="left"/>
            </w:pPr>
            <w:r>
              <w:rPr>
                <w:b w:val="0"/>
                <w:i w:val="0"/>
                <w:sz w:val="14"/>
              </w:rPr>
              <w:t>El tablero refleja el alta de un lead en menos de 3 segundos desde su confirmación en la base de datos, sin recarga manual, en el percentil 95.</w:t>
            </w:r>
          </w:p>
        </w:tc>
        <w:tc>
          <w:tcPr>
            <w:tcW w:type="dxa" w:w="3175"/>
          </w:tcPr>
          <w:p>
            <w:pPr>
              <w:spacing w:after="40" w:before="40"/>
              <w:jc w:val="left"/>
            </w:pPr>
            <w:r>
              <w:rPr>
                <w:b w:val="0"/>
                <w:i w:val="0"/>
                <w:sz w:val="14"/>
              </w:rPr>
              <w:t xml:space="preserve">20 altas consecutivas con el tablero abierto, midiendo el intervalo entre </w:t>
            </w:r>
            <w:r>
              <w:rPr>
                <w:b w:val="0"/>
                <w:i w:val="0"/>
                <w:sz w:val="14"/>
                <w:rFonts w:ascii="Consolas" w:hAnsi="Consolas" w:cs="Consolas"/>
              </w:rPr>
              <w:t>fecha_ingreso</w:t>
            </w:r>
            <w:r>
              <w:rPr>
                <w:b w:val="0"/>
                <w:i w:val="0"/>
                <w:sz w:val="14"/>
              </w:rPr>
              <w:t xml:space="preserve"> y el repintado de la fila.</w:t>
            </w:r>
          </w:p>
        </w:tc>
      </w:tr>
      <w:tr>
        <w:tc>
          <w:tcPr>
            <w:tcW w:type="dxa" w:w="567"/>
          </w:tcPr>
          <w:p>
            <w:pPr>
              <w:spacing w:after="40" w:before="40"/>
              <w:jc w:val="left"/>
            </w:pPr>
            <w:r>
              <w:rPr>
                <w:b w:val="0"/>
                <w:i w:val="0"/>
                <w:sz w:val="14"/>
              </w:rPr>
              <w:t>RNF7</w:t>
            </w:r>
          </w:p>
        </w:tc>
        <w:tc>
          <w:tcPr>
            <w:tcW w:type="dxa" w:w="1644"/>
          </w:tcPr>
          <w:p>
            <w:pPr>
              <w:spacing w:after="40" w:before="40"/>
              <w:jc w:val="left"/>
            </w:pPr>
            <w:r>
              <w:rPr>
                <w:b w:val="0"/>
                <w:i w:val="0"/>
                <w:sz w:val="14"/>
              </w:rPr>
              <w:t>Flexibilidad</w:t>
            </w:r>
          </w:p>
          <w:p>
            <w:pPr>
              <w:spacing w:after="40" w:before="0"/>
            </w:pPr>
            <w:r>
              <w:rPr>
                <w:b w:val="0"/>
                <w:i w:val="0"/>
                <w:sz w:val="14"/>
              </w:rPr>
              <w:t>(antes «Portabilidad»)</w:t>
            </w:r>
          </w:p>
        </w:tc>
        <w:tc>
          <w:tcPr>
            <w:tcW w:type="dxa" w:w="3402"/>
          </w:tcPr>
          <w:p>
            <w:pPr>
              <w:spacing w:after="40" w:before="40"/>
              <w:jc w:val="left"/>
            </w:pPr>
            <w:r>
              <w:rPr>
                <w:b w:val="0"/>
                <w:i w:val="0"/>
                <w:sz w:val="14"/>
              </w:rPr>
              <w:t xml:space="preserve">El motor de orquestación y el conversor de documentos se levantan en un entorno nuevo mediante </w:t>
            </w:r>
            <w:r>
              <w:rPr>
                <w:b w:val="0"/>
                <w:i w:val="0"/>
                <w:sz w:val="14"/>
                <w:rFonts w:ascii="Consolas" w:hAnsi="Consolas" w:cs="Consolas"/>
              </w:rPr>
              <w:t>docker compose up -d</w:t>
            </w:r>
            <w:r>
              <w:rPr>
                <w:b w:val="0"/>
                <w:i w:val="0"/>
                <w:sz w:val="14"/>
              </w:rPr>
              <w:t>, sin editar código fuente.</w:t>
            </w:r>
          </w:p>
        </w:tc>
        <w:tc>
          <w:tcPr>
            <w:tcW w:type="dxa" w:w="3175"/>
          </w:tcPr>
          <w:p>
            <w:pPr>
              <w:spacing w:after="40" w:before="40"/>
              <w:jc w:val="left"/>
            </w:pPr>
            <w:r>
              <w:rPr>
                <w:b w:val="0"/>
                <w:i w:val="0"/>
                <w:sz w:val="14"/>
              </w:rPr>
              <w:t>Puesta en marcha desde cero en una máquina limpia con Docker instalado. Criterio: primer webhook operativo sin modificar archivos versionados.</w:t>
            </w:r>
          </w:p>
        </w:tc>
      </w:tr>
    </w:tbl>
    <w:p>
      <w:pPr/>
      <w:r>
        <w:rPr>
          <w:b w:val="0"/>
          <w:i/>
          <w:sz w:val="15"/>
        </w:rPr>
        <w:t>Nota. Elaboración propia sobre las características de calidad de ISO/IEC 25010:2023.</w:t>
      </w:r>
    </w:p>
    <w:p w:rsidR="00D60FC7" w:rsidRDefault="00D60FC7"/>
    <w:p w:rsidR="00D60FC7" w:rsidRDefault="00000000">
      <w:pPr>
        <w:pStyle w:val="Ttulo2"/>
      </w:pPr>
      <w:bookmarkStart w:id="26" w:name="_Toc233808432"/>
      <w:r>
        <w:t>3.6 Herramientas y tecnologías</w:t>
      </w:r>
      <w:bookmarkEnd w:id="26"/>
    </w:p>
    <w:p w:rsidR="00D60FC7" w:rsidRDefault="00000000">
      <w:r>
        <w:rPr>
          <w:b w:val="0"/>
          <w:i w:val="0"/>
        </w:rPr>
        <w:t xml:space="preserve">La Tabla 3 detalla las herramientas empleadas, su versión y su función en el trabajo. Las versiones del frontend se tomaron de </w:t>
      </w:r>
      <w:r>
        <w:rPr>
          <w:rFonts w:ascii="Consolas" w:hAnsi="Consolas" w:cs="Consolas"/>
          <w:b w:val="0"/>
          <w:i w:val="0"/>
        </w:rPr>
        <w:t>package.json</w:t>
      </w:r>
      <w:r>
        <w:rPr>
          <w:b w:val="0"/>
          <w:i w:val="0"/>
        </w:rPr>
        <w:t xml:space="preserve">; las de la capa de orquestación y del conversor de documentos, de </w:t>
      </w:r>
      <w:r>
        <w:rPr>
          <w:rFonts w:ascii="Consolas" w:hAnsi="Consolas" w:cs="Consolas"/>
          <w:b w:val="0"/>
          <w:i w:val="0"/>
        </w:rPr>
        <w:t>docker-compose.yml</w:t>
      </w:r>
      <w:r>
        <w:rPr>
          <w:b w:val="0"/>
          <w:i w:val="0"/>
        </w:rPr>
        <w:t xml:space="preserve">; la de la API de Notion, de la cabecera </w:t>
      </w:r>
      <w:r>
        <w:rPr>
          <w:rFonts w:ascii="Consolas" w:hAnsi="Consolas" w:cs="Consolas"/>
          <w:b w:val="0"/>
          <w:i w:val="0"/>
        </w:rPr>
        <w:t>Notion-Version</w:t>
      </w:r>
      <w:r>
        <w:rPr>
          <w:b w:val="0"/>
          <w:i w:val="0"/>
        </w:rPr>
        <w:t xml:space="preserve"> que envían los nodos HTTP del flujo. Consignar el origen de cada dato permite que un tercero verifique la reproducibilidad sin depender de la memoria de los autores.</w:t>
      </w:r>
    </w:p>
    <w:p w:rsidR="00D60FC7" w:rsidRDefault="00000000">
      <w:pPr>
        <w:spacing w:after="120" w:line="240" w:lineRule="auto"/>
        <w:jc w:val="center"/>
      </w:pPr>
      <w:r>
        <w:rPr>
          <w:sz w:val="20"/>
          <w:szCs w:val="20"/>
        </w:rPr>
        <w:t>Tabla 3. Herramientas y tecnologías utilizadas</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5000" w:type="pct"/>
      </w:tblPr>
      <w:tblGrid>
        <w:gridCol w:w="2197"/>
        <w:gridCol w:w="2197"/>
        <w:gridCol w:w="2197"/>
        <w:gridCol w:w="2197"/>
      </w:tblGrid>
      <w:tr>
        <w:trPr>
          <w:tblHeader/>
        </w:trPr>
        <w:tc>
          <w:tcPr>
            <w:tcW w:type="dxa" w:w="1757"/>
            <w:shd w:val="clear" w:color="auto" w:fill="1F2937"/>
          </w:tcPr>
          <w:p>
            <w:pPr>
              <w:spacing w:after="40" w:before="40"/>
              <w:jc w:val="left"/>
            </w:pPr>
            <w:r>
              <w:rPr>
                <w:b/>
                <w:i w:val="0"/>
                <w:color w:val="FFFFFF"/>
                <w:sz w:val="14"/>
              </w:rPr>
              <w:t>Herramienta</w:t>
            </w:r>
          </w:p>
        </w:tc>
        <w:tc>
          <w:tcPr>
            <w:tcW w:type="dxa" w:w="1871"/>
            <w:shd w:val="clear" w:color="auto" w:fill="1F2937"/>
          </w:tcPr>
          <w:p>
            <w:pPr>
              <w:spacing w:after="40" w:before="40"/>
              <w:jc w:val="left"/>
            </w:pPr>
            <w:r>
              <w:rPr>
                <w:b/>
                <w:i w:val="0"/>
                <w:color w:val="FFFFFF"/>
                <w:sz w:val="14"/>
              </w:rPr>
              <w:t>Versión</w:t>
            </w:r>
          </w:p>
        </w:tc>
        <w:tc>
          <w:tcPr>
            <w:tcW w:type="dxa" w:w="1814"/>
            <w:shd w:val="clear" w:color="auto" w:fill="1F2937"/>
          </w:tcPr>
          <w:p>
            <w:pPr>
              <w:spacing w:after="40" w:before="40"/>
              <w:jc w:val="left"/>
            </w:pPr>
            <w:r>
              <w:rPr>
                <w:b/>
                <w:i w:val="0"/>
                <w:color w:val="FFFFFF"/>
                <w:sz w:val="14"/>
              </w:rPr>
              <w:t>Origen del dato</w:t>
            </w:r>
          </w:p>
        </w:tc>
        <w:tc>
          <w:tcPr>
            <w:tcW w:type="dxa" w:w="3345"/>
            <w:shd w:val="clear" w:color="auto" w:fill="1F2937"/>
          </w:tcPr>
          <w:p>
            <w:pPr>
              <w:spacing w:after="40" w:before="40"/>
              <w:jc w:val="left"/>
            </w:pPr>
            <w:r>
              <w:rPr>
                <w:b/>
                <w:i w:val="0"/>
                <w:color w:val="FFFFFF"/>
                <w:sz w:val="14"/>
              </w:rPr>
              <w:t>Función en el proyecto</w:t>
            </w:r>
          </w:p>
        </w:tc>
      </w:tr>
      <w:tr>
        <w:tc>
          <w:tcPr>
            <w:tcW w:type="dxa" w:w="1757"/>
          </w:tcPr>
          <w:p>
            <w:pPr>
              <w:spacing w:after="40" w:before="40"/>
              <w:jc w:val="left"/>
            </w:pPr>
            <w:r>
              <w:rPr>
                <w:b w:val="0"/>
                <w:i w:val="0"/>
                <w:sz w:val="14"/>
              </w:rPr>
              <w:t>Next.js</w:t>
            </w:r>
          </w:p>
        </w:tc>
        <w:tc>
          <w:tcPr>
            <w:tcW w:type="dxa" w:w="1871"/>
          </w:tcPr>
          <w:p>
            <w:pPr>
              <w:spacing w:after="40" w:before="40"/>
              <w:jc w:val="left"/>
            </w:pPr>
            <w:r>
              <w:rPr>
                <w:b w:val="0"/>
                <w:i w:val="0"/>
                <w:sz w:val="14"/>
              </w:rPr>
              <w:t>16.2.2</w:t>
            </w:r>
          </w:p>
        </w:tc>
        <w:tc>
          <w:tcPr>
            <w:tcW w:type="dxa" w:w="1814"/>
          </w:tcPr>
          <w:p>
            <w:pPr>
              <w:spacing w:after="40" w:before="40"/>
              <w:jc w:val="left"/>
            </w:pPr>
            <w:r>
              <w:rPr>
                <w:b w:val="0"/>
                <w:i w:val="0"/>
                <w:sz w:val="14"/>
                <w:rFonts w:ascii="Consolas" w:hAnsi="Consolas" w:cs="Consolas"/>
              </w:rPr>
              <w:t>package.json</w:t>
            </w:r>
          </w:p>
        </w:tc>
        <w:tc>
          <w:tcPr>
            <w:tcW w:type="dxa" w:w="3345"/>
          </w:tcPr>
          <w:p>
            <w:pPr>
              <w:spacing w:after="40" w:before="40"/>
              <w:jc w:val="left"/>
            </w:pPr>
            <w:r>
              <w:rPr>
                <w:b w:val="0"/>
                <w:i w:val="0"/>
                <w:sz w:val="14"/>
              </w:rPr>
              <w:t>Framework del frontend (App Router, React Server Components).</w:t>
            </w:r>
          </w:p>
        </w:tc>
      </w:tr>
      <w:tr>
        <w:tc>
          <w:tcPr>
            <w:tcW w:type="dxa" w:w="1757"/>
          </w:tcPr>
          <w:p>
            <w:pPr>
              <w:spacing w:after="40" w:before="40"/>
              <w:jc w:val="left"/>
            </w:pPr>
            <w:r>
              <w:rPr>
                <w:b w:val="0"/>
                <w:i w:val="0"/>
                <w:sz w:val="14"/>
              </w:rPr>
              <w:t>React</w:t>
            </w:r>
          </w:p>
        </w:tc>
        <w:tc>
          <w:tcPr>
            <w:tcW w:type="dxa" w:w="1871"/>
          </w:tcPr>
          <w:p>
            <w:pPr>
              <w:spacing w:after="40" w:before="40"/>
              <w:jc w:val="left"/>
            </w:pPr>
            <w:r>
              <w:rPr>
                <w:b w:val="0"/>
                <w:i w:val="0"/>
                <w:sz w:val="14"/>
              </w:rPr>
              <w:t>19.2.0</w:t>
            </w:r>
          </w:p>
        </w:tc>
        <w:tc>
          <w:tcPr>
            <w:tcW w:type="dxa" w:w="1814"/>
          </w:tcPr>
          <w:p>
            <w:pPr>
              <w:spacing w:after="40" w:before="40"/>
              <w:jc w:val="left"/>
            </w:pPr>
            <w:r>
              <w:rPr>
                <w:b w:val="0"/>
                <w:i w:val="0"/>
                <w:sz w:val="14"/>
                <w:rFonts w:ascii="Consolas" w:hAnsi="Consolas" w:cs="Consolas"/>
              </w:rPr>
              <w:t>package.json</w:t>
            </w:r>
          </w:p>
        </w:tc>
        <w:tc>
          <w:tcPr>
            <w:tcW w:type="dxa" w:w="3345"/>
          </w:tcPr>
          <w:p>
            <w:pPr>
              <w:spacing w:after="40" w:before="40"/>
              <w:jc w:val="left"/>
            </w:pPr>
            <w:r>
              <w:rPr>
                <w:b w:val="0"/>
                <w:i w:val="0"/>
                <w:sz w:val="14"/>
              </w:rPr>
              <w:t>Biblioteca de interfaz de usuario.</w:t>
            </w:r>
          </w:p>
        </w:tc>
      </w:tr>
      <w:tr>
        <w:tc>
          <w:tcPr>
            <w:tcW w:type="dxa" w:w="1757"/>
          </w:tcPr>
          <w:p>
            <w:pPr>
              <w:spacing w:after="40" w:before="40"/>
              <w:jc w:val="left"/>
            </w:pPr>
            <w:r>
              <w:rPr>
                <w:b w:val="0"/>
                <w:i w:val="0"/>
                <w:sz w:val="14"/>
              </w:rPr>
              <w:t>TypeScript</w:t>
            </w:r>
          </w:p>
        </w:tc>
        <w:tc>
          <w:tcPr>
            <w:tcW w:type="dxa" w:w="1871"/>
          </w:tcPr>
          <w:p>
            <w:pPr>
              <w:spacing w:after="40" w:before="40"/>
              <w:jc w:val="left"/>
            </w:pPr>
            <w:r>
              <w:rPr>
                <w:b w:val="0"/>
                <w:i w:val="0"/>
                <w:sz w:val="14"/>
              </w:rPr>
              <w:t>5.9.3</w:t>
            </w:r>
          </w:p>
        </w:tc>
        <w:tc>
          <w:tcPr>
            <w:tcW w:type="dxa" w:w="1814"/>
          </w:tcPr>
          <w:p>
            <w:pPr>
              <w:spacing w:after="40" w:before="40"/>
              <w:jc w:val="left"/>
            </w:pPr>
            <w:r>
              <w:rPr>
                <w:b w:val="0"/>
                <w:i w:val="0"/>
                <w:sz w:val="14"/>
                <w:rFonts w:ascii="Consolas" w:hAnsi="Consolas" w:cs="Consolas"/>
              </w:rPr>
              <w:t>package.json</w:t>
            </w:r>
          </w:p>
        </w:tc>
        <w:tc>
          <w:tcPr>
            <w:tcW w:type="dxa" w:w="3345"/>
          </w:tcPr>
          <w:p>
            <w:pPr>
              <w:spacing w:after="40" w:before="40"/>
              <w:jc w:val="left"/>
            </w:pPr>
            <w:r>
              <w:rPr>
                <w:b w:val="0"/>
                <w:i w:val="0"/>
                <w:sz w:val="14"/>
              </w:rPr>
              <w:t>Lenguaje tipado del frontend.</w:t>
            </w:r>
          </w:p>
        </w:tc>
      </w:tr>
      <w:tr>
        <w:tc>
          <w:tcPr>
            <w:tcW w:type="dxa" w:w="1757"/>
          </w:tcPr>
          <w:p>
            <w:pPr>
              <w:spacing w:after="40" w:before="40"/>
              <w:jc w:val="left"/>
            </w:pPr>
            <w:r>
              <w:rPr>
                <w:b w:val="0"/>
                <w:i w:val="0"/>
                <w:sz w:val="14"/>
              </w:rPr>
              <w:t>Tailwind CSS</w:t>
            </w:r>
          </w:p>
        </w:tc>
        <w:tc>
          <w:tcPr>
            <w:tcW w:type="dxa" w:w="1871"/>
          </w:tcPr>
          <w:p>
            <w:pPr>
              <w:spacing w:after="40" w:before="40"/>
              <w:jc w:val="left"/>
            </w:pPr>
            <w:r>
              <w:rPr>
                <w:b w:val="0"/>
                <w:i w:val="0"/>
                <w:sz w:val="14"/>
              </w:rPr>
              <w:t>4.1.16</w:t>
            </w:r>
          </w:p>
        </w:tc>
        <w:tc>
          <w:tcPr>
            <w:tcW w:type="dxa" w:w="1814"/>
          </w:tcPr>
          <w:p>
            <w:pPr>
              <w:spacing w:after="40" w:before="40"/>
              <w:jc w:val="left"/>
            </w:pPr>
            <w:r>
              <w:rPr>
                <w:b w:val="0"/>
                <w:i w:val="0"/>
                <w:sz w:val="14"/>
                <w:rFonts w:ascii="Consolas" w:hAnsi="Consolas" w:cs="Consolas"/>
              </w:rPr>
              <w:t>package.json</w:t>
            </w:r>
          </w:p>
        </w:tc>
        <w:tc>
          <w:tcPr>
            <w:tcW w:type="dxa" w:w="3345"/>
          </w:tcPr>
          <w:p>
            <w:pPr>
              <w:spacing w:after="40" w:before="40"/>
              <w:jc w:val="left"/>
            </w:pPr>
            <w:r>
              <w:rPr>
                <w:b w:val="0"/>
                <w:i w:val="0"/>
                <w:sz w:val="14"/>
              </w:rPr>
              <w:t>Framework de estilos utilitario.</w:t>
            </w:r>
          </w:p>
        </w:tc>
      </w:tr>
      <w:tr>
        <w:tc>
          <w:tcPr>
            <w:tcW w:type="dxa" w:w="1757"/>
          </w:tcPr>
          <w:p>
            <w:pPr>
              <w:spacing w:after="40" w:before="40"/>
              <w:jc w:val="left"/>
            </w:pPr>
            <w:r>
              <w:rPr>
                <w:b w:val="0"/>
                <w:i w:val="0"/>
                <w:sz w:val="14"/>
              </w:rPr>
              <w:t>@supabase/ssr</w:t>
            </w:r>
          </w:p>
        </w:tc>
        <w:tc>
          <w:tcPr>
            <w:tcW w:type="dxa" w:w="1871"/>
          </w:tcPr>
          <w:p>
            <w:pPr>
              <w:spacing w:after="40" w:before="40"/>
              <w:jc w:val="left"/>
            </w:pPr>
            <w:r>
              <w:rPr>
                <w:b w:val="0"/>
                <w:i w:val="0"/>
                <w:sz w:val="14"/>
              </w:rPr>
              <w:t>0.12.0</w:t>
            </w:r>
          </w:p>
        </w:tc>
        <w:tc>
          <w:tcPr>
            <w:tcW w:type="dxa" w:w="1814"/>
          </w:tcPr>
          <w:p>
            <w:pPr>
              <w:spacing w:after="40" w:before="40"/>
              <w:jc w:val="left"/>
            </w:pPr>
            <w:r>
              <w:rPr>
                <w:b w:val="0"/>
                <w:i w:val="0"/>
                <w:sz w:val="14"/>
                <w:rFonts w:ascii="Consolas" w:hAnsi="Consolas" w:cs="Consolas"/>
              </w:rPr>
              <w:t>package.json</w:t>
            </w:r>
          </w:p>
        </w:tc>
        <w:tc>
          <w:tcPr>
            <w:tcW w:type="dxa" w:w="3345"/>
          </w:tcPr>
          <w:p>
            <w:pPr>
              <w:spacing w:after="40" w:before="40"/>
              <w:jc w:val="left"/>
            </w:pPr>
            <w:r>
              <w:rPr>
                <w:b w:val="0"/>
                <w:i w:val="0"/>
                <w:sz w:val="14"/>
              </w:rPr>
              <w:t>Clientes de Supabase para renderizado en servidor y gestión de sesión por cookies.</w:t>
            </w:r>
          </w:p>
        </w:tc>
      </w:tr>
      <w:tr>
        <w:tc>
          <w:tcPr>
            <w:tcW w:type="dxa" w:w="1757"/>
          </w:tcPr>
          <w:p>
            <w:pPr>
              <w:spacing w:after="40" w:before="40"/>
              <w:jc w:val="left"/>
            </w:pPr>
            <w:r>
              <w:rPr>
                <w:b w:val="0"/>
                <w:i w:val="0"/>
                <w:sz w:val="14"/>
              </w:rPr>
              <w:t>@supabase/supabase-js</w:t>
            </w:r>
          </w:p>
        </w:tc>
        <w:tc>
          <w:tcPr>
            <w:tcW w:type="dxa" w:w="1871"/>
          </w:tcPr>
          <w:p>
            <w:pPr>
              <w:spacing w:after="40" w:before="40"/>
              <w:jc w:val="left"/>
            </w:pPr>
            <w:r>
              <w:rPr>
                <w:b w:val="0"/>
                <w:i w:val="0"/>
                <w:sz w:val="14"/>
              </w:rPr>
              <w:t>2.108.2</w:t>
            </w:r>
          </w:p>
        </w:tc>
        <w:tc>
          <w:tcPr>
            <w:tcW w:type="dxa" w:w="1814"/>
          </w:tcPr>
          <w:p>
            <w:pPr>
              <w:spacing w:after="40" w:before="40"/>
              <w:jc w:val="left"/>
            </w:pPr>
            <w:r>
              <w:rPr>
                <w:b w:val="0"/>
                <w:i w:val="0"/>
                <w:sz w:val="14"/>
                <w:rFonts w:ascii="Consolas" w:hAnsi="Consolas" w:cs="Consolas"/>
              </w:rPr>
              <w:t>package.json</w:t>
            </w:r>
          </w:p>
        </w:tc>
        <w:tc>
          <w:tcPr>
            <w:tcW w:type="dxa" w:w="3345"/>
          </w:tcPr>
          <w:p>
            <w:pPr>
              <w:spacing w:after="40" w:before="40"/>
              <w:jc w:val="left"/>
            </w:pPr>
            <w:r>
              <w:rPr>
                <w:b w:val="0"/>
                <w:i w:val="0"/>
                <w:sz w:val="14"/>
              </w:rPr>
              <w:t>Cliente de datos, autenticación y suscripciones en tiempo real.</w:t>
            </w:r>
          </w:p>
        </w:tc>
      </w:tr>
      <w:tr>
        <w:tc>
          <w:tcPr>
            <w:tcW w:type="dxa" w:w="1757"/>
          </w:tcPr>
          <w:p>
            <w:pPr>
              <w:spacing w:after="40" w:before="40"/>
              <w:jc w:val="left"/>
            </w:pPr>
            <w:r>
              <w:rPr>
                <w:b w:val="0"/>
                <w:i w:val="0"/>
                <w:sz w:val="14"/>
              </w:rPr>
              <w:t>n8n</w:t>
            </w:r>
          </w:p>
        </w:tc>
        <w:tc>
          <w:tcPr>
            <w:tcW w:type="dxa" w:w="1871"/>
          </w:tcPr>
          <w:p>
            <w:pPr>
              <w:spacing w:after="40" w:before="40"/>
              <w:jc w:val="left"/>
            </w:pPr>
            <w:r>
              <w:rPr>
                <w:b w:val="0"/>
                <w:i w:val="0"/>
                <w:sz w:val="14"/>
              </w:rPr>
              <w:t>n8n 2.34.6 (imagen fijada el 17 de agosto de 2026)</w:t>
            </w:r>
            <w:r>
              <w:rPr>
                <w:b w:val="0"/>
                <w:i w:val="0"/>
                <w:sz w:val="14"/>
                <w:rFonts w:ascii="Consolas" w:hAnsi="Consolas" w:cs="Consolas"/>
              </w:rPr>
            </w:r>
          </w:p>
        </w:tc>
        <w:tc>
          <w:tcPr>
            <w:tcW w:type="dxa" w:w="1814"/>
          </w:tcPr>
          <w:p>
            <w:pPr>
              <w:spacing w:after="40" w:before="40"/>
              <w:jc w:val="left"/>
            </w:pPr>
            <w:r>
              <w:rPr>
                <w:b w:val="0"/>
                <w:i w:val="0"/>
                <w:sz w:val="14"/>
                <w:rFonts w:ascii="Consolas" w:hAnsi="Consolas" w:cs="Consolas"/>
              </w:rPr>
              <w:t>docker-compose.yml</w:t>
            </w:r>
          </w:p>
        </w:tc>
        <w:tc>
          <w:tcPr>
            <w:tcW w:type="dxa" w:w="3345"/>
          </w:tcPr>
          <w:p>
            <w:pPr>
              <w:spacing w:after="40" w:before="40"/>
              <w:jc w:val="left"/>
            </w:pPr>
            <w:r>
              <w:rPr>
                <w:b w:val="0"/>
                <w:i w:val="0"/>
                <w:sz w:val="14"/>
              </w:rPr>
              <w:t>Motor de orquestación de flujos de trabajo. Se recomienda levantar el sistema una vez con esta versión y confirmar que el flujo se importa sin errores antes de dar el punto por cerrado.</w:t>
            </w:r>
            <w:r>
              <w:rPr>
                <w:b w:val="0"/>
                <w:i w:val="0"/>
                <w:sz w:val="14"/>
                <w:rFonts w:ascii="Consolas" w:hAnsi="Consolas" w:cs="Consolas"/>
              </w:rPr>
            </w:r>
            <w:r>
              <w:rPr>
                <w:b w:val="0"/>
                <w:i w:val="0"/>
                <w:sz w:val="14"/>
              </w:rPr>
            </w:r>
          </w:p>
        </w:tc>
      </w:tr>
      <w:tr>
        <w:tc>
          <w:tcPr>
            <w:tcW w:type="dxa" w:w="1757"/>
          </w:tcPr>
          <w:p>
            <w:pPr>
              <w:spacing w:after="40" w:before="40"/>
              <w:jc w:val="left"/>
            </w:pPr>
            <w:r>
              <w:rPr>
                <w:b w:val="0"/>
                <w:i w:val="0"/>
                <w:sz w:val="14"/>
              </w:rPr>
              <w:t>Gotenberg</w:t>
            </w:r>
          </w:p>
        </w:tc>
        <w:tc>
          <w:tcPr>
            <w:tcW w:type="dxa" w:w="1871"/>
          </w:tcPr>
          <w:p>
            <w:pPr>
              <w:spacing w:after="40" w:before="40"/>
              <w:jc w:val="left"/>
            </w:pPr>
            <w:r>
              <w:rPr>
                <w:b w:val="0"/>
                <w:i w:val="0"/>
                <w:sz w:val="14"/>
              </w:rPr>
              <w:t>8</w:t>
            </w:r>
          </w:p>
        </w:tc>
        <w:tc>
          <w:tcPr>
            <w:tcW w:type="dxa" w:w="1814"/>
          </w:tcPr>
          <w:p>
            <w:pPr>
              <w:spacing w:after="40" w:before="40"/>
              <w:jc w:val="left"/>
            </w:pPr>
            <w:r>
              <w:rPr>
                <w:b w:val="0"/>
                <w:i w:val="0"/>
                <w:sz w:val="14"/>
                <w:rFonts w:ascii="Consolas" w:hAnsi="Consolas" w:cs="Consolas"/>
              </w:rPr>
              <w:t>docker-compose.yml</w:t>
            </w:r>
          </w:p>
        </w:tc>
        <w:tc>
          <w:tcPr>
            <w:tcW w:type="dxa" w:w="3345"/>
          </w:tcPr>
          <w:p>
            <w:pPr>
              <w:spacing w:after="40" w:before="40"/>
              <w:jc w:val="left"/>
            </w:pPr>
            <w:r>
              <w:rPr>
                <w:b w:val="0"/>
                <w:i w:val="0"/>
                <w:sz w:val="14"/>
              </w:rPr>
              <w:t>Conversión de la factura de HTML a PDF.</w:t>
            </w:r>
          </w:p>
        </w:tc>
      </w:tr>
      <w:tr>
        <w:tc>
          <w:tcPr>
            <w:tcW w:type="dxa" w:w="1757"/>
          </w:tcPr>
          <w:p>
            <w:pPr>
              <w:spacing w:after="40" w:before="40"/>
              <w:jc w:val="left"/>
            </w:pPr>
            <w:r>
              <w:rPr>
                <w:b w:val="0"/>
                <w:i w:val="0"/>
                <w:sz w:val="14"/>
              </w:rPr>
              <w:t>Supabase</w:t>
            </w:r>
          </w:p>
        </w:tc>
        <w:tc>
          <w:tcPr>
            <w:tcW w:type="dxa" w:w="1871"/>
          </w:tcPr>
          <w:p>
            <w:pPr>
              <w:spacing w:after="40" w:before="40"/>
              <w:jc w:val="left"/>
            </w:pPr>
            <w:r>
              <w:rPr>
                <w:b w:val="0"/>
                <w:i w:val="0"/>
                <w:sz w:val="14"/>
              </w:rPr>
              <w:t>plataforma gestionada</w:t>
            </w:r>
          </w:p>
        </w:tc>
        <w:tc>
          <w:tcPr>
            <w:tcW w:type="dxa" w:w="1814"/>
          </w:tcPr>
          <w:p>
            <w:pPr>
              <w:spacing w:after="40" w:before="40"/>
              <w:jc w:val="left"/>
            </w:pPr>
            <w:r>
              <w:rPr>
                <w:b w:val="0"/>
                <w:i w:val="0"/>
                <w:sz w:val="14"/>
              </w:rPr>
              <w:t>consola del proyecto</w:t>
            </w:r>
          </w:p>
        </w:tc>
        <w:tc>
          <w:tcPr>
            <w:tcW w:type="dxa" w:w="3345"/>
          </w:tcPr>
          <w:p>
            <w:pPr>
              <w:spacing w:after="40" w:before="40"/>
              <w:jc w:val="left"/>
            </w:pPr>
            <w:r>
              <w:rPr>
                <w:b w:val="0"/>
                <w:i w:val="0"/>
                <w:sz w:val="14"/>
              </w:rPr>
              <w:t>Backend como servicio: base de datos, autenticación y tiempo real.</w:t>
            </w:r>
          </w:p>
        </w:tc>
      </w:tr>
      <w:tr>
        <w:tc>
          <w:tcPr>
            <w:tcW w:type="dxa" w:w="1757"/>
          </w:tcPr>
          <w:p>
            <w:pPr>
              <w:spacing w:after="40" w:before="40"/>
              <w:jc w:val="left"/>
            </w:pPr>
            <w:r>
              <w:rPr>
                <w:b w:val="0"/>
                <w:i w:val="0"/>
                <w:sz w:val="14"/>
              </w:rPr>
              <w:t>PostgreSQL</w:t>
            </w:r>
          </w:p>
        </w:tc>
        <w:tc>
          <w:tcPr>
            <w:tcW w:type="dxa" w:w="1871"/>
          </w:tcPr>
          <w:p>
            <w:pPr>
              <w:spacing w:after="40" w:before="40"/>
              <w:jc w:val="left"/>
            </w:pPr>
            <w:r>
              <w:rPr>
                <w:b w:val="0"/>
                <w:i w:val="0"/>
                <w:sz w:val="14"/>
              </w:rPr>
              <w:t>[completar con la versión del proyecto de Supabase]</w:t>
            </w:r>
          </w:p>
        </w:tc>
        <w:tc>
          <w:tcPr>
            <w:tcW w:type="dxa" w:w="1814"/>
          </w:tcPr>
          <w:p>
            <w:pPr>
              <w:spacing w:after="40" w:before="40"/>
              <w:jc w:val="left"/>
            </w:pPr>
            <w:r>
              <w:rPr>
                <w:b w:val="0"/>
                <w:i w:val="0"/>
                <w:sz w:val="14"/>
              </w:rPr>
              <w:t>consola del proyecto</w:t>
            </w:r>
          </w:p>
        </w:tc>
        <w:tc>
          <w:tcPr>
            <w:tcW w:type="dxa" w:w="3345"/>
          </w:tcPr>
          <w:p>
            <w:pPr>
              <w:spacing w:after="40" w:before="40"/>
              <w:jc w:val="left"/>
            </w:pPr>
            <w:r>
              <w:rPr>
                <w:b w:val="0"/>
                <w:i w:val="0"/>
                <w:sz w:val="14"/>
              </w:rPr>
              <w:t>Motor relacional subyacente. Determina la semántica de las políticas RLS invocadas en §4.6.</w:t>
            </w:r>
          </w:p>
        </w:tc>
      </w:tr>
      <w:tr>
        <w:tc>
          <w:tcPr>
            <w:tcW w:type="dxa" w:w="1757"/>
          </w:tcPr>
          <w:p>
            <w:pPr>
              <w:spacing w:after="40" w:before="40"/>
              <w:jc w:val="left"/>
            </w:pPr>
            <w:r>
              <w:rPr>
                <w:b w:val="0"/>
                <w:i w:val="0"/>
                <w:sz w:val="14"/>
              </w:rPr>
              <w:t>API de Notion</w:t>
            </w:r>
          </w:p>
        </w:tc>
        <w:tc>
          <w:tcPr>
            <w:tcW w:type="dxa" w:w="1871"/>
          </w:tcPr>
          <w:p>
            <w:pPr>
              <w:spacing w:after="40" w:before="40"/>
              <w:jc w:val="left"/>
            </w:pPr>
            <w:r>
              <w:rPr>
                <w:b w:val="0"/>
                <w:i w:val="0"/>
                <w:sz w:val="14"/>
              </w:rPr>
              <w:t>2022-06-28</w:t>
            </w:r>
          </w:p>
        </w:tc>
        <w:tc>
          <w:tcPr>
            <w:tcW w:type="dxa" w:w="1814"/>
          </w:tcPr>
          <w:p>
            <w:pPr>
              <w:spacing w:after="40" w:before="40"/>
              <w:jc w:val="left"/>
            </w:pPr>
            <w:r>
              <w:rPr>
                <w:b w:val="0"/>
                <w:i w:val="0"/>
                <w:sz w:val="14"/>
              </w:rPr>
              <w:t xml:space="preserve">cabecera </w:t>
            </w:r>
            <w:r>
              <w:rPr>
                <w:b w:val="0"/>
                <w:i w:val="0"/>
                <w:sz w:val="14"/>
                <w:rFonts w:ascii="Consolas" w:hAnsi="Consolas" w:cs="Consolas"/>
              </w:rPr>
              <w:t>Notion-Version</w:t>
            </w:r>
            <w:r>
              <w:rPr>
                <w:b w:val="0"/>
                <w:i w:val="0"/>
                <w:sz w:val="14"/>
              </w:rPr>
              <w:t xml:space="preserve"> de los nodos HTTP</w:t>
            </w:r>
          </w:p>
        </w:tc>
        <w:tc>
          <w:tcPr>
            <w:tcW w:type="dxa" w:w="3345"/>
          </w:tcPr>
          <w:p>
            <w:pPr>
              <w:spacing w:after="40" w:before="40"/>
              <w:jc w:val="left"/>
            </w:pPr>
            <w:r>
              <w:rPr>
                <w:b w:val="0"/>
                <w:i w:val="0"/>
                <w:sz w:val="14"/>
              </w:rPr>
              <w:t>Registro visual de las oportunidades en un tablero externo.</w:t>
            </w:r>
          </w:p>
        </w:tc>
      </w:tr>
      <w:tr>
        <w:tc>
          <w:tcPr>
            <w:tcW w:type="dxa" w:w="1757"/>
          </w:tcPr>
          <w:p>
            <w:pPr>
              <w:spacing w:after="40" w:before="40"/>
              <w:jc w:val="left"/>
            </w:pPr>
            <w:r>
              <w:rPr>
                <w:b w:val="0"/>
                <w:i w:val="0"/>
                <w:sz w:val="14"/>
              </w:rPr>
              <w:t>Gmail (nodo de n8n)</w:t>
            </w:r>
          </w:p>
        </w:tc>
        <w:tc>
          <w:tcPr>
            <w:tcW w:type="dxa" w:w="1871"/>
          </w:tcPr>
          <w:p>
            <w:pPr>
              <w:spacing w:after="40" w:before="40"/>
              <w:jc w:val="left"/>
            </w:pPr>
            <w:r>
              <w:rPr>
                <w:b w:val="0"/>
                <w:i w:val="0"/>
                <w:sz w:val="14"/>
              </w:rPr>
              <w:t>la del motor de n8n</w:t>
            </w:r>
          </w:p>
        </w:tc>
        <w:tc>
          <w:tcPr>
            <w:tcW w:type="dxa" w:w="1814"/>
          </w:tcPr>
          <w:p>
            <w:pPr>
              <w:spacing w:after="40" w:before="40"/>
              <w:jc w:val="left"/>
            </w:pPr>
            <w:r>
              <w:rPr>
                <w:b w:val="0"/>
                <w:i w:val="0"/>
                <w:sz w:val="14"/>
                <w:rFonts w:ascii="Consolas" w:hAnsi="Consolas" w:cs="Consolas"/>
              </w:rPr>
              <w:t>workflow/crm_postgres.json</w:t>
            </w:r>
          </w:p>
        </w:tc>
        <w:tc>
          <w:tcPr>
            <w:tcW w:type="dxa" w:w="3345"/>
          </w:tcPr>
          <w:p>
            <w:pPr>
              <w:spacing w:after="40" w:before="40"/>
              <w:jc w:val="left"/>
            </w:pPr>
            <w:r>
              <w:rPr>
                <w:b w:val="0"/>
                <w:i w:val="0"/>
                <w:sz w:val="14"/>
              </w:rPr>
              <w:t>Envío de propuestas, facturas y recordatorios por correo.</w:t>
            </w:r>
          </w:p>
        </w:tc>
      </w:tr>
      <w:tr>
        <w:tc>
          <w:tcPr>
            <w:tcW w:type="dxa" w:w="1757"/>
          </w:tcPr>
          <w:p>
            <w:pPr>
              <w:spacing w:after="40" w:before="40"/>
              <w:jc w:val="left"/>
            </w:pPr>
            <w:r>
              <w:rPr>
                <w:b w:val="0"/>
                <w:i w:val="0"/>
                <w:sz w:val="14"/>
              </w:rPr>
              <w:t>Telegram (nodo de n8n)</w:t>
            </w:r>
          </w:p>
        </w:tc>
        <w:tc>
          <w:tcPr>
            <w:tcW w:type="dxa" w:w="1871"/>
          </w:tcPr>
          <w:p>
            <w:pPr>
              <w:spacing w:after="40" w:before="40"/>
              <w:jc w:val="left"/>
            </w:pPr>
            <w:r>
              <w:rPr>
                <w:b w:val="0"/>
                <w:i w:val="0"/>
                <w:sz w:val="14"/>
              </w:rPr>
              <w:t>la del motor de n8n</w:t>
            </w:r>
          </w:p>
        </w:tc>
        <w:tc>
          <w:tcPr>
            <w:tcW w:type="dxa" w:w="1814"/>
          </w:tcPr>
          <w:p>
            <w:pPr>
              <w:spacing w:after="40" w:before="40"/>
              <w:jc w:val="left"/>
            </w:pPr>
            <w:r>
              <w:rPr>
                <w:b w:val="0"/>
                <w:i w:val="0"/>
                <w:sz w:val="14"/>
                <w:rFonts w:ascii="Consolas" w:hAnsi="Consolas" w:cs="Consolas"/>
              </w:rPr>
              <w:t>workflow/crm_postgres.json</w:t>
            </w:r>
          </w:p>
        </w:tc>
        <w:tc>
          <w:tcPr>
            <w:tcW w:type="dxa" w:w="3345"/>
          </w:tcPr>
          <w:p>
            <w:pPr>
              <w:spacing w:after="40" w:before="40"/>
              <w:jc w:val="left"/>
            </w:pPr>
            <w:r>
              <w:rPr>
                <w:b w:val="0"/>
                <w:i w:val="0"/>
                <w:sz w:val="14"/>
              </w:rPr>
              <w:t>Notificaciones al profesional y reporte diario de métricas.</w:t>
            </w:r>
          </w:p>
        </w:tc>
      </w:tr>
      <w:tr>
        <w:tc>
          <w:tcPr>
            <w:tcW w:type="dxa" w:w="1757"/>
          </w:tcPr>
          <w:p>
            <w:pPr>
              <w:spacing w:after="40" w:before="40"/>
              <w:jc w:val="left"/>
            </w:pPr>
            <w:r>
              <w:rPr>
                <w:b w:val="0"/>
                <w:i w:val="0"/>
                <w:sz w:val="14"/>
              </w:rPr>
              <w:t>Vercel</w:t>
            </w:r>
          </w:p>
        </w:tc>
        <w:tc>
          <w:tcPr>
            <w:tcW w:type="dxa" w:w="1871"/>
          </w:tcPr>
          <w:p>
            <w:pPr>
              <w:spacing w:after="40" w:before="40"/>
              <w:jc w:val="left"/>
            </w:pPr>
            <w:r>
              <w:rPr>
                <w:b w:val="0"/>
                <w:i w:val="0"/>
                <w:sz w:val="14"/>
              </w:rPr>
              <w:t>plataforma gestionada</w:t>
            </w:r>
          </w:p>
        </w:tc>
        <w:tc>
          <w:tcPr>
            <w:tcW w:type="dxa" w:w="1814"/>
          </w:tcPr>
          <w:p>
            <w:pPr>
              <w:spacing w:after="40" w:before="40"/>
              <w:jc w:val="left"/>
            </w:pPr>
            <w:r>
              <w:rPr>
                <w:b w:val="0"/>
                <w:i w:val="0"/>
                <w:sz w:val="14"/>
              </w:rPr>
              <w:t>—</w:t>
            </w:r>
          </w:p>
        </w:tc>
        <w:tc>
          <w:tcPr>
            <w:tcW w:type="dxa" w:w="3345"/>
          </w:tcPr>
          <w:p>
            <w:pPr>
              <w:spacing w:after="40" w:before="40"/>
              <w:jc w:val="left"/>
            </w:pPr>
            <w:r>
              <w:rPr>
                <w:b w:val="0"/>
                <w:i w:val="0"/>
                <w:sz w:val="14"/>
              </w:rPr>
              <w:t>Despliegue del frontend.</w:t>
            </w:r>
          </w:p>
        </w:tc>
      </w:tr>
      <w:tr>
        <w:tc>
          <w:tcPr>
            <w:tcW w:type="dxa" w:w="1757"/>
          </w:tcPr>
          <w:p>
            <w:pPr>
              <w:spacing w:after="40" w:before="40"/>
              <w:jc w:val="left"/>
            </w:pPr>
            <w:r>
              <w:rPr>
                <w:b w:val="0"/>
                <w:i w:val="0"/>
                <w:sz w:val="14"/>
              </w:rPr>
              <w:t>Docker Compose</w:t>
            </w:r>
          </w:p>
        </w:tc>
        <w:tc>
          <w:tcPr>
            <w:tcW w:type="dxa" w:w="1871"/>
          </w:tcPr>
          <w:p>
            <w:pPr>
              <w:spacing w:after="40" w:before="40"/>
              <w:jc w:val="left"/>
            </w:pPr>
            <w:r>
              <w:rPr>
                <w:b w:val="0"/>
                <w:i w:val="0"/>
                <w:sz w:val="14"/>
              </w:rPr>
              <w:t>[completar con la versión utilizada]</w:t>
            </w:r>
          </w:p>
        </w:tc>
        <w:tc>
          <w:tcPr>
            <w:tcW w:type="dxa" w:w="1814"/>
          </w:tcPr>
          <w:p>
            <w:pPr>
              <w:spacing w:after="40" w:before="40"/>
              <w:jc w:val="left"/>
            </w:pPr>
            <w:r>
              <w:rPr>
                <w:b w:val="0"/>
                <w:i w:val="0"/>
                <w:sz w:val="14"/>
              </w:rPr>
              <w:t>—</w:t>
            </w:r>
          </w:p>
        </w:tc>
        <w:tc>
          <w:tcPr>
            <w:tcW w:type="dxa" w:w="3345"/>
          </w:tcPr>
          <w:p>
            <w:pPr>
              <w:spacing w:after="40" w:before="40"/>
              <w:jc w:val="left"/>
            </w:pPr>
            <w:r>
              <w:rPr>
                <w:b w:val="0"/>
                <w:i w:val="0"/>
                <w:sz w:val="14"/>
              </w:rPr>
              <w:t>Puesta en marcha del entorno local (Anexo G).</w:t>
            </w:r>
          </w:p>
        </w:tc>
      </w:tr>
      <w:tr>
        <w:tc>
          <w:tcPr>
            <w:tcW w:type="dxa" w:w="1757"/>
          </w:tcPr>
          <w:p>
            <w:pPr>
              <w:spacing w:after="40" w:before="40"/>
              <w:jc w:val="left"/>
            </w:pPr>
            <w:r>
              <w:rPr>
                <w:b w:val="0"/>
                <w:i w:val="0"/>
                <w:sz w:val="14"/>
              </w:rPr>
              <w:t>Git</w:t>
            </w:r>
          </w:p>
        </w:tc>
        <w:tc>
          <w:tcPr>
            <w:tcW w:type="dxa" w:w="1871"/>
          </w:tcPr>
          <w:p>
            <w:pPr>
              <w:spacing w:after="40" w:before="40"/>
              <w:jc w:val="left"/>
            </w:pPr>
            <w:r>
              <w:rPr>
                <w:b w:val="0"/>
                <w:i w:val="0"/>
                <w:sz w:val="14"/>
              </w:rPr>
              <w:t>[completar con la versión utilizada]</w:t>
            </w:r>
          </w:p>
        </w:tc>
        <w:tc>
          <w:tcPr>
            <w:tcW w:type="dxa" w:w="1814"/>
          </w:tcPr>
          <w:p>
            <w:pPr>
              <w:spacing w:after="40" w:before="40"/>
              <w:jc w:val="left"/>
            </w:pPr>
            <w:r>
              <w:rPr>
                <w:b w:val="0"/>
                <w:i w:val="0"/>
                <w:sz w:val="14"/>
              </w:rPr>
              <w:t>—</w:t>
            </w:r>
          </w:p>
        </w:tc>
        <w:tc>
          <w:tcPr>
            <w:tcW w:type="dxa" w:w="3345"/>
          </w:tcPr>
          <w:p>
            <w:pPr>
              <w:spacing w:after="40" w:before="40"/>
              <w:jc w:val="left"/>
            </w:pPr>
            <w:r>
              <w:rPr>
                <w:b w:val="0"/>
                <w:i w:val="0"/>
                <w:sz w:val="14"/>
              </w:rPr>
              <w:t>Control de versiones del código fuente.</w:t>
            </w:r>
          </w:p>
        </w:tc>
      </w:tr>
    </w:tbl>
    <w:p>
      <w:pPr/>
      <w:r>
        <w:rPr>
          <w:b w:val="0"/>
          <w:i/>
          <w:sz w:val="15"/>
        </w:rPr>
        <w:t>Nota. Elaboración propia a partir de los archivos de configuración del repositorio declarado en §4.1.</w:t>
      </w:r>
    </w:p>
    <w:p w:rsidR="00D60FC7" w:rsidRDefault="00D60FC7"/>
    <w:p w:rsidR="00D60FC7" w:rsidRDefault="00000000">
      <w:pPr>
        <w:pStyle w:val="Ttulo2"/>
      </w:pPr>
      <w:bookmarkStart w:id="27" w:name="_Toc233808433"/>
      <w:r>
        <w:t>3.7 Estrategia de validación del artefacto</w:t>
      </w:r>
      <w:bookmarkEnd w:id="27"/>
    </w:p>
    <w:p w:rsidR="00D60FC7" w:rsidRDefault="00000000">
      <w:proofErr w:type="spellStart"/>
      <w:proofErr w:type="spellEnd"/>
      <w:r>
        <w:rPr>
          <w:b w:val="0"/>
          <w:i w:val="0"/>
        </w:rPr>
        <w:t>Dado que este trabajo es un desarrollo tecnológico, la validación no se realiza mediante muestreo estadístico, sino mediante la ejecución de escenarios de prueba controlados que ejercitan los caminos principales y alternativos de cada flujo. Definimos casos de entrada representativos —incluidas entradas inválidas— y verificamos que el sistema produjera los estados, las persistencias y las notificaciones esperadas. Los criterios de aceptación son la correcta normalización y validación de los datos, la asignación del score y del nivel conforme a la Tabla 5, la transición de estados prevista en la Tabla 9 y la actualización del tablero dentro del umbral fijado en el RNF6. Los resultados se presentan en el Capítulo 5.</w:t>
      </w:r>
    </w:p>
    <w:p>
      <w:pPr/>
      <w:r>
        <w:rPr>
          <w:b w:val="0"/>
          <w:i w:val="0"/>
        </w:rPr>
        <w:t xml:space="preserve">La ausencia de inferencia estadística no exime de aportar datos: los tiempos, los conteos y los valores efectivamente persistidos son registrables y se reportan. Tampoco exime de declarar las amenazas a la validez. Se registran tres. Primera, </w:t>
      </w:r>
      <w:r>
        <w:rPr>
          <w:b w:val="0"/>
          <w:i/>
        </w:rPr>
        <w:t>sesgo del evaluador</w:t>
      </w:r>
      <w:r>
        <w:rPr>
          <w:b w:val="0"/>
          <w:i w:val="0"/>
        </w:rPr>
        <w:t xml:space="preserve">: los autores validan su propio artefacto, sin evaluador externo ni procedimiento ciego. Segunda, </w:t>
      </w:r>
      <w:r>
        <w:rPr>
          <w:b w:val="0"/>
          <w:i/>
        </w:rPr>
        <w:t>selección de los datos de prueba</w:t>
      </w:r>
      <w:r>
        <w:rPr>
          <w:b w:val="0"/>
          <w:i w:val="0"/>
        </w:rPr>
        <w:t xml:space="preserve">: los casos fueron construidos por quienes definieron las reglas, de modo que pueden favorecer los caminos previstos. Tercera, </w:t>
      </w:r>
      <w:r>
        <w:rPr>
          <w:b w:val="0"/>
          <w:i/>
        </w:rPr>
        <w:t>validez externa nula sobre la conversión comercial</w:t>
      </w:r>
      <w:r>
        <w:rPr>
          <w:b w:val="0"/>
          <w:i w:val="0"/>
        </w:rPr>
        <w:t>: los escenarios acreditan el comportamiento del sistema, no que el score prediga la conversión real de un lead, extremo que se discute en el Capítulo 6.</w:t>
      </w:r>
    </w:p>
    <w:p>
      <w:pPr>
        <w:pStyle w:val="Ttulo2"/>
      </w:pPr>
      <w:r>
        <w:rPr>
          <w:b w:val="0"/>
          <w:i w:val="0"/>
        </w:rPr>
        <w:t>3.8 Protocolo de ejecución y registro de la validación</w:t>
      </w:r>
    </w:p>
    <w:p>
      <w:pPr/>
      <w:r>
        <w:rPr>
          <w:b w:val="0"/>
          <w:i w:val="0"/>
        </w:rPr>
        <w:t>Para que los escenarios sean repetibles por un tercero, la Tabla 4 fija el protocolo bajo el cual deben ejecutarse y registrarse. La exigencia central es que cada ejecución deje constancia del valor observado —no de su paráfrasis—: el score numérico, el identificador del lead, el estado persistido y la marca temporal.</w:t>
      </w:r>
    </w:p>
    <w:p>
      <w:pPr>
        <w:keepNext/>
      </w:pPr>
      <w:r>
        <w:rPr>
          <w:b w:val="0"/>
          <w:i w:val="0"/>
        </w:rPr>
        <w:t>Tabla 4. Protocolo de ejecución y registro de la validación</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5000" w:type="pct"/>
      </w:tblPr>
      <w:tblGrid>
        <w:gridCol w:w="4394"/>
        <w:gridCol w:w="4394"/>
      </w:tblGrid>
      <w:tr>
        <w:trPr>
          <w:tblHeader/>
        </w:trPr>
        <w:tc>
          <w:tcPr>
            <w:tcW w:type="dxa" w:w="2268"/>
            <w:shd w:val="clear" w:color="auto" w:fill="1F2937"/>
          </w:tcPr>
          <w:p>
            <w:pPr>
              <w:spacing w:after="40" w:before="40"/>
              <w:jc w:val="left"/>
            </w:pPr>
            <w:r>
              <w:rPr>
                <w:b/>
                <w:i w:val="0"/>
                <w:color w:val="FFFFFF"/>
                <w:sz w:val="15"/>
              </w:rPr>
              <w:t>Elemento del protocolo</w:t>
            </w:r>
          </w:p>
        </w:tc>
        <w:tc>
          <w:tcPr>
            <w:tcW w:type="dxa" w:w="6520"/>
            <w:shd w:val="clear" w:color="auto" w:fill="1F2937"/>
          </w:tcPr>
          <w:p>
            <w:pPr>
              <w:spacing w:after="40" w:before="40"/>
              <w:jc w:val="left"/>
            </w:pPr>
            <w:r>
              <w:rPr>
                <w:b/>
                <w:i w:val="0"/>
                <w:color w:val="FFFFFF"/>
                <w:sz w:val="15"/>
              </w:rPr>
              <w:t>Especificación</w:t>
            </w:r>
          </w:p>
        </w:tc>
      </w:tr>
      <w:tr>
        <w:tc>
          <w:tcPr>
            <w:tcW w:type="dxa" w:w="2268"/>
          </w:tcPr>
          <w:p>
            <w:pPr>
              <w:spacing w:after="40" w:before="40"/>
              <w:jc w:val="left"/>
            </w:pPr>
            <w:r>
              <w:rPr>
                <w:b w:val="0"/>
                <w:i w:val="0"/>
                <w:sz w:val="15"/>
              </w:rPr>
              <w:t>Entorno de ejecución</w:t>
            </w:r>
          </w:p>
        </w:tc>
        <w:tc>
          <w:tcPr>
            <w:tcW w:type="dxa" w:w="6520"/>
          </w:tcPr>
          <w:p>
            <w:pPr>
              <w:spacing w:after="40" w:before="40"/>
              <w:jc w:val="left"/>
            </w:pPr>
            <w:r>
              <w:rPr>
                <w:b w:val="0"/>
                <w:i w:val="0"/>
                <w:sz w:val="15"/>
              </w:rPr>
              <w:t xml:space="preserve">Frontend en el despliegue de Vercel; n8n y Gotenberg en contenedores locales levantados con </w:t>
            </w:r>
            <w:r>
              <w:rPr>
                <w:b w:val="0"/>
                <w:i w:val="0"/>
                <w:sz w:val="15"/>
                <w:rFonts w:ascii="Consolas" w:hAnsi="Consolas" w:cs="Consolas"/>
              </w:rPr>
              <w:t>docker compose up -d</w:t>
            </w:r>
            <w:r>
              <w:rPr>
                <w:b w:val="0"/>
                <w:i w:val="0"/>
                <w:sz w:val="15"/>
              </w:rPr>
              <w:t xml:space="preserve"> (Anexo G); base de datos en el proyecto gestionado de Supabase. [Completar: sistema operativo y versión de Docker de la máquina de ejecución.]</w:t>
            </w:r>
          </w:p>
        </w:tc>
      </w:tr>
      <w:tr>
        <w:tc>
          <w:tcPr>
            <w:tcW w:type="dxa" w:w="2268"/>
          </w:tcPr>
          <w:p>
            <w:pPr>
              <w:spacing w:after="40" w:before="40"/>
              <w:jc w:val="left"/>
            </w:pPr>
            <w:r>
              <w:rPr>
                <w:b w:val="0"/>
                <w:i w:val="0"/>
                <w:sz w:val="15"/>
              </w:rPr>
              <w:t>Versiones</w:t>
            </w:r>
          </w:p>
        </w:tc>
        <w:tc>
          <w:tcPr>
            <w:tcW w:type="dxa" w:w="6520"/>
          </w:tcPr>
          <w:p>
            <w:pPr>
              <w:spacing w:after="40" w:before="40"/>
              <w:jc w:val="left"/>
            </w:pPr>
            <w:r>
              <w:rPr>
                <w:b w:val="0"/>
                <w:i w:val="0"/>
                <w:sz w:val="15"/>
              </w:rPr>
              <w:t>Las declaradas en la Tabla 3, que deben consignarse en el informe de cada corrida.</w:t>
            </w:r>
          </w:p>
        </w:tc>
      </w:tr>
      <w:tr>
        <w:tc>
          <w:tcPr>
            <w:tcW w:type="dxa" w:w="2268"/>
          </w:tcPr>
          <w:p>
            <w:pPr>
              <w:spacing w:after="40" w:before="40"/>
              <w:jc w:val="left"/>
            </w:pPr>
            <w:r>
              <w:rPr>
                <w:b w:val="0"/>
                <w:i w:val="0"/>
                <w:sz w:val="15"/>
              </w:rPr>
              <w:t>Conjunto de datos de prueba</w:t>
            </w:r>
          </w:p>
        </w:tc>
        <w:tc>
          <w:tcPr>
            <w:tcW w:type="dxa" w:w="6520"/>
          </w:tcPr>
          <w:p>
            <w:pPr>
              <w:spacing w:after="40" w:before="40"/>
              <w:jc w:val="left"/>
            </w:pPr>
            <w:r>
              <w:rPr>
                <w:b w:val="0"/>
                <w:i w:val="0"/>
                <w:sz w:val="15"/>
              </w:rPr>
              <w:t xml:space="preserve">Un lead por escenario, con datos ficticios y neutros. Queda prohibido el uso de datos personales reales de los autores o de terceros y de identificadores no aptos para un documento institucional. Los nombres siguen el patrón </w:t>
            </w:r>
            <w:r>
              <w:rPr>
                <w:b w:val="0"/>
                <w:i w:val="0"/>
                <w:sz w:val="15"/>
                <w:rFonts w:ascii="Consolas" w:hAnsi="Consolas" w:cs="Consolas"/>
              </w:rPr>
              <w:t>Cliente Demo N</w:t>
            </w:r>
            <w:r>
              <w:rPr>
                <w:b w:val="0"/>
                <w:i w:val="0"/>
                <w:sz w:val="15"/>
              </w:rPr>
              <w:t xml:space="preserve"> y los correos, el dominio </w:t>
            </w:r>
            <w:r>
              <w:rPr>
                <w:b w:val="0"/>
                <w:i w:val="0"/>
                <w:sz w:val="15"/>
                <w:rFonts w:ascii="Consolas" w:hAnsi="Consolas" w:cs="Consolas"/>
              </w:rPr>
              <w:t>ejemplo.com</w:t>
            </w:r>
            <w:r>
              <w:rPr>
                <w:b w:val="0"/>
                <w:i w:val="0"/>
                <w:sz w:val="15"/>
              </w:rPr>
              <w:t>.</w:t>
            </w:r>
          </w:p>
        </w:tc>
      </w:tr>
      <w:tr>
        <w:tc>
          <w:tcPr>
            <w:tcW w:type="dxa" w:w="2268"/>
          </w:tcPr>
          <w:p>
            <w:pPr>
              <w:spacing w:after="40" w:before="40"/>
              <w:jc w:val="left"/>
            </w:pPr>
            <w:r>
              <w:rPr>
                <w:b w:val="0"/>
                <w:i w:val="0"/>
                <w:sz w:val="15"/>
              </w:rPr>
              <w:t>Repeticiones por escenario</w:t>
            </w:r>
          </w:p>
        </w:tc>
        <w:tc>
          <w:tcPr>
            <w:tcW w:type="dxa" w:w="6520"/>
          </w:tcPr>
          <w:p>
            <w:pPr>
              <w:spacing w:after="40" w:before="40"/>
              <w:jc w:val="left"/>
            </w:pPr>
            <w:r>
              <w:rPr>
                <w:b w:val="0"/>
                <w:i w:val="0"/>
                <w:sz w:val="15"/>
              </w:rPr>
              <w:t>Tres ejecuciones independientes para los escenarios de camino principal (E1–E7) y una para los de camino alternativo (E8–E10), salvo E6, que por definición exige dos invocaciones consecutivas y dos concurrentes.</w:t>
            </w:r>
          </w:p>
        </w:tc>
      </w:tr>
      <w:tr>
        <w:tc>
          <w:tcPr>
            <w:tcW w:type="dxa" w:w="2268"/>
          </w:tcPr>
          <w:p>
            <w:pPr>
              <w:spacing w:after="40" w:before="40"/>
              <w:jc w:val="left"/>
            </w:pPr>
            <w:r>
              <w:rPr>
                <w:b w:val="0"/>
                <w:i w:val="0"/>
                <w:sz w:val="15"/>
              </w:rPr>
              <w:t>Registro de la evidencia</w:t>
            </w:r>
          </w:p>
        </w:tc>
        <w:tc>
          <w:tcPr>
            <w:tcW w:type="dxa" w:w="6520"/>
          </w:tcPr>
          <w:p>
            <w:pPr>
              <w:spacing w:after="40" w:before="40"/>
              <w:jc w:val="left"/>
            </w:pPr>
            <w:r>
              <w:rPr>
                <w:b w:val="0"/>
                <w:i w:val="0"/>
                <w:sz w:val="15"/>
              </w:rPr>
              <w:t xml:space="preserve">Por cada ejecución: fecha y hora, entrada exacta, fila resultante de </w:t>
            </w:r>
            <w:r>
              <w:rPr>
                <w:b w:val="0"/>
                <w:i w:val="0"/>
                <w:sz w:val="15"/>
                <w:rFonts w:ascii="Consolas" w:hAnsi="Consolas" w:cs="Consolas"/>
              </w:rPr>
              <w:t>leads</w:t>
            </w:r>
            <w:r>
              <w:rPr>
                <w:b w:val="0"/>
                <w:i w:val="0"/>
                <w:sz w:val="15"/>
              </w:rPr>
              <w:t xml:space="preserve"> o </w:t>
            </w:r>
            <w:r>
              <w:rPr>
                <w:b w:val="0"/>
                <w:i w:val="0"/>
                <w:sz w:val="15"/>
                <w:rFonts w:ascii="Consolas" w:hAnsi="Consolas" w:cs="Consolas"/>
              </w:rPr>
              <w:t>facturas</w:t>
            </w:r>
            <w:r>
              <w:rPr>
                <w:b w:val="0"/>
                <w:i w:val="0"/>
                <w:sz w:val="15"/>
              </w:rPr>
              <w:t xml:space="preserve"> (captura de la consola SQL), captura de la interfaz cuando corresponda y fila del registro de auditoría en </w:t>
            </w:r>
            <w:r>
              <w:rPr>
                <w:b w:val="0"/>
                <w:i w:val="0"/>
                <w:sz w:val="15"/>
                <w:rFonts w:ascii="Consolas" w:hAnsi="Consolas" w:cs="Consolas"/>
              </w:rPr>
              <w:t>logs</w:t>
            </w:r>
            <w:r>
              <w:rPr>
                <w:b w:val="0"/>
                <w:i w:val="0"/>
                <w:sz w:val="15"/>
              </w:rPr>
              <w:t>.</w:t>
            </w:r>
          </w:p>
        </w:tc>
      </w:tr>
      <w:tr>
        <w:tc>
          <w:tcPr>
            <w:tcW w:type="dxa" w:w="2268"/>
          </w:tcPr>
          <w:p>
            <w:pPr>
              <w:spacing w:after="40" w:before="40"/>
              <w:jc w:val="left"/>
            </w:pPr>
            <w:r>
              <w:rPr>
                <w:b w:val="0"/>
                <w:i w:val="0"/>
                <w:sz w:val="15"/>
              </w:rPr>
              <w:t>Criterio de escenario fallido</w:t>
            </w:r>
          </w:p>
        </w:tc>
        <w:tc>
          <w:tcPr>
            <w:tcW w:type="dxa" w:w="6520"/>
          </w:tcPr>
          <w:p>
            <w:pPr>
              <w:spacing w:after="40" w:before="40"/>
              <w:jc w:val="left"/>
            </w:pPr>
            <w:r>
              <w:rPr>
                <w:b w:val="0"/>
                <w:i w:val="0"/>
                <w:sz w:val="15"/>
              </w:rPr>
              <w:t>Un escenario se declara fallido si alguna de sus repeticiones no alcanza el estado esperado, no persiste la fila esperada o supera el umbral del requisito no funcional asociado. No se admite promediar resultados: basta una repetición fallida.</w:t>
            </w:r>
          </w:p>
        </w:tc>
      </w:tr>
      <w:tr>
        <w:tc>
          <w:tcPr>
            <w:tcW w:type="dxa" w:w="2268"/>
          </w:tcPr>
          <w:p>
            <w:pPr>
              <w:spacing w:after="40" w:before="40"/>
              <w:jc w:val="left"/>
            </w:pPr>
            <w:r>
              <w:rPr>
                <w:b w:val="0"/>
                <w:i w:val="0"/>
                <w:sz w:val="15"/>
              </w:rPr>
              <w:t>Reejecución tras corrección</w:t>
            </w:r>
          </w:p>
        </w:tc>
        <w:tc>
          <w:tcPr>
            <w:tcW w:type="dxa" w:w="6520"/>
          </w:tcPr>
          <w:p>
            <w:pPr>
              <w:spacing w:after="40" w:before="40"/>
              <w:jc w:val="left"/>
            </w:pPr>
            <w:r>
              <w:rPr>
                <w:b w:val="0"/>
                <w:i w:val="0"/>
                <w:sz w:val="15"/>
              </w:rPr>
              <w:t>Toda corrección del flujo obliga a reejecutar el escenario completo, no solo el paso corregido.</w:t>
            </w:r>
          </w:p>
        </w:tc>
      </w:tr>
    </w:tbl>
    <w:p>
      <w:pPr/>
      <w:r>
        <w:rPr>
          <w:b w:val="0"/>
          <w:i/>
          <w:sz w:val="15"/>
        </w:rPr>
        <w:t>Nota. Elaboración propia.</w:t>
      </w:r>
    </w:p>
    <w:p w:rsidR="00D60FC7" w:rsidRDefault="00000000">
      <w:r>
        <w:lastRenderedPageBreak/>
        <w:br w:type="page"/>
      </w:r>
    </w:p>
    <w:p w:rsidR="00D60FC7" w:rsidRDefault="00000000">
      <w:pPr>
        <w:pStyle w:val="Ttulo1"/>
      </w:pPr>
      <w:bookmarkStart w:id="28" w:name="_Toc233808434"/>
      <w:r>
        <w:t>Capítulo 4: Diseño y Desarrollo del Sistema</w:t>
      </w:r>
      <w:bookmarkEnd w:id="28"/>
    </w:p>
    <w:p w:rsidR="00D60FC7" w:rsidRDefault="00000000">
      <w:r>
        <w:t xml:space="preserve">Este capítulo describe la arquitectura de la solución y el detalle de cada componente. Las afirmaciones sobre el </w:t>
      </w:r>
      <w:proofErr w:type="spellStart"/>
      <w:r>
        <w:t>frontend</w:t>
      </w:r>
      <w:proofErr w:type="spellEnd"/>
      <w:r>
        <w:t xml:space="preserve"> se apoyan en el código fuente del repositorio del proyecto (disponible en https://github.com/Boit-6/Tesis); las relativas al </w:t>
      </w:r>
      <w:proofErr w:type="spellStart"/>
      <w:r>
        <w:t>backend</w:t>
      </w:r>
      <w:proofErr w:type="spellEnd"/>
      <w:r>
        <w:t xml:space="preserve"> de automatización, en el flujo de trabajo exportado desde n8n.</w:t>
      </w:r>
    </w:p>
    <w:p w:rsidR="00D60FC7" w:rsidRDefault="00000000">
      <w:pPr>
        <w:pStyle w:val="Ttulo2"/>
      </w:pPr>
      <w:bookmarkStart w:id="29" w:name="_Toc233808435"/>
      <w:r>
        <w:t>4.1 Arquitectura general</w:t>
      </w:r>
      <w:bookmarkEnd w:id="29"/>
    </w:p>
    <w:p w:rsidR="00D60FC7" w:rsidRDefault="00000000">
      <w:r>
        <w:t>El sistema adopta una arquitectura en tres capas coordinada por eventos (</w:t>
      </w:r>
      <w:proofErr w:type="spellStart"/>
      <w:r>
        <w:t>Fowler</w:t>
      </w:r>
      <w:proofErr w:type="spellEnd"/>
      <w:r>
        <w:t>, 2002):</w:t>
      </w:r>
    </w:p>
    <w:p w:rsidR="00D60FC7" w:rsidRDefault="00000000">
      <w:pPr>
        <w:pStyle w:val="Prrafodelista"/>
        <w:numPr>
          <w:ilvl w:val="0"/>
          <w:numId w:val="1"/>
        </w:numPr>
      </w:pPr>
      <w:r>
        <w:rPr>
          <w:b/>
        </w:rPr>
        <w:t>Capa de presentación y captación (</w:t>
      </w:r>
      <w:proofErr w:type="spellStart"/>
      <w:r>
        <w:rPr>
          <w:b/>
        </w:rPr>
        <w:t>frontend</w:t>
      </w:r>
      <w:proofErr w:type="spellEnd"/>
      <w:r>
        <w:rPr>
          <w:b/>
        </w:rPr>
        <w:t>).</w:t>
      </w:r>
      <w:r>
        <w:t xml:space="preserve"> Aplicación Next.js desplegada en </w:t>
      </w:r>
      <w:proofErr w:type="spellStart"/>
      <w:r>
        <w:t>Vercel</w:t>
      </w:r>
      <w:proofErr w:type="spellEnd"/>
      <w:r>
        <w:t>. Expone el formulario público de captación, las pantallas de autenticación, el tablero de control y la página de aceptación de propuestas.</w:t>
      </w:r>
    </w:p>
    <w:p w:rsidR="00D60FC7" w:rsidRDefault="00000000">
      <w:pPr>
        <w:pStyle w:val="Prrafodelista"/>
        <w:numPr>
          <w:ilvl w:val="0"/>
          <w:numId w:val="1"/>
        </w:numPr>
      </w:pPr>
      <w:proofErr w:type="spellStart"/>
      <w:proofErr w:type="spellEnd"/>
      <w:proofErr w:type="spellStart"/>
      <w:proofErr w:type="spellEnd"/>
      <w:r>
        <w:rPr>
          <w:b/>
          <w:i w:val="0"/>
        </w:rPr>
        <w:t>Capa de orquestación (backend de automatización). Instancia de n8n que recibe los eventos por webhook, ejecuta la lógica de negocio y coordina la persistencia y las notificaciones. El flujo implementado consta de 141 nodos funcionales —157 en total, incluidas 16 notas de documentación— organizados en doce webhooks y tres procesos programados.</w:t>
      </w:r>
      <w:r>
        <w:rPr>
          <w:b w:val="0"/>
          <w:i w:val="0"/>
        </w:rPr>
      </w:r>
    </w:p>
    <w:p w:rsidR="00D60FC7" w:rsidRDefault="00000000">
      <w:pPr>
        <w:pStyle w:val="Prrafodelista"/>
        <w:numPr>
          <w:ilvl w:val="0"/>
          <w:numId w:val="1"/>
        </w:numPr>
      </w:pPr>
      <w:r>
        <w:rPr>
          <w:b/>
        </w:rPr>
        <w:t>Capa de persistencia (datos).</w:t>
      </w:r>
      <w:r>
        <w:t xml:space="preserve"> Base de datos PostgreSQL gestionada por </w:t>
      </w:r>
      <w:proofErr w:type="spellStart"/>
      <w:r>
        <w:t>Supabase</w:t>
      </w:r>
      <w:proofErr w:type="spellEnd"/>
      <w:r>
        <w:t xml:space="preserve">, con las tablas </w:t>
      </w:r>
      <w:r>
        <w:rPr>
          <w:rFonts w:ascii="Consolas" w:hAnsi="Consolas" w:cs="Consolas"/>
        </w:rPr>
        <w:t>leads</w:t>
      </w:r>
      <w:r>
        <w:t xml:space="preserve">, </w:t>
      </w:r>
      <w:r>
        <w:rPr>
          <w:rFonts w:ascii="Consolas" w:hAnsi="Consolas" w:cs="Consolas"/>
        </w:rPr>
        <w:t>facturas</w:t>
      </w:r>
      <w:r>
        <w:t xml:space="preserve">, </w:t>
      </w:r>
      <w:r>
        <w:rPr>
          <w:rFonts w:ascii="Consolas" w:hAnsi="Consolas" w:cs="Consolas"/>
        </w:rPr>
        <w:t>seguimientos</w:t>
      </w:r>
      <w:r>
        <w:t xml:space="preserve">, </w:t>
      </w:r>
      <w:r>
        <w:rPr>
          <w:rFonts w:ascii="Consolas" w:hAnsi="Consolas" w:cs="Consolas"/>
        </w:rPr>
        <w:t>logs</w:t>
      </w:r>
      <w:r>
        <w:t xml:space="preserve"> y </w:t>
      </w:r>
      <w:r>
        <w:rPr>
          <w:rFonts w:ascii="Consolas" w:hAnsi="Consolas" w:cs="Consolas"/>
        </w:rPr>
        <w:t>profiles</w:t>
      </w:r>
      <w:r>
        <w:t xml:space="preserve">, las vistas </w:t>
      </w:r>
      <w:proofErr w:type="spellStart"/>
      <w:r>
        <w:rPr>
          <w:rFonts w:ascii="Consolas" w:hAnsi="Consolas" w:cs="Consolas"/>
        </w:rPr>
        <w:t>metrics_mensuales</w:t>
      </w:r>
      <w:proofErr w:type="spellEnd"/>
      <w:r>
        <w:t xml:space="preserve"> y </w:t>
      </w:r>
      <w:proofErr w:type="spellStart"/>
      <w:r>
        <w:rPr>
          <w:rFonts w:ascii="Consolas" w:hAnsi="Consolas" w:cs="Consolas"/>
        </w:rPr>
        <w:t>facturas_pendientes</w:t>
      </w:r>
      <w:proofErr w:type="spellEnd"/>
      <w:r>
        <w:t>, y políticas de seguridad a nivel de fila.</w:t>
      </w:r>
    </w:p>
    <w:p w:rsidR="00D60FC7" w:rsidRDefault="00000000">
      <w:r>
        <w:t xml:space="preserve">El </w:t>
      </w:r>
      <w:proofErr w:type="spellStart"/>
      <w:r>
        <w:t>frontend</w:t>
      </w:r>
      <w:proofErr w:type="spellEnd"/>
      <w:r>
        <w:t xml:space="preserve"> nunca escribe directamente en la base de datos de negocio: se comunica con n8n mediante </w:t>
      </w:r>
      <w:proofErr w:type="spellStart"/>
      <w:r>
        <w:t>webhooks</w:t>
      </w:r>
      <w:proofErr w:type="spellEnd"/>
      <w:r>
        <w:t xml:space="preserve">, y n8n es el único componente que escribe en las tablas de negocio. El tablero de control, en cambio, lee directamente de </w:t>
      </w:r>
      <w:proofErr w:type="spellStart"/>
      <w:r>
        <w:t>Supabase</w:t>
      </w:r>
      <w:proofErr w:type="spellEnd"/>
      <w:r>
        <w:t xml:space="preserve"> en modo solo lectura, amparado por las políticas de RLS. Esta separación concentra la lógica de integración en el motor de orquestación (RNF4) y mantiene el </w:t>
      </w:r>
      <w:proofErr w:type="spellStart"/>
      <w:r>
        <w:t>frontend</w:t>
      </w:r>
      <w:proofErr w:type="spellEnd"/>
      <w:r>
        <w:t xml:space="preserve"> delgado.</w:t>
      </w:r>
    </w:p>
    <w:p w:rsidR="00D60FC7" w:rsidRDefault="00000000">
      <w:r>
        <w:rPr>
          <w:b w:val="0"/>
          <w:i w:val="0"/>
        </w:rPr>
        <w:t>La Figura 1 representa la arquitectura y el sentido de las comunicaciones entre capas; el detalle de cada una se desarrolla a continuación. Las cifras de la figura se corresponden con el flujo exportado que acompaña al trabajo: doce webhooks, tres procesos programados y 141 nodos funcionales.</w:t>
      </w:r>
    </w:p>
    <w:p>
      <w:pPr>
        <w:jc w:val="center"/>
        <w:keepNext/>
      </w:pPr>
      <w:r>
        <w:drawing>
          <wp:inline xmlns:a="http://schemas.openxmlformats.org/drawingml/2006/main" xmlns:pic="http://schemas.openxmlformats.org/drawingml/2006/picture">
            <wp:extent cx="5486400" cy="5550946"/>
            <wp:docPr id="40" name="Picture 40"/>
            <wp:cNvGraphicFramePr>
              <a:graphicFrameLocks noChangeAspect="1"/>
            </wp:cNvGraphicFramePr>
            <a:graphic>
              <a:graphicData uri="http://schemas.openxmlformats.org/drawingml/2006/picture">
                <pic:pic>
                  <pic:nvPicPr>
                    <pic:cNvPr id="0" name="figura1-arquitectura-v2.png"/>
                    <pic:cNvPicPr/>
                  </pic:nvPicPr>
                  <pic:blipFill>
                    <a:blip r:embed="rId34"/>
                    <a:stretch>
                      <a:fillRect/>
                    </a:stretch>
                  </pic:blipFill>
                  <pic:spPr>
                    <a:xfrm>
                      <a:off x="0" y="0"/>
                      <a:ext cx="5486400" cy="5550946"/>
                    </a:xfrm>
                    <a:prstGeom prst="rect"/>
                  </pic:spPr>
                </pic:pic>
              </a:graphicData>
            </a:graphic>
          </wp:inline>
        </w:drawing>
      </w:r>
    </w:p>
    <w:p>
      <w:pPr>
        <w:keepLines/>
      </w:pPr>
      <w:r>
        <w:rPr>
          <w:b/>
          <w:i w:val="0"/>
          <w:sz w:val="17"/>
        </w:rPr>
        <w:t>Figura 1.</w:t>
      </w:r>
      <w:r>
        <w:rPr>
          <w:b w:val="0"/>
          <w:i w:val="0"/>
          <w:sz w:val="17"/>
        </w:rPr>
        <w:t xml:space="preserve"> Arquitectura en tres capas del sistema, con los puntos de entrada de la capa de orquestación y el sentido de las escrituras y lecturas. </w:t>
      </w:r>
      <w:r>
        <w:rPr>
          <w:b w:val="0"/>
          <w:i/>
          <w:sz w:val="17"/>
        </w:rPr>
        <w:t>Nota.</w:t>
      </w:r>
      <w:r>
        <w:rPr>
          <w:b w:val="0"/>
          <w:i w:val="0"/>
          <w:sz w:val="17"/>
        </w:rPr>
        <w:t xml:space="preserve"> Elaboración propia a partir del flujo exportado </w:t>
      </w:r>
      <w:r>
        <w:rPr>
          <w:rFonts w:ascii="Consolas" w:hAnsi="Consolas" w:cs="Consolas"/>
          <w:b w:val="0"/>
          <w:i w:val="0"/>
          <w:sz w:val="17"/>
        </w:rPr>
        <w:t>workflow/crm_postgres.json</w:t>
      </w:r>
      <w:r>
        <w:rPr>
          <w:b w:val="0"/>
          <w:i w:val="0"/>
          <w:sz w:val="17"/>
        </w:rPr>
        <w:t xml:space="preserve"> y del esquema </w:t>
      </w:r>
      <w:r>
        <w:rPr>
          <w:rFonts w:ascii="Consolas" w:hAnsi="Consolas" w:cs="Consolas"/>
          <w:b w:val="0"/>
          <w:i w:val="0"/>
          <w:sz w:val="17"/>
        </w:rPr>
        <w:t>db/schema.sql</w:t>
      </w:r>
      <w:r>
        <w:rPr>
          <w:b w:val="0"/>
          <w:i w:val="0"/>
          <w:sz w:val="17"/>
        </w:rPr>
        <w:t xml:space="preserve"> del repositorio declarado en §4.1.</w:t>
      </w:r>
    </w:p>
    <w:p w:rsidR="00D60FC7" w:rsidRDefault="00000000">
      <w:pPr>
        <w:pStyle w:val="Ttulo2"/>
      </w:pPr>
      <w:bookmarkStart w:id="30" w:name="_Toc233808436"/>
      <w:r>
        <w:t xml:space="preserve">4.2 </w:t>
      </w:r>
      <w:proofErr w:type="spellStart"/>
      <w:r>
        <w:t>Frontend</w:t>
      </w:r>
      <w:proofErr w:type="spellEnd"/>
      <w:r>
        <w:t xml:space="preserve"> (Next.js)</w:t>
      </w:r>
      <w:bookmarkEnd w:id="30"/>
    </w:p>
    <w:p w:rsidR="00D60FC7" w:rsidRDefault="00000000">
      <w:r>
        <w:t xml:space="preserve">El </w:t>
      </w:r>
      <w:proofErr w:type="spellStart"/>
      <w:r>
        <w:t>frontend</w:t>
      </w:r>
      <w:proofErr w:type="spellEnd"/>
      <w:r>
        <w:t xml:space="preserve"> se organiza con el App </w:t>
      </w:r>
      <w:proofErr w:type="spellStart"/>
      <w:r>
        <w:t>Router</w:t>
      </w:r>
      <w:proofErr w:type="spellEnd"/>
      <w:r>
        <w:t xml:space="preserve"> de Next.js. Las rutas principales son el formulario público (</w:t>
      </w:r>
      <w:r>
        <w:rPr>
          <w:rFonts w:ascii="Consolas" w:hAnsi="Consolas" w:cs="Consolas"/>
        </w:rPr>
        <w:t>/</w:t>
      </w:r>
      <w:r>
        <w:t>), las pantallas de autenticación (</w:t>
      </w:r>
      <w:r>
        <w:rPr>
          <w:rFonts w:ascii="Consolas" w:hAnsi="Consolas" w:cs="Consolas"/>
        </w:rPr>
        <w:t>/</w:t>
      </w:r>
      <w:proofErr w:type="spellStart"/>
      <w:r>
        <w:rPr>
          <w:rFonts w:ascii="Consolas" w:hAnsi="Consolas" w:cs="Consolas"/>
        </w:rPr>
        <w:t>login</w:t>
      </w:r>
      <w:proofErr w:type="spellEnd"/>
      <w:r>
        <w:t xml:space="preserve">, </w:t>
      </w:r>
      <w:r>
        <w:rPr>
          <w:rFonts w:ascii="Consolas" w:hAnsi="Consolas" w:cs="Consolas"/>
        </w:rPr>
        <w:t>/</w:t>
      </w:r>
      <w:proofErr w:type="spellStart"/>
      <w:r>
        <w:rPr>
          <w:rFonts w:ascii="Consolas" w:hAnsi="Consolas" w:cs="Consolas"/>
        </w:rPr>
        <w:t>register</w:t>
      </w:r>
      <w:proofErr w:type="spellEnd"/>
      <w:r>
        <w:t>), el tablero protegido (</w:t>
      </w:r>
      <w:r>
        <w:rPr>
          <w:rFonts w:ascii="Consolas" w:hAnsi="Consolas" w:cs="Consolas"/>
        </w:rPr>
        <w:t>/</w:t>
      </w:r>
      <w:proofErr w:type="spellStart"/>
      <w:r>
        <w:rPr>
          <w:rFonts w:ascii="Consolas" w:hAnsi="Consolas" w:cs="Consolas"/>
        </w:rPr>
        <w:t>dashboard</w:t>
      </w:r>
      <w:proofErr w:type="spellEnd"/>
      <w:r>
        <w:t>), la página de aceptación (</w:t>
      </w:r>
      <w:r>
        <w:rPr>
          <w:rFonts w:ascii="Consolas" w:hAnsi="Consolas" w:cs="Consolas"/>
        </w:rPr>
        <w:t>/aceptar/[</w:t>
      </w:r>
      <w:proofErr w:type="spellStart"/>
      <w:r>
        <w:rPr>
          <w:rFonts w:ascii="Consolas" w:hAnsi="Consolas" w:cs="Consolas"/>
        </w:rPr>
        <w:t>leadId</w:t>
      </w:r>
      <w:proofErr w:type="spellEnd"/>
      <w:r>
        <w:rPr>
          <w:rFonts w:ascii="Consolas" w:hAnsi="Consolas" w:cs="Consolas"/>
        </w:rPr>
        <w:t>]</w:t>
      </w:r>
      <w:r>
        <w:t>) y los manejadores de confirmación y cierre de sesión (</w:t>
      </w:r>
      <w:r>
        <w:rPr>
          <w:rFonts w:ascii="Consolas" w:hAnsi="Consolas" w:cs="Consolas"/>
        </w:rPr>
        <w:t>/</w:t>
      </w:r>
      <w:proofErr w:type="spellStart"/>
      <w:r>
        <w:rPr>
          <w:rFonts w:ascii="Consolas" w:hAnsi="Consolas" w:cs="Consolas"/>
        </w:rPr>
        <w:t>auth</w:t>
      </w:r>
      <w:proofErr w:type="spellEnd"/>
      <w:r>
        <w:rPr>
          <w:rFonts w:ascii="Consolas" w:hAnsi="Consolas" w:cs="Consolas"/>
        </w:rPr>
        <w:t>/</w:t>
      </w:r>
      <w:proofErr w:type="spellStart"/>
      <w:r>
        <w:rPr>
          <w:rFonts w:ascii="Consolas" w:hAnsi="Consolas" w:cs="Consolas"/>
        </w:rPr>
        <w:t>confirm</w:t>
      </w:r>
      <w:proofErr w:type="spellEnd"/>
      <w:r>
        <w:t xml:space="preserve">, </w:t>
      </w:r>
      <w:r>
        <w:rPr>
          <w:rFonts w:ascii="Consolas" w:hAnsi="Consolas" w:cs="Consolas"/>
        </w:rPr>
        <w:t>/</w:t>
      </w:r>
      <w:proofErr w:type="spellStart"/>
      <w:r>
        <w:rPr>
          <w:rFonts w:ascii="Consolas" w:hAnsi="Consolas" w:cs="Consolas"/>
        </w:rPr>
        <w:t>auth</w:t>
      </w:r>
      <w:proofErr w:type="spellEnd"/>
      <w:r>
        <w:rPr>
          <w:rFonts w:ascii="Consolas" w:hAnsi="Consolas" w:cs="Consolas"/>
        </w:rPr>
        <w:t>/</w:t>
      </w:r>
      <w:proofErr w:type="spellStart"/>
      <w:r>
        <w:rPr>
          <w:rFonts w:ascii="Consolas" w:hAnsi="Consolas" w:cs="Consolas"/>
        </w:rPr>
        <w:t>signout</w:t>
      </w:r>
      <w:proofErr w:type="spellEnd"/>
      <w:r>
        <w:t>).</w:t>
      </w:r>
    </w:p>
    <w:p w:rsidR="00D60FC7" w:rsidRDefault="00000000">
      <w:pPr>
        <w:pStyle w:val="Ttulo3"/>
      </w:pPr>
      <w:bookmarkStart w:id="31" w:name="_Toc233808437"/>
      <w:r>
        <w:t>4.2.1 Formulario público de captación</w:t>
      </w:r>
      <w:bookmarkEnd w:id="31"/>
    </w:p>
    <w:p w:rsidR="00D60FC7" w:rsidRDefault="00000000">
      <w:proofErr w:type="spellStart"/>
      <w:proofErr w:type="spellEnd"/>
      <w:proofErr w:type="spellStart"/>
      <w:proofErr w:type="spellEnd"/>
      <w:r>
        <w:rPr>
          <w:b w:val="0"/>
          <w:i w:val="0"/>
        </w:rPr>
        <w:t xml:space="preserve">El componente </w:t>
      </w:r>
      <w:r>
        <w:rPr>
          <w:rFonts w:ascii="Consolas" w:hAnsi="Consolas" w:cs="Consolas"/>
          <w:b w:val="0"/>
          <w:i w:val="0"/>
        </w:rPr>
        <w:t>lead-form.tsx</w:t>
      </w:r>
      <w:r>
        <w:rPr>
          <w:b w:val="0"/>
          <w:i w:val="0"/>
        </w:rPr>
        <w:t xml:space="preserve"> presenta el formulario de captación con los campos nombre, correo, teléfono (opcional), tipo de servicio, urgencia, presupuesto —seleccionado mediante un control deslizante entre 100 y 5000 dólares— y descripción. El desplegable de servicio ofrece seis opciones: «Desarrollo Web», «Diseño UX/UI», «Marketing Digital», «SEO / Posicionamiento», «Consultoría» y «Otro». La validación se realiza en el cliente y, al enviar, el componente emite una petición HTTP POST al webhook de captación de n8n, cuya dirección base se configura mediante la variable de entorno </w:t>
      </w:r>
      <w:r>
        <w:rPr>
          <w:rFonts w:ascii="Consolas" w:hAnsi="Consolas" w:cs="Consolas"/>
          <w:b w:val="0"/>
          <w:i w:val="0"/>
        </w:rPr>
        <w:t>NEXT_PUBLIC_N8N_BASE</w:t>
      </w:r>
      <w:r>
        <w:rPr>
          <w:b w:val="0"/>
          <w:i w:val="0"/>
        </w:rPr>
        <w:t>. Ante una respuesta satisfactoria se muestra una confirmación; ante un error, un mensaje de alerta. Con esto se satisface el OE1 (Figura 5, véase Anexo A). En §4.3.1 se analizan dos consecuencias de este diseño que el trabajo no había discutido: el desajuste entre el rango del control deslizante y los tramos de puntaje, y el hecho de que tres de los nueve valores ponderados del scoring no puedan originarse en este formulario.</w:t>
      </w:r>
    </w:p>
    <w:p w:rsidR="00D60FC7" w:rsidRDefault="00000000">
      <w:pPr>
        <w:pStyle w:val="Ttulo3"/>
      </w:pPr>
      <w:bookmarkStart w:id="32" w:name="_Toc233808438"/>
      <w:r>
        <w:t xml:space="preserve">4.2.2 Autenticación con </w:t>
      </w:r>
      <w:proofErr w:type="spellStart"/>
      <w:r>
        <w:t>Supabase</w:t>
      </w:r>
      <w:proofErr w:type="spellEnd"/>
      <w:r>
        <w:t xml:space="preserve"> </w:t>
      </w:r>
      <w:proofErr w:type="spellStart"/>
      <w:r>
        <w:t>Auth</w:t>
      </w:r>
      <w:bookmarkEnd w:id="32"/>
      <w:proofErr w:type="spellEnd"/>
    </w:p>
    <w:p w:rsidR="00D60FC7" w:rsidRDefault="00000000">
      <w:r>
        <w:t xml:space="preserve">El acceso al tablero se resuelve con </w:t>
      </w:r>
      <w:proofErr w:type="spellStart"/>
      <w:r>
        <w:t>Supabase</w:t>
      </w:r>
      <w:proofErr w:type="spellEnd"/>
      <w:r>
        <w:t xml:space="preserve"> </w:t>
      </w:r>
      <w:proofErr w:type="spellStart"/>
      <w:r>
        <w:t>Auth</w:t>
      </w:r>
      <w:proofErr w:type="spellEnd"/>
      <w:r>
        <w:t xml:space="preserve"> por correo y contraseña. El registro (</w:t>
      </w:r>
      <w:proofErr w:type="spellStart"/>
      <w:r>
        <w:rPr>
          <w:rFonts w:ascii="Consolas" w:hAnsi="Consolas" w:cs="Consolas"/>
        </w:rPr>
        <w:t>register-form.tsx</w:t>
      </w:r>
      <w:proofErr w:type="spellEnd"/>
      <w:r>
        <w:t xml:space="preserve">) invoca </w:t>
      </w:r>
      <w:proofErr w:type="spellStart"/>
      <w:r>
        <w:rPr>
          <w:rFonts w:ascii="Consolas" w:hAnsi="Consolas" w:cs="Consolas"/>
        </w:rPr>
        <w:t>signUp</w:t>
      </w:r>
      <w:proofErr w:type="spellEnd"/>
      <w:r>
        <w:t xml:space="preserve"> con redirección a </w:t>
      </w:r>
      <w:r>
        <w:rPr>
          <w:rFonts w:ascii="Consolas" w:hAnsi="Consolas" w:cs="Consolas"/>
        </w:rPr>
        <w:t>/</w:t>
      </w:r>
      <w:proofErr w:type="spellStart"/>
      <w:r>
        <w:rPr>
          <w:rFonts w:ascii="Consolas" w:hAnsi="Consolas" w:cs="Consolas"/>
        </w:rPr>
        <w:t>auth</w:t>
      </w:r>
      <w:proofErr w:type="spellEnd"/>
      <w:r>
        <w:rPr>
          <w:rFonts w:ascii="Consolas" w:hAnsi="Consolas" w:cs="Consolas"/>
        </w:rPr>
        <w:t>/</w:t>
      </w:r>
      <w:proofErr w:type="spellStart"/>
      <w:r>
        <w:rPr>
          <w:rFonts w:ascii="Consolas" w:hAnsi="Consolas" w:cs="Consolas"/>
        </w:rPr>
        <w:t>confirm</w:t>
      </w:r>
      <w:proofErr w:type="spellEnd"/>
      <w:r>
        <w:t>; el inicio de sesión (</w:t>
      </w:r>
      <w:proofErr w:type="spellStart"/>
      <w:r>
        <w:rPr>
          <w:rFonts w:ascii="Consolas" w:hAnsi="Consolas" w:cs="Consolas"/>
        </w:rPr>
        <w:t>login-form.tsx</w:t>
      </w:r>
      <w:proofErr w:type="spellEnd"/>
      <w:r>
        <w:t xml:space="preserve">) invoca </w:t>
      </w:r>
      <w:proofErr w:type="spellStart"/>
      <w:r>
        <w:rPr>
          <w:rFonts w:ascii="Consolas" w:hAnsi="Consolas" w:cs="Consolas"/>
        </w:rPr>
        <w:t>signInWithPassword</w:t>
      </w:r>
      <w:proofErr w:type="spellEnd"/>
      <w:r>
        <w:t xml:space="preserve">; el manejador </w:t>
      </w:r>
      <w:r>
        <w:rPr>
          <w:rFonts w:ascii="Consolas" w:hAnsi="Consolas" w:cs="Consolas"/>
        </w:rPr>
        <w:t>/</w:t>
      </w:r>
      <w:proofErr w:type="spellStart"/>
      <w:r>
        <w:rPr>
          <w:rFonts w:ascii="Consolas" w:hAnsi="Consolas" w:cs="Consolas"/>
        </w:rPr>
        <w:t>auth</w:t>
      </w:r>
      <w:proofErr w:type="spellEnd"/>
      <w:r>
        <w:rPr>
          <w:rFonts w:ascii="Consolas" w:hAnsi="Consolas" w:cs="Consolas"/>
        </w:rPr>
        <w:t>/</w:t>
      </w:r>
      <w:proofErr w:type="spellStart"/>
      <w:r>
        <w:rPr>
          <w:rFonts w:ascii="Consolas" w:hAnsi="Consolas" w:cs="Consolas"/>
        </w:rPr>
        <w:t>confirm</w:t>
      </w:r>
      <w:proofErr w:type="spellEnd"/>
      <w:r>
        <w:t xml:space="preserve"> verifica el código de un solo uso (</w:t>
      </w:r>
      <w:proofErr w:type="spellStart"/>
      <w:r>
        <w:rPr>
          <w:rFonts w:ascii="Consolas" w:hAnsi="Consolas" w:cs="Consolas"/>
        </w:rPr>
        <w:t>verifyOtp</w:t>
      </w:r>
      <w:proofErr w:type="spellEnd"/>
      <w:r>
        <w:t xml:space="preserve">) y el manejador </w:t>
      </w:r>
      <w:r>
        <w:rPr>
          <w:rFonts w:ascii="Consolas" w:hAnsi="Consolas" w:cs="Consolas"/>
        </w:rPr>
        <w:t>/</w:t>
      </w:r>
      <w:proofErr w:type="spellStart"/>
      <w:r>
        <w:rPr>
          <w:rFonts w:ascii="Consolas" w:hAnsi="Consolas" w:cs="Consolas"/>
        </w:rPr>
        <w:t>auth</w:t>
      </w:r>
      <w:proofErr w:type="spellEnd"/>
      <w:r>
        <w:rPr>
          <w:rFonts w:ascii="Consolas" w:hAnsi="Consolas" w:cs="Consolas"/>
        </w:rPr>
        <w:t>/</w:t>
      </w:r>
      <w:proofErr w:type="spellStart"/>
      <w:r>
        <w:rPr>
          <w:rFonts w:ascii="Consolas" w:hAnsi="Consolas" w:cs="Consolas"/>
        </w:rPr>
        <w:t>signout</w:t>
      </w:r>
      <w:proofErr w:type="spellEnd"/>
      <w:r>
        <w:t xml:space="preserve"> cierra la sesión. Los códigos de error de </w:t>
      </w:r>
      <w:proofErr w:type="spellStart"/>
      <w:r>
        <w:t>Supabase</w:t>
      </w:r>
      <w:proofErr w:type="spellEnd"/>
      <w:r>
        <w:t xml:space="preserve"> se traducen a mensajes en español mediante la función </w:t>
      </w:r>
      <w:proofErr w:type="spellStart"/>
      <w:r>
        <w:rPr>
          <w:rFonts w:ascii="Consolas" w:hAnsi="Consolas" w:cs="Consolas"/>
        </w:rPr>
        <w:t>translateAuthError</w:t>
      </w:r>
      <w:proofErr w:type="spellEnd"/>
      <w:r>
        <w:t xml:space="preserve"> del módulo </w:t>
      </w:r>
      <w:proofErr w:type="spellStart"/>
      <w:r>
        <w:rPr>
          <w:rFonts w:ascii="Consolas" w:hAnsi="Consolas" w:cs="Consolas"/>
        </w:rPr>
        <w:t>auth-errors.ts</w:t>
      </w:r>
      <w:proofErr w:type="spellEnd"/>
      <w:r>
        <w:t>, en cumplimiento del RNF5.</w:t>
      </w:r>
    </w:p>
    <w:p w:rsidR="00D60FC7" w:rsidRDefault="00000000">
      <w:pPr>
        <w:pStyle w:val="Ttulo3"/>
      </w:pPr>
      <w:bookmarkStart w:id="33" w:name="_Toc233808439"/>
      <w:r>
        <w:t>4.2.3 Protección de rutas</w:t>
      </w:r>
      <w:bookmarkEnd w:id="33"/>
    </w:p>
    <w:p w:rsidR="00D60FC7" w:rsidRDefault="00000000">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b w:val="0"/>
          <w:i w:val="0"/>
        </w:rPr>
        <w:t xml:space="preserve">La protección de rutas se resuelve en dos niveles, en un esquema de defensa en profundidad. El primero es el archivo </w:t>
      </w:r>
      <w:r>
        <w:rPr>
          <w:rFonts w:ascii="Consolas" w:hAnsi="Consolas" w:cs="Consolas"/>
          <w:b w:val="0"/>
          <w:i w:val="0"/>
        </w:rPr>
        <w:t>proxy.ts</w:t>
      </w:r>
      <w:r>
        <w:rPr>
          <w:b w:val="0"/>
          <w:i w:val="0"/>
        </w:rPr>
        <w:t xml:space="preserve"> —la convención vigente en Next.js 16, que reemplaza al histórico </w:t>
      </w:r>
      <w:r>
        <w:rPr>
          <w:rFonts w:ascii="Consolas" w:hAnsi="Consolas" w:cs="Consolas"/>
          <w:b w:val="0"/>
          <w:i w:val="0"/>
        </w:rPr>
        <w:t>middleware.ts</w:t>
      </w:r>
      <w:r>
        <w:rPr>
          <w:b w:val="0"/>
          <w:i w:val="0"/>
        </w:rPr>
        <w:t xml:space="preserve">—, apoyado en el ayudante </w:t>
      </w:r>
      <w:r>
        <w:rPr>
          <w:rFonts w:ascii="Consolas" w:hAnsi="Consolas" w:cs="Consolas"/>
          <w:b w:val="0"/>
          <w:i w:val="0"/>
        </w:rPr>
        <w:t>updateSession</w:t>
      </w:r>
      <w:r>
        <w:rPr>
          <w:b w:val="0"/>
          <w:i w:val="0"/>
        </w:rPr>
        <w:t xml:space="preserve"> del módulo </w:t>
      </w:r>
      <w:r>
        <w:rPr>
          <w:rFonts w:ascii="Consolas" w:hAnsi="Consolas" w:cs="Consolas"/>
          <w:b w:val="0"/>
          <w:i w:val="0"/>
        </w:rPr>
        <w:t>lib/supabase/middleware.ts</w:t>
      </w:r>
      <w:r>
        <w:rPr>
          <w:b w:val="0"/>
          <w:i w:val="0"/>
        </w:rPr>
        <w:t>. En cada petición comprueba si la ruta pertenece al conjunto de rutas protegidas (</w:t>
      </w:r>
      <w:r>
        <w:rPr>
          <w:rFonts w:ascii="Consolas" w:hAnsi="Consolas" w:cs="Consolas"/>
          <w:b w:val="0"/>
          <w:i w:val="0"/>
        </w:rPr>
        <w:t>PROTECTED_ROUTES</w:t>
      </w:r>
      <w:r>
        <w:rPr>
          <w:b w:val="0"/>
          <w:i w:val="0"/>
        </w:rPr>
        <w:t xml:space="preserve">, que incluye </w:t>
      </w:r>
      <w:r>
        <w:rPr>
          <w:rFonts w:ascii="Consolas" w:hAnsi="Consolas" w:cs="Consolas"/>
          <w:b w:val="0"/>
          <w:i w:val="0"/>
        </w:rPr>
        <w:t>/dashboard</w:t>
      </w:r>
      <w:r>
        <w:rPr>
          <w:b w:val="0"/>
          <w:i w:val="0"/>
        </w:rPr>
        <w:t xml:space="preserve">) y, mediante </w:t>
      </w:r>
      <w:r>
        <w:rPr>
          <w:rFonts w:ascii="Consolas" w:hAnsi="Consolas" w:cs="Consolas"/>
          <w:b w:val="0"/>
          <w:i w:val="0"/>
        </w:rPr>
        <w:t>getUser</w:t>
      </w:r>
      <w:r>
        <w:rPr>
          <w:b w:val="0"/>
          <w:i w:val="0"/>
        </w:rPr>
        <w:t xml:space="preserve">, valida la sesión contra Supabase; si no hay usuario, redirige a </w:t>
      </w:r>
      <w:r>
        <w:rPr>
          <w:rFonts w:ascii="Consolas" w:hAnsi="Consolas" w:cs="Consolas"/>
          <w:b w:val="0"/>
          <w:i w:val="0"/>
        </w:rPr>
        <w:t>/login</w:t>
      </w:r>
      <w:r>
        <w:rPr>
          <w:b w:val="0"/>
          <w:i w:val="0"/>
        </w:rPr>
        <w:t xml:space="preserve"> conservando el destino original en el parámetro </w:t>
      </w:r>
      <w:r>
        <w:rPr>
          <w:rFonts w:ascii="Consolas" w:hAnsi="Consolas" w:cs="Consolas"/>
          <w:b w:val="0"/>
          <w:i w:val="0"/>
        </w:rPr>
        <w:t>redirectTo</w:t>
      </w:r>
      <w:r>
        <w:rPr>
          <w:b w:val="0"/>
          <w:i w:val="0"/>
        </w:rPr>
        <w:t>.</w:t>
      </w:r>
    </w:p>
    <w:p>
      <w:pPr/>
      <w:r>
        <w:rPr>
          <w:b w:val="0"/>
          <w:i w:val="0"/>
        </w:rPr>
        <w:t>Conviene precisar la naturaleza de esa capa, porque una formulación anterior de este apartado la describía como ejecutada «en el borde» y como el lugar donde «se implementa la protección». Ambas afirmaciones son incorrectas. proxy.ts se ejecuta en el entorno de Node.js, no en el borde. Y el renombre de middleware.ts a proxy.ts se introdujo precisamente para señalar que esa capa es infraestructura de enrutamiento y no un mecanismo de seguridad: una vulnerabilidad de alta severidad había demostrado que las verificaciones de autenticación alojadas allí podían eludirse. Documentar la capa de proxy como control efectivo invertiría el orden de importancia entre la comprobación indicativa y la comprobación real.</w:t>
      </w:r>
      <w:r>
        <w:rPr>
          <w:rFonts w:ascii="Consolas" w:hAnsi="Consolas" w:cs="Consolas"/>
          <w:b w:val="0"/>
          <w:i w:val="0"/>
        </w:rPr>
      </w:r>
      <w:r>
        <w:rPr>
          <w:b w:val="0"/>
          <w:i w:val="0"/>
        </w:rPr>
      </w:r>
      <w:r>
        <w:rPr>
          <w:rFonts w:ascii="Consolas" w:hAnsi="Consolas" w:cs="Consolas"/>
          <w:b w:val="0"/>
          <w:i w:val="0"/>
        </w:rPr>
      </w:r>
      <w:r>
        <w:rPr>
          <w:b w:val="0"/>
          <w:i w:val="0"/>
        </w:rPr>
      </w:r>
      <w:r>
        <w:rPr>
          <w:rFonts w:ascii="Consolas" w:hAnsi="Consolas" w:cs="Consolas"/>
          <w:b w:val="0"/>
          <w:i w:val="0"/>
        </w:rPr>
      </w:r>
      <w:r>
        <w:rPr>
          <w:b w:val="0"/>
          <w:i w:val="0"/>
        </w:rPr>
      </w:r>
    </w:p>
    <w:p>
      <w:pPr/>
      <w:r>
        <w:rPr>
          <w:b w:val="0"/>
          <w:i w:val="0"/>
        </w:rPr>
        <w:t xml:space="preserve">El segundo nivel —y el único que constituye un control de acceso efectivo— es el componente de servidor de la ruta protegida. </w:t>
      </w:r>
      <w:r>
        <w:rPr>
          <w:rFonts w:ascii="Consolas" w:hAnsi="Consolas" w:cs="Consolas"/>
          <w:b w:val="0"/>
          <w:i w:val="0"/>
        </w:rPr>
        <w:t>dashboard/page.tsx</w:t>
      </w:r>
      <w:r>
        <w:rPr>
          <w:b w:val="0"/>
          <w:i w:val="0"/>
        </w:rPr>
        <w:t xml:space="preserve"> vuelve a resolver </w:t>
      </w:r>
      <w:r>
        <w:rPr>
          <w:rFonts w:ascii="Consolas" w:hAnsi="Consolas" w:cs="Consolas"/>
          <w:b w:val="0"/>
          <w:i w:val="0"/>
        </w:rPr>
        <w:t>getUser</w:t>
      </w:r>
      <w:r>
        <w:rPr>
          <w:b w:val="0"/>
          <w:i w:val="0"/>
        </w:rPr>
        <w:t xml:space="preserve"> y, además, consulta la tabla </w:t>
      </w:r>
      <w:r>
        <w:rPr>
          <w:rFonts w:ascii="Consolas" w:hAnsi="Consolas" w:cs="Consolas"/>
          <w:b w:val="0"/>
          <w:i w:val="0"/>
        </w:rPr>
        <w:t>profiles</w:t>
      </w:r>
      <w:r>
        <w:rPr>
          <w:b w:val="0"/>
          <w:i w:val="0"/>
        </w:rPr>
        <w:t xml:space="preserve"> y redirige a la raíz a todo usuario cuyo </w:t>
      </w:r>
      <w:r>
        <w:rPr>
          <w:rFonts w:ascii="Consolas" w:hAnsi="Consolas" w:cs="Consolas"/>
          <w:b w:val="0"/>
          <w:i w:val="0"/>
        </w:rPr>
        <w:t>role</w:t>
      </w:r>
      <w:r>
        <w:rPr>
          <w:b w:val="0"/>
          <w:i w:val="0"/>
        </w:rPr>
        <w:t xml:space="preserve"> no sea </w:t>
      </w:r>
      <w:r>
        <w:rPr>
          <w:rFonts w:ascii="Consolas" w:hAnsi="Consolas" w:cs="Consolas"/>
          <w:b w:val="0"/>
          <w:i w:val="0"/>
        </w:rPr>
        <w:t>admin</w:t>
      </w:r>
      <w:r>
        <w:rPr>
          <w:b w:val="0"/>
          <w:i w:val="0"/>
        </w:rPr>
        <w:t>. No alcanza, por tanto, con estar autenticado: el tablero exige rol de administrador. Esta compuerta de rol no figuraba en versiones anteriores de este apartado, que describían únicamente la validación de sesión y presentaban así un control de acceso más débil que el efectivamente implementado. La misma exigencia se replica en la capa de datos mediante las políticas de seguridad a nivel de fila (§4.6 y Anexo C), de modo que el control se aplica tres veces: enrutamiento, componente de servidor y base de datos.</w:t>
      </w:r>
    </w:p>
    <w:p w:rsidR="00D60FC7" w:rsidRDefault="00000000">
      <w:pPr>
        <w:pStyle w:val="Ttulo3"/>
      </w:pPr>
      <w:bookmarkStart w:id="34" w:name="_Toc233808440"/>
      <w:r>
        <w:t xml:space="preserve">4.2.4 Cliente de </w:t>
      </w:r>
      <w:proofErr w:type="spellStart"/>
      <w:r>
        <w:t>Supabase</w:t>
      </w:r>
      <w:proofErr w:type="spellEnd"/>
      <w:r>
        <w:t xml:space="preserve"> y degradación defensiva</w:t>
      </w:r>
      <w:bookmarkEnd w:id="34"/>
    </w:p>
    <w:p w:rsidR="00D60FC7" w:rsidRDefault="00000000">
      <w:proofErr w:type="spellStart"/>
      <w:proofErr w:type="spellEnd"/>
      <w:proofErr w:type="spellStart"/>
      <w:proofErr w:type="spellEnd"/>
      <w:proofErr w:type="spellStart"/>
      <w:proofErr w:type="spellEnd"/>
      <w:proofErr w:type="spellStart"/>
      <w:proofErr w:type="spellEnd"/>
      <w:r>
        <w:rPr>
          <w:b w:val="0"/>
          <w:i w:val="0"/>
        </w:rPr>
        <w:t>La conexión con Supabase se estructura en tres clientes especializados: un cliente de navegador (</w:t>
      </w:r>
      <w:r>
        <w:rPr>
          <w:rFonts w:ascii="Consolas" w:hAnsi="Consolas" w:cs="Consolas"/>
          <w:b w:val="0"/>
          <w:i w:val="0"/>
        </w:rPr>
        <w:t>client.ts</w:t>
      </w:r>
      <w:r>
        <w:rPr>
          <w:b w:val="0"/>
          <w:i w:val="0"/>
        </w:rPr>
        <w:t>), un cliente de servidor que gestiona la sesión mediante cookies (</w:t>
      </w:r>
      <w:r>
        <w:rPr>
          <w:rFonts w:ascii="Consolas" w:hAnsi="Consolas" w:cs="Consolas"/>
          <w:b w:val="0"/>
          <w:i w:val="0"/>
        </w:rPr>
        <w:t>server.ts</w:t>
      </w:r>
      <w:r>
        <w:rPr>
          <w:b w:val="0"/>
          <w:i w:val="0"/>
        </w:rPr>
        <w:t>) y un cliente para la comprobación de sesión en la capa de proxy (</w:t>
      </w:r>
      <w:r>
        <w:rPr>
          <w:rFonts w:ascii="Consolas" w:hAnsi="Consolas" w:cs="Consolas"/>
          <w:b w:val="0"/>
          <w:i w:val="0"/>
        </w:rPr>
        <w:t>middleware.ts</w:t>
      </w:r>
      <w:r>
        <w:rPr>
          <w:b w:val="0"/>
          <w:i w:val="0"/>
        </w:rPr>
        <w:t>), que se ejecuta en el entorno de Node.js. Todos comparten un criterio defensivo: si faltan las variables de entorno, devuelven un valor nulo en lugar de interrumpir la construcción de la aplicación, lo que permite desplegar sin configurar y evita caídas del despliegue (RNF3).</w:t>
      </w:r>
    </w:p>
    <w:p w:rsidR="00D60FC7" w:rsidRDefault="00000000">
      <w:pPr>
        <w:pStyle w:val="Ttulo3"/>
      </w:pPr>
      <w:bookmarkStart w:id="35" w:name="_Toc233808441"/>
      <w:r>
        <w:t>4.2.5 Tablero de control en tiempo real</w:t>
      </w:r>
      <w:bookmarkEnd w:id="35"/>
    </w:p>
    <w:p w:rsidR="00D60FC7" w:rsidRDefault="00000000">
      <w:proofErr w:type="spellStart"/>
      <w:proofErr w:type="spellEnd"/>
      <w:proofErr w:type="spellStart"/>
      <w:proofErr w:type="spellEnd"/>
      <w:proofErr w:type="spellStart"/>
      <w:proofErr w:type="spellEnd"/>
      <w:proofErr w:type="spellStart"/>
      <w:proofErr w:type="spellEnd"/>
      <w:proofErr w:type="spellStart"/>
      <w:proofErr w:type="spellEnd"/>
      <w:r>
        <w:rPr>
          <w:b w:val="0"/>
          <w:i w:val="0"/>
        </w:rPr>
        <w:t>El tablero (</w:t>
      </w:r>
      <w:r>
        <w:rPr>
          <w:rFonts w:ascii="Consolas" w:hAnsi="Consolas" w:cs="Consolas"/>
          <w:b w:val="0"/>
          <w:i w:val="0"/>
        </w:rPr>
        <w:t>dashboard-client.tsx</w:t>
      </w:r>
      <w:r>
        <w:rPr>
          <w:b w:val="0"/>
          <w:i w:val="0"/>
        </w:rPr>
        <w:t xml:space="preserve">) consulta cuatro conjuntos de datos: los indicadores del mes desde la vista </w:t>
      </w:r>
      <w:r>
        <w:rPr>
          <w:rFonts w:ascii="Consolas" w:hAnsi="Consolas" w:cs="Consolas"/>
          <w:b w:val="0"/>
          <w:i w:val="0"/>
        </w:rPr>
        <w:t>metrics_mensuales</w:t>
      </w:r>
      <w:r>
        <w:rPr>
          <w:b w:val="0"/>
          <w:i w:val="0"/>
        </w:rPr>
        <w:t xml:space="preserve">, el embudo a partir del estado de los registros de </w:t>
      </w:r>
      <w:r>
        <w:rPr>
          <w:rFonts w:ascii="Consolas" w:hAnsi="Consolas" w:cs="Consolas"/>
          <w:b w:val="0"/>
          <w:i w:val="0"/>
        </w:rPr>
        <w:t>leads</w:t>
      </w:r>
      <w:r>
        <w:rPr>
          <w:b w:val="0"/>
          <w:i w:val="0"/>
        </w:rPr>
        <w:t xml:space="preserve">, los leads recientes y las facturas pendientes desde la vista </w:t>
      </w:r>
      <w:r>
        <w:rPr>
          <w:rFonts w:ascii="Consolas" w:hAnsi="Consolas" w:cs="Consolas"/>
          <w:b w:val="0"/>
          <w:i w:val="0"/>
        </w:rPr>
        <w:t>facturas_pendientes</w:t>
      </w:r>
      <w:r>
        <w:rPr>
          <w:b w:val="0"/>
          <w:i w:val="0"/>
        </w:rPr>
        <w:t xml:space="preserve">. Presenta indicadores clave —cantidad de leads, tasa de conversión, tasa de cobro, facturación, montos cobrados, pendientes y vencidos—, un gráfico de embudo por estado y tablas de leads y de facturas, con resaltado de los vencimientos. La definición operacional de cada indicador, con su fórmula y su alcance temporal, se detalla en la Tabla 8; su lectura es imprescindible porque los indicadores del mes y el embudo por estado no comparten el mismo alcance temporal. Para mantener la información actualizada sin recarga manual, el tablero se suscribe a los cambios de la tabla </w:t>
      </w:r>
      <w:r>
        <w:rPr>
          <w:rFonts w:ascii="Consolas" w:hAnsi="Consolas" w:cs="Consolas"/>
          <w:b w:val="0"/>
          <w:i w:val="0"/>
        </w:rPr>
        <w:t>leads</w:t>
      </w:r>
      <w:r>
        <w:rPr>
          <w:b w:val="0"/>
          <w:i w:val="0"/>
        </w:rPr>
        <w:t xml:space="preserve"> mediante el canal de tiempo real de Supabase (</w:t>
      </w:r>
      <w:r>
        <w:rPr>
          <w:rFonts w:ascii="Consolas" w:hAnsi="Consolas" w:cs="Consolas"/>
          <w:b w:val="0"/>
          <w:i w:val="0"/>
        </w:rPr>
        <w:t>postgres_changes</w:t>
      </w:r>
      <w:r>
        <w:rPr>
          <w:b w:val="0"/>
          <w:i w:val="0"/>
        </w:rPr>
        <w:t>) y vuelve a consultar los datos ante cada alta, modificación o baja (RNF6). Estas prestaciones satisfacen, junto con el modelo de datos, el OE4 (Figura 6, véase Anexo A).</w:t>
      </w:r>
    </w:p>
    <w:p w:rsidR="00D60FC7" w:rsidRDefault="00000000">
      <w:pPr>
        <w:pStyle w:val="Ttulo3"/>
      </w:pPr>
      <w:bookmarkStart w:id="36" w:name="_Toc233808442"/>
      <w:r>
        <w:t>4.2.6 Página de aceptación de propuestas</w:t>
      </w:r>
      <w:bookmarkEnd w:id="36"/>
    </w:p>
    <w:p w:rsidR="00D60FC7" w:rsidRDefault="00000000">
      <w:r>
        <w:t>La ruta pública /aceptar/[leadId] recibe, además del identificador del lead, un token en el parámetro de consulta (así llega por tratarse de un enlace enviado por correo). Desde esa página el cliente dispone de tres acciones —aceptar la propuesta, solicitar cambios o rechazarla— y el componente envía el identificador y el token en el cuerpo de una petición POST al webhook correspondiente de n8n (aceptación, pedido de cambios o rechazo). En el caso de la aceptación, según la respuesta, se informa uno de tres resultados posibles: aceptación satisfactoria, enlace ya utilizado o enlace inválido o vencido. Al no requerir cuenta, esta ruta se protege exclusivamente con el token, no con Supabase Auth (Figura 7, véase Anexo A).</w:t>
      </w:r>
      <w:r>
        <w:rPr>
          <w:rFonts w:ascii="Consolas" w:hAnsi="Consolas" w:cs="Consolas"/>
        </w:rPr>
      </w:r>
      <w:proofErr w:type="spellStart"/>
      <w:r>
        <w:rPr>
          <w:rFonts w:ascii="Consolas" w:hAnsi="Consolas" w:cs="Consolas"/>
        </w:rPr>
      </w:r>
      <w:proofErr w:type="spellEnd"/>
      <w:r>
        <w:rPr>
          <w:rFonts w:ascii="Consolas" w:hAnsi="Consolas" w:cs="Consolas"/>
        </w:rPr>
      </w:r>
      <w:r/>
      <w:proofErr w:type="spellStart"/>
      <w:r/>
      <w:proofErr w:type="spellEnd"/>
      <w:r/>
      <w:proofErr w:type="spellStart"/>
      <w:r/>
      <w:proofErr w:type="spellEnd"/>
      <w:r/>
      <w:proofErr w:type="spellStart"/>
      <w:r/>
      <w:proofErr w:type="spellEnd"/>
      <w:r/>
      <w:r/>
      <w:r/>
    </w:p>
    <w:p w:rsidR="00D60FC7" w:rsidRDefault="00000000">
      <w:pPr>
        <w:pStyle w:val="Ttulo2"/>
      </w:pPr>
      <w:bookmarkStart w:id="37" w:name="_Toc233808443"/>
      <w:r>
        <w:t xml:space="preserve">4.3 </w:t>
      </w:r>
      <w:proofErr w:type="spellStart"/>
      <w:r>
        <w:t>Backend</w:t>
      </w:r>
      <w:proofErr w:type="spellEnd"/>
      <w:r>
        <w:t xml:space="preserve"> de automatización (n8n)</w:t>
      </w:r>
      <w:bookmarkEnd w:id="37"/>
    </w:p>
    <w:p w:rsidR="00D60FC7" w:rsidRDefault="00000000">
      <w:r>
        <w:t>El flujo de trabajo exportado desde n8n contiene 141 nodos funcionales (157 en total, incluidas 16 notas adhesivas de documentación) y organiza la lógica de negocio en varios procesos: captación y calificación de leads; aceptación de la propuesta, con sus variantes de rechazo y pedido de cambios; facturación; pago; cierre de proyecto; gestión del estado de trabajo; cancelación del lead; y un conjunto de procesos programados. Se describe cada uno a partir de su definición real.</w:t>
      </w:r>
    </w:p>
    <w:p w:rsidR="00D60FC7" w:rsidRDefault="00000000">
      <w:pPr>
        <w:pStyle w:val="Ttulo3"/>
      </w:pPr>
      <w:bookmarkStart w:id="38" w:name="_Toc233808444"/>
      <w:r>
        <w:t>4.3.1 Captación y calificación (</w:t>
      </w:r>
      <w:proofErr w:type="spellStart"/>
      <w:r>
        <w:t>webhook</w:t>
      </w:r>
      <w:proofErr w:type="spellEnd"/>
      <w:r>
        <w:t xml:space="preserve"> de nuevo lead)</w:t>
      </w:r>
      <w:bookmarkEnd w:id="38"/>
    </w:p>
    <w:p w:rsidR="00D60FC7" w:rsidRDefault="00000000">
      <w:proofErr w:type="spellStart"/>
      <w:proofErr w:type="spellEnd"/>
      <w:proofErr w:type="spellStart"/>
      <w:proofErr w:type="spellEnd"/>
      <w:proofErr w:type="spellStart"/>
      <w:proofErr w:type="spellEnd"/>
      <w:proofErr w:type="spellStart"/>
      <w:proofErr w:type="spellEnd"/>
      <w:r>
        <w:rPr>
          <w:b w:val="0"/>
          <w:i w:val="0"/>
        </w:rPr>
        <w:t xml:space="preserve">El proceso se dispara con el webhook </w:t>
      </w:r>
      <w:r>
        <w:rPr>
          <w:rFonts w:ascii="Consolas" w:hAnsi="Consolas" w:cs="Consolas"/>
          <w:b w:val="0"/>
          <w:i w:val="0"/>
        </w:rPr>
        <w:t>POST /lead/nuevo</w:t>
      </w:r>
      <w:r>
        <w:rPr>
          <w:b w:val="0"/>
          <w:i w:val="0"/>
        </w:rPr>
        <w:t xml:space="preserve">. El primer nodo, </w:t>
      </w:r>
      <w:r>
        <w:rPr>
          <w:b w:val="0"/>
          <w:i/>
        </w:rPr>
        <w:t>Normalizar Lead</w:t>
      </w:r>
      <w:r>
        <w:rPr>
          <w:b w:val="0"/>
          <w:i w:val="0"/>
        </w:rPr>
        <w:t xml:space="preserve">, ejecuta código JavaScript que recorta y estandariza los campos: convierte el correo a minúsculas, interpreta el presupuesto como entero, restringe la urgencia al conjunto {alta, media, baja} —con </w:t>
      </w:r>
      <w:r>
        <w:rPr>
          <w:rFonts w:ascii="Consolas" w:hAnsi="Consolas" w:cs="Consolas"/>
          <w:b w:val="0"/>
          <w:i w:val="0"/>
        </w:rPr>
        <w:t>media</w:t>
      </w:r>
      <w:r>
        <w:rPr>
          <w:b w:val="0"/>
          <w:i w:val="0"/>
        </w:rPr>
        <w:t xml:space="preserve"> cuando el valor recibido no pertenece a ese conjunto— y traduce el servicio a una lista blanca de nueve valores mediante un mapeo explícito. Aplica tres validaciones mínimas (correo con arroba, nombre de al menos dos caracteres y presupuesto mayor que cero) y, si alguna falla, interrumpe el flujo con un error; en caso contrario, genera un identificador único con el formato </w:t>
      </w:r>
      <w:r>
        <w:rPr>
          <w:rFonts w:ascii="Consolas" w:hAnsi="Consolas" w:cs="Consolas"/>
          <w:b w:val="0"/>
          <w:i w:val="0"/>
        </w:rPr>
        <w:t>LD-&lt;timestamp&gt;-&lt;aleatorio&gt;</w:t>
      </w:r>
      <w:r>
        <w:rPr>
          <w:b w:val="0"/>
          <w:i w:val="0"/>
        </w:rPr>
        <w:t xml:space="preserve"> y trunca la descripción a 2000 caracteres. El lead normalizado se persiste con el nodo </w:t>
      </w:r>
      <w:r>
        <w:rPr>
          <w:b w:val="0"/>
          <w:i/>
        </w:rPr>
        <w:t>Insert Lead</w:t>
      </w:r>
      <w:r>
        <w:rPr>
          <w:b w:val="0"/>
          <w:i w:val="0"/>
        </w:rPr>
        <w:t xml:space="preserve"> en la tabla </w:t>
      </w:r>
      <w:r>
        <w:rPr>
          <w:rFonts w:ascii="Consolas" w:hAnsi="Consolas" w:cs="Consolas"/>
          <w:b w:val="0"/>
          <w:i w:val="0"/>
        </w:rPr>
        <w:t>leads</w:t>
      </w:r>
      <w:r>
        <w:rPr>
          <w:b w:val="0"/>
          <w:i w:val="0"/>
        </w:rPr>
        <w:t>.</w:t>
      </w:r>
    </w:p>
    <w:p w:rsidR="00D60FC7" w:rsidRDefault="00000000">
      <w:r>
        <w:t xml:space="preserve">A continuación, el nodo </w:t>
      </w:r>
      <w:proofErr w:type="spellStart"/>
      <w:r>
        <w:rPr>
          <w:i/>
        </w:rPr>
        <w:t>Scoring</w:t>
      </w:r>
      <w:proofErr w:type="spellEnd"/>
      <w:r>
        <w:t xml:space="preserve"> calcula el puntaje de prioridad sumando cuatro componentes ponderados, según se detalla en la Tabla 5, y deriva el nivel: </w:t>
      </w:r>
      <w:r>
        <w:rPr>
          <w:rFonts w:ascii="Consolas" w:hAnsi="Consolas" w:cs="Consolas"/>
        </w:rPr>
        <w:t>HOT</w:t>
      </w:r>
      <w:r>
        <w:t xml:space="preserve"> si el puntaje es mayor o igual a 70, </w:t>
      </w:r>
      <w:r>
        <w:rPr>
          <w:rFonts w:ascii="Consolas" w:hAnsi="Consolas" w:cs="Consolas"/>
        </w:rPr>
        <w:t>WARM</w:t>
      </w:r>
      <w:r>
        <w:t xml:space="preserve"> si es mayor o igual a 40, y </w:t>
      </w:r>
      <w:r>
        <w:rPr>
          <w:rFonts w:ascii="Consolas" w:hAnsi="Consolas" w:cs="Consolas"/>
        </w:rPr>
        <w:t>COLD</w:t>
      </w:r>
      <w:r>
        <w:t xml:space="preserve"> en caso contrario. Un nodo condicional bifurca entonces el flujo: los leads HOT y WARM avanzan a la generación y el envío de la propuesta por correo, mientras que los COLD solo generan una notificación por </w:t>
      </w:r>
      <w:proofErr w:type="spellStart"/>
      <w:r>
        <w:t>Telegram</w:t>
      </w:r>
      <w:proofErr w:type="spellEnd"/>
      <w:r>
        <w:t>, evitando invertir esfuerzo comercial en oportunidades de baja prioridad (OE2).</w:t>
      </w:r>
    </w:p>
    <w:p w:rsidR="00D60FC7" w:rsidRDefault="00000000">
      <w:pPr>
        <w:spacing w:after="120" w:line="240" w:lineRule="auto"/>
        <w:jc w:val="center"/>
      </w:pPr>
      <w:r>
        <w:rPr>
          <w:sz w:val="20"/>
          <w:szCs w:val="20"/>
        </w:rPr>
        <w:t>Tabla 5. Reglas de cálculo del score</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5000" w:type="pct"/>
      </w:tblPr>
      <w:tblGrid>
        <w:gridCol w:w="2929"/>
        <w:gridCol w:w="2929"/>
        <w:gridCol w:w="2929"/>
      </w:tblGrid>
      <w:tr>
        <w:trPr>
          <w:tblHeader/>
        </w:trPr>
        <w:tc>
          <w:tcPr>
            <w:tcW w:type="dxa" w:w="1928"/>
            <w:shd w:val="clear" w:color="auto" w:fill="1F2937"/>
          </w:tcPr>
          <w:p>
            <w:pPr>
              <w:spacing w:after="40" w:before="40"/>
              <w:jc w:val="left"/>
            </w:pPr>
            <w:r>
              <w:rPr>
                <w:b/>
                <w:i w:val="0"/>
                <w:color w:val="FFFFFF"/>
                <w:sz w:val="16"/>
              </w:rPr>
              <w:t>Criterio</w:t>
            </w:r>
          </w:p>
        </w:tc>
        <w:tc>
          <w:tcPr>
            <w:tcW w:type="dxa" w:w="5443"/>
            <w:shd w:val="clear" w:color="auto" w:fill="1F2937"/>
          </w:tcPr>
          <w:p>
            <w:pPr>
              <w:spacing w:after="40" w:before="40"/>
              <w:jc w:val="left"/>
            </w:pPr>
            <w:r>
              <w:rPr>
                <w:b/>
                <w:i w:val="0"/>
                <w:color w:val="FFFFFF"/>
                <w:sz w:val="16"/>
              </w:rPr>
              <w:t>Condición</w:t>
            </w:r>
          </w:p>
        </w:tc>
        <w:tc>
          <w:tcPr>
            <w:tcW w:type="dxa" w:w="1417"/>
            <w:shd w:val="clear" w:color="auto" w:fill="1F2937"/>
          </w:tcPr>
          <w:p>
            <w:pPr>
              <w:spacing w:after="40" w:before="40"/>
              <w:jc w:val="left"/>
            </w:pPr>
            <w:r>
              <w:rPr>
                <w:b/>
                <w:i w:val="0"/>
                <w:color w:val="FFFFFF"/>
                <w:sz w:val="16"/>
              </w:rPr>
              <w:t>Puntos</w:t>
            </w:r>
          </w:p>
        </w:tc>
      </w:tr>
      <w:tr>
        <w:tc>
          <w:tcPr>
            <w:tcW w:type="dxa" w:w="1928"/>
          </w:tcPr>
          <w:p>
            <w:pPr>
              <w:spacing w:after="40" w:before="40"/>
              <w:jc w:val="left"/>
            </w:pPr>
            <w:r>
              <w:rPr>
                <w:b w:val="0"/>
                <w:i w:val="0"/>
                <w:sz w:val="16"/>
              </w:rPr>
              <w:t>Presupuesto (USD)</w:t>
            </w:r>
          </w:p>
        </w:tc>
        <w:tc>
          <w:tcPr>
            <w:tcW w:type="dxa" w:w="5443"/>
          </w:tcPr>
          <w:p>
            <w:pPr>
              <w:spacing w:after="40" w:before="40"/>
              <w:jc w:val="left"/>
            </w:pPr>
            <w:r>
              <w:rPr>
                <w:b w:val="0"/>
                <w:i w:val="0"/>
                <w:sz w:val="16"/>
              </w:rPr>
              <w:t>≥ 5000</w:t>
            </w:r>
          </w:p>
        </w:tc>
        <w:tc>
          <w:tcPr>
            <w:tcW w:type="dxa" w:w="1417"/>
          </w:tcPr>
          <w:p>
            <w:pPr>
              <w:spacing w:after="40" w:before="40"/>
              <w:jc w:val="left"/>
            </w:pPr>
            <w:r>
              <w:rPr>
                <w:b w:val="0"/>
                <w:i w:val="0"/>
                <w:sz w:val="16"/>
              </w:rPr>
              <w:t>40</w:t>
            </w:r>
          </w:p>
        </w:tc>
      </w:tr>
      <w:tr>
        <w:tc>
          <w:tcPr>
            <w:tcW w:type="dxa" w:w="1928"/>
          </w:tcPr>
          <w:p>
            <w:pPr>
              <w:spacing w:after="40" w:before="40"/>
              <w:jc w:val="left"/>
            </w:pPr>
            <w:r>
              <w:rPr>
                <w:b w:val="0"/>
                <w:i w:val="0"/>
                <w:sz w:val="16"/>
              </w:rPr>
            </w:r>
          </w:p>
        </w:tc>
        <w:tc>
          <w:tcPr>
            <w:tcW w:type="dxa" w:w="5443"/>
          </w:tcPr>
          <w:p>
            <w:pPr>
              <w:spacing w:after="40" w:before="40"/>
              <w:jc w:val="left"/>
            </w:pPr>
            <w:r>
              <w:rPr>
                <w:b w:val="0"/>
                <w:i w:val="0"/>
                <w:sz w:val="16"/>
              </w:rPr>
              <w:t>2000 – 4999</w:t>
            </w:r>
          </w:p>
        </w:tc>
        <w:tc>
          <w:tcPr>
            <w:tcW w:type="dxa" w:w="1417"/>
          </w:tcPr>
          <w:p>
            <w:pPr>
              <w:spacing w:after="40" w:before="40"/>
              <w:jc w:val="left"/>
            </w:pPr>
            <w:r>
              <w:rPr>
                <w:b w:val="0"/>
                <w:i w:val="0"/>
                <w:sz w:val="16"/>
              </w:rPr>
              <w:t>30</w:t>
            </w:r>
          </w:p>
        </w:tc>
      </w:tr>
      <w:tr>
        <w:tc>
          <w:tcPr>
            <w:tcW w:type="dxa" w:w="1928"/>
          </w:tcPr>
          <w:p>
            <w:pPr>
              <w:spacing w:after="40" w:before="40"/>
              <w:jc w:val="left"/>
            </w:pPr>
            <w:r>
              <w:rPr>
                <w:b w:val="0"/>
                <w:i w:val="0"/>
                <w:sz w:val="16"/>
              </w:rPr>
            </w:r>
          </w:p>
        </w:tc>
        <w:tc>
          <w:tcPr>
            <w:tcW w:type="dxa" w:w="5443"/>
          </w:tcPr>
          <w:p>
            <w:pPr>
              <w:spacing w:after="40" w:before="40"/>
              <w:jc w:val="left"/>
            </w:pPr>
            <w:r>
              <w:rPr>
                <w:b w:val="0"/>
                <w:i w:val="0"/>
                <w:sz w:val="16"/>
              </w:rPr>
              <w:t>1000 – 1999</w:t>
            </w:r>
          </w:p>
        </w:tc>
        <w:tc>
          <w:tcPr>
            <w:tcW w:type="dxa" w:w="1417"/>
          </w:tcPr>
          <w:p>
            <w:pPr>
              <w:spacing w:after="40" w:before="40"/>
              <w:jc w:val="left"/>
            </w:pPr>
            <w:r>
              <w:rPr>
                <w:b w:val="0"/>
                <w:i w:val="0"/>
                <w:sz w:val="16"/>
              </w:rPr>
              <w:t>20</w:t>
            </w:r>
          </w:p>
        </w:tc>
      </w:tr>
      <w:tr>
        <w:tc>
          <w:tcPr>
            <w:tcW w:type="dxa" w:w="1928"/>
          </w:tcPr>
          <w:p>
            <w:pPr>
              <w:spacing w:after="40" w:before="40"/>
              <w:jc w:val="left"/>
            </w:pPr>
            <w:r>
              <w:rPr>
                <w:b w:val="0"/>
                <w:i w:val="0"/>
                <w:sz w:val="16"/>
              </w:rPr>
            </w:r>
          </w:p>
        </w:tc>
        <w:tc>
          <w:tcPr>
            <w:tcW w:type="dxa" w:w="5443"/>
          </w:tcPr>
          <w:p>
            <w:pPr>
              <w:spacing w:after="40" w:before="40"/>
              <w:jc w:val="left"/>
            </w:pPr>
            <w:r>
              <w:rPr>
                <w:b w:val="0"/>
                <w:i w:val="0"/>
                <w:sz w:val="16"/>
              </w:rPr>
              <w:t>300 – 999</w:t>
            </w:r>
          </w:p>
        </w:tc>
        <w:tc>
          <w:tcPr>
            <w:tcW w:type="dxa" w:w="1417"/>
          </w:tcPr>
          <w:p>
            <w:pPr>
              <w:spacing w:after="40" w:before="40"/>
              <w:jc w:val="left"/>
            </w:pPr>
            <w:r>
              <w:rPr>
                <w:b w:val="0"/>
                <w:i w:val="0"/>
                <w:sz w:val="16"/>
              </w:rPr>
              <w:t>10</w:t>
            </w:r>
          </w:p>
        </w:tc>
      </w:tr>
      <w:tr>
        <w:tc>
          <w:tcPr>
            <w:tcW w:type="dxa" w:w="1928"/>
          </w:tcPr>
          <w:p>
            <w:pPr>
              <w:spacing w:after="40" w:before="40"/>
              <w:jc w:val="left"/>
            </w:pPr>
            <w:r>
              <w:rPr>
                <w:b w:val="0"/>
                <w:i w:val="0"/>
                <w:sz w:val="16"/>
              </w:rPr>
            </w:r>
          </w:p>
        </w:tc>
        <w:tc>
          <w:tcPr>
            <w:tcW w:type="dxa" w:w="5443"/>
          </w:tcPr>
          <w:p>
            <w:pPr>
              <w:spacing w:after="40" w:before="40"/>
              <w:jc w:val="left"/>
            </w:pPr>
            <w:r>
              <w:rPr>
                <w:b w:val="0"/>
                <w:i w:val="0"/>
                <w:sz w:val="16"/>
              </w:rPr>
              <w:t>&lt; 300</w:t>
            </w:r>
          </w:p>
        </w:tc>
        <w:tc>
          <w:tcPr>
            <w:tcW w:type="dxa" w:w="1417"/>
          </w:tcPr>
          <w:p>
            <w:pPr>
              <w:spacing w:after="40" w:before="40"/>
              <w:jc w:val="left"/>
            </w:pPr>
            <w:r>
              <w:rPr>
                <w:b w:val="0"/>
                <w:i w:val="0"/>
                <w:sz w:val="16"/>
              </w:rPr>
              <w:t>0</w:t>
            </w:r>
          </w:p>
        </w:tc>
      </w:tr>
      <w:tr>
        <w:tc>
          <w:tcPr>
            <w:tcW w:type="dxa" w:w="1928"/>
          </w:tcPr>
          <w:p>
            <w:pPr>
              <w:spacing w:after="40" w:before="40"/>
              <w:jc w:val="left"/>
            </w:pPr>
            <w:r>
              <w:rPr>
                <w:b w:val="0"/>
                <w:i w:val="0"/>
                <w:sz w:val="16"/>
              </w:rPr>
              <w:t>Urgencia</w:t>
            </w:r>
          </w:p>
        </w:tc>
        <w:tc>
          <w:tcPr>
            <w:tcW w:type="dxa" w:w="5443"/>
          </w:tcPr>
          <w:p>
            <w:pPr>
              <w:spacing w:after="40" w:before="40"/>
              <w:jc w:val="left"/>
            </w:pPr>
            <w:r>
              <w:rPr>
                <w:b w:val="0"/>
                <w:i w:val="0"/>
                <w:sz w:val="16"/>
              </w:rPr>
              <w:t>alta</w:t>
            </w:r>
          </w:p>
        </w:tc>
        <w:tc>
          <w:tcPr>
            <w:tcW w:type="dxa" w:w="1417"/>
          </w:tcPr>
          <w:p>
            <w:pPr>
              <w:spacing w:after="40" w:before="40"/>
              <w:jc w:val="left"/>
            </w:pPr>
            <w:r>
              <w:rPr>
                <w:b w:val="0"/>
                <w:i w:val="0"/>
                <w:sz w:val="16"/>
              </w:rPr>
              <w:t>30</w:t>
            </w:r>
          </w:p>
        </w:tc>
      </w:tr>
      <w:tr>
        <w:tc>
          <w:tcPr>
            <w:tcW w:type="dxa" w:w="1928"/>
          </w:tcPr>
          <w:p>
            <w:pPr>
              <w:spacing w:after="40" w:before="40"/>
              <w:jc w:val="left"/>
            </w:pPr>
            <w:r>
              <w:rPr>
                <w:b w:val="0"/>
                <w:i w:val="0"/>
                <w:sz w:val="16"/>
              </w:rPr>
            </w:r>
          </w:p>
        </w:tc>
        <w:tc>
          <w:tcPr>
            <w:tcW w:type="dxa" w:w="5443"/>
          </w:tcPr>
          <w:p>
            <w:pPr>
              <w:spacing w:after="40" w:before="40"/>
              <w:jc w:val="left"/>
            </w:pPr>
            <w:r>
              <w:rPr>
                <w:b w:val="0"/>
                <w:i w:val="0"/>
                <w:sz w:val="16"/>
              </w:rPr>
              <w:t>media</w:t>
            </w:r>
          </w:p>
        </w:tc>
        <w:tc>
          <w:tcPr>
            <w:tcW w:type="dxa" w:w="1417"/>
          </w:tcPr>
          <w:p>
            <w:pPr>
              <w:spacing w:after="40" w:before="40"/>
              <w:jc w:val="left"/>
            </w:pPr>
            <w:r>
              <w:rPr>
                <w:b w:val="0"/>
                <w:i w:val="0"/>
                <w:sz w:val="16"/>
              </w:rPr>
              <w:t>15</w:t>
            </w:r>
          </w:p>
        </w:tc>
      </w:tr>
      <w:tr>
        <w:tc>
          <w:tcPr>
            <w:tcW w:type="dxa" w:w="1928"/>
          </w:tcPr>
          <w:p>
            <w:pPr>
              <w:spacing w:after="40" w:before="40"/>
              <w:jc w:val="left"/>
            </w:pPr>
            <w:r>
              <w:rPr>
                <w:b w:val="0"/>
                <w:i w:val="0"/>
                <w:sz w:val="16"/>
              </w:rPr>
            </w:r>
          </w:p>
        </w:tc>
        <w:tc>
          <w:tcPr>
            <w:tcW w:type="dxa" w:w="5443"/>
          </w:tcPr>
          <w:p>
            <w:pPr>
              <w:spacing w:after="40" w:before="40"/>
              <w:jc w:val="left"/>
            </w:pPr>
            <w:r>
              <w:rPr>
                <w:b w:val="0"/>
                <w:i w:val="0"/>
                <w:sz w:val="16"/>
              </w:rPr>
              <w:t>baja</w:t>
            </w:r>
          </w:p>
        </w:tc>
        <w:tc>
          <w:tcPr>
            <w:tcW w:type="dxa" w:w="1417"/>
          </w:tcPr>
          <w:p>
            <w:pPr>
              <w:spacing w:after="40" w:before="40"/>
              <w:jc w:val="left"/>
            </w:pPr>
            <w:r>
              <w:rPr>
                <w:b w:val="0"/>
                <w:i w:val="0"/>
                <w:sz w:val="16"/>
              </w:rPr>
              <w:t>5</w:t>
            </w:r>
          </w:p>
        </w:tc>
      </w:tr>
      <w:tr>
        <w:tc>
          <w:tcPr>
            <w:tcW w:type="dxa" w:w="1928"/>
          </w:tcPr>
          <w:p>
            <w:pPr>
              <w:spacing w:after="40" w:before="40"/>
              <w:jc w:val="left"/>
            </w:pPr>
            <w:r>
              <w:rPr>
                <w:b w:val="0"/>
                <w:i w:val="0"/>
                <w:sz w:val="16"/>
              </w:rPr>
              <w:t>Servicio</w:t>
            </w:r>
          </w:p>
        </w:tc>
        <w:tc>
          <w:tcPr>
            <w:tcW w:type="dxa" w:w="5443"/>
          </w:tcPr>
          <w:p>
            <w:pPr>
              <w:spacing w:after="40" w:before="40"/>
              <w:jc w:val="left"/>
            </w:pPr>
            <w:r>
              <w:rPr>
                <w:b w:val="0"/>
                <w:i w:val="0"/>
                <w:sz w:val="16"/>
                <w:rFonts w:ascii="Consolas" w:hAnsi="Consolas" w:cs="Consolas"/>
              </w:rPr>
              <w:t>desarrollo_web</w:t>
            </w:r>
            <w:r>
              <w:rPr>
                <w:b w:val="0"/>
                <w:i w:val="0"/>
                <w:sz w:val="16"/>
              </w:rPr>
              <w:t xml:space="preserve"> · </w:t>
            </w:r>
            <w:r>
              <w:rPr>
                <w:b w:val="0"/>
                <w:i w:val="0"/>
                <w:sz w:val="16"/>
                <w:rFonts w:ascii="Consolas" w:hAnsi="Consolas" w:cs="Consolas"/>
              </w:rPr>
              <w:t>ecommerce</w:t>
            </w:r>
          </w:p>
        </w:tc>
        <w:tc>
          <w:tcPr>
            <w:tcW w:type="dxa" w:w="1417"/>
          </w:tcPr>
          <w:p>
            <w:pPr>
              <w:spacing w:after="40" w:before="40"/>
              <w:jc w:val="left"/>
            </w:pPr>
            <w:r>
              <w:rPr>
                <w:b w:val="0"/>
                <w:i w:val="0"/>
                <w:sz w:val="16"/>
              </w:rPr>
              <w:t>20</w:t>
            </w:r>
          </w:p>
        </w:tc>
      </w:tr>
      <w:tr>
        <w:tc>
          <w:tcPr>
            <w:tcW w:type="dxa" w:w="1928"/>
          </w:tcPr>
          <w:p>
            <w:pPr>
              <w:spacing w:after="40" w:before="40"/>
              <w:jc w:val="left"/>
            </w:pPr>
            <w:r>
              <w:rPr>
                <w:b w:val="0"/>
                <w:i w:val="0"/>
                <w:sz w:val="16"/>
              </w:rPr>
            </w:r>
          </w:p>
        </w:tc>
        <w:tc>
          <w:tcPr>
            <w:tcW w:type="dxa" w:w="5443"/>
          </w:tcPr>
          <w:p>
            <w:pPr>
              <w:spacing w:after="40" w:before="40"/>
              <w:jc w:val="left"/>
            </w:pPr>
            <w:r>
              <w:rPr>
                <w:b w:val="0"/>
                <w:i w:val="0"/>
                <w:sz w:val="16"/>
                <w:rFonts w:ascii="Consolas" w:hAnsi="Consolas" w:cs="Consolas"/>
              </w:rPr>
              <w:t>app_movil</w:t>
            </w:r>
            <w:r>
              <w:rPr>
                <w:b w:val="0"/>
                <w:i w:val="0"/>
                <w:sz w:val="16"/>
              </w:rPr>
              <w:t xml:space="preserve"> · </w:t>
            </w:r>
            <w:r>
              <w:rPr>
                <w:b w:val="0"/>
                <w:i w:val="0"/>
                <w:sz w:val="16"/>
                <w:rFonts w:ascii="Consolas" w:hAnsi="Consolas" w:cs="Consolas"/>
              </w:rPr>
              <w:t>automatizacion</w:t>
            </w:r>
          </w:p>
        </w:tc>
        <w:tc>
          <w:tcPr>
            <w:tcW w:type="dxa" w:w="1417"/>
          </w:tcPr>
          <w:p>
            <w:pPr>
              <w:spacing w:after="40" w:before="40"/>
              <w:jc w:val="left"/>
            </w:pPr>
            <w:r>
              <w:rPr>
                <w:b w:val="0"/>
                <w:i w:val="0"/>
                <w:sz w:val="16"/>
              </w:rPr>
              <w:t>18</w:t>
            </w:r>
          </w:p>
        </w:tc>
      </w:tr>
      <w:tr>
        <w:tc>
          <w:tcPr>
            <w:tcW w:type="dxa" w:w="1928"/>
          </w:tcPr>
          <w:p>
            <w:pPr>
              <w:spacing w:after="40" w:before="40"/>
              <w:jc w:val="left"/>
            </w:pPr>
            <w:r>
              <w:rPr>
                <w:b w:val="0"/>
                <w:i w:val="0"/>
                <w:sz w:val="16"/>
              </w:rPr>
            </w:r>
          </w:p>
        </w:tc>
        <w:tc>
          <w:tcPr>
            <w:tcW w:type="dxa" w:w="5443"/>
          </w:tcPr>
          <w:p>
            <w:pPr>
              <w:spacing w:after="40" w:before="40"/>
              <w:jc w:val="left"/>
            </w:pPr>
            <w:r>
              <w:rPr>
                <w:b w:val="0"/>
                <w:i w:val="0"/>
                <w:sz w:val="16"/>
                <w:rFonts w:ascii="Consolas" w:hAnsi="Consolas" w:cs="Consolas"/>
              </w:rPr>
              <w:t>diseno_ui</w:t>
            </w:r>
            <w:r>
              <w:rPr>
                <w:b w:val="0"/>
                <w:i w:val="0"/>
                <w:sz w:val="16"/>
              </w:rPr>
              <w:t xml:space="preserve"> · </w:t>
            </w:r>
            <w:r>
              <w:rPr>
                <w:b w:val="0"/>
                <w:i w:val="0"/>
                <w:sz w:val="16"/>
                <w:rFonts w:ascii="Consolas" w:hAnsi="Consolas" w:cs="Consolas"/>
              </w:rPr>
              <w:t>marketing</w:t>
            </w:r>
            <w:r>
              <w:rPr>
                <w:b w:val="0"/>
                <w:i w:val="0"/>
                <w:sz w:val="16"/>
              </w:rPr>
              <w:t xml:space="preserve"> · </w:t>
            </w:r>
            <w:r>
              <w:rPr>
                <w:b w:val="0"/>
                <w:i w:val="0"/>
                <w:sz w:val="16"/>
                <w:rFonts w:ascii="Consolas" w:hAnsi="Consolas" w:cs="Consolas"/>
              </w:rPr>
              <w:t>seo</w:t>
            </w:r>
          </w:p>
        </w:tc>
        <w:tc>
          <w:tcPr>
            <w:tcW w:type="dxa" w:w="1417"/>
          </w:tcPr>
          <w:p>
            <w:pPr>
              <w:spacing w:after="40" w:before="40"/>
              <w:jc w:val="left"/>
            </w:pPr>
            <w:r>
              <w:rPr>
                <w:b w:val="0"/>
                <w:i w:val="0"/>
                <w:sz w:val="16"/>
              </w:rPr>
              <w:t>15</w:t>
            </w:r>
          </w:p>
        </w:tc>
      </w:tr>
      <w:tr>
        <w:tc>
          <w:tcPr>
            <w:tcW w:type="dxa" w:w="1928"/>
          </w:tcPr>
          <w:p>
            <w:pPr>
              <w:spacing w:after="40" w:before="40"/>
              <w:jc w:val="left"/>
            </w:pPr>
            <w:r>
              <w:rPr>
                <w:b w:val="0"/>
                <w:i w:val="0"/>
                <w:sz w:val="16"/>
              </w:rPr>
            </w:r>
          </w:p>
        </w:tc>
        <w:tc>
          <w:tcPr>
            <w:tcW w:type="dxa" w:w="5443"/>
          </w:tcPr>
          <w:p>
            <w:pPr>
              <w:spacing w:after="40" w:before="40"/>
              <w:jc w:val="left"/>
            </w:pPr>
            <w:r>
              <w:rPr>
                <w:b w:val="0"/>
                <w:i w:val="0"/>
                <w:sz w:val="16"/>
                <w:rFonts w:ascii="Consolas" w:hAnsi="Consolas" w:cs="Consolas"/>
              </w:rPr>
              <w:t>consultoria</w:t>
            </w:r>
          </w:p>
        </w:tc>
        <w:tc>
          <w:tcPr>
            <w:tcW w:type="dxa" w:w="1417"/>
          </w:tcPr>
          <w:p>
            <w:pPr>
              <w:spacing w:after="40" w:before="40"/>
              <w:jc w:val="left"/>
            </w:pPr>
            <w:r>
              <w:rPr>
                <w:b w:val="0"/>
                <w:i w:val="0"/>
                <w:sz w:val="16"/>
              </w:rPr>
              <w:t>12</w:t>
            </w:r>
          </w:p>
        </w:tc>
      </w:tr>
      <w:tr>
        <w:tc>
          <w:tcPr>
            <w:tcW w:type="dxa" w:w="1928"/>
          </w:tcPr>
          <w:p>
            <w:pPr>
              <w:spacing w:after="40" w:before="40"/>
              <w:jc w:val="left"/>
            </w:pPr>
            <w:r>
              <w:rPr>
                <w:b w:val="0"/>
                <w:i w:val="0"/>
                <w:sz w:val="16"/>
              </w:rPr>
            </w:r>
          </w:p>
        </w:tc>
        <w:tc>
          <w:tcPr>
            <w:tcW w:type="dxa" w:w="5443"/>
          </w:tcPr>
          <w:p>
            <w:pPr>
              <w:spacing w:after="40" w:before="40"/>
              <w:jc w:val="left"/>
            </w:pPr>
            <w:r>
              <w:rPr>
                <w:b w:val="0"/>
                <w:i w:val="0"/>
                <w:sz w:val="16"/>
                <w:rFonts w:ascii="Consolas" w:hAnsi="Consolas" w:cs="Consolas"/>
              </w:rPr>
              <w:t>soporte</w:t>
            </w:r>
            <w:r>
              <w:rPr>
                <w:b w:val="0"/>
                <w:i w:val="0"/>
                <w:sz w:val="16"/>
              </w:rPr>
              <w:t xml:space="preserve">  (incluye la opción «Otro» del formulario)</w:t>
            </w:r>
          </w:p>
        </w:tc>
        <w:tc>
          <w:tcPr>
            <w:tcW w:type="dxa" w:w="1417"/>
          </w:tcPr>
          <w:p>
            <w:pPr>
              <w:spacing w:after="40" w:before="40"/>
              <w:jc w:val="left"/>
            </w:pPr>
            <w:r>
              <w:rPr>
                <w:b w:val="0"/>
                <w:i w:val="0"/>
                <w:sz w:val="16"/>
              </w:rPr>
              <w:t>5</w:t>
            </w:r>
          </w:p>
        </w:tc>
      </w:tr>
      <w:tr>
        <w:tc>
          <w:tcPr>
            <w:tcW w:type="dxa" w:w="1928"/>
          </w:tcPr>
          <w:p>
            <w:pPr>
              <w:spacing w:after="40" w:before="40"/>
              <w:jc w:val="left"/>
            </w:pPr>
            <w:r>
              <w:rPr>
                <w:b w:val="0"/>
                <w:i w:val="0"/>
                <w:sz w:val="16"/>
              </w:rPr>
            </w:r>
          </w:p>
        </w:tc>
        <w:tc>
          <w:tcPr>
            <w:tcW w:type="dxa" w:w="5443"/>
          </w:tcPr>
          <w:p>
            <w:pPr>
              <w:spacing w:after="40" w:before="40"/>
              <w:jc w:val="left"/>
            </w:pPr>
            <w:r>
              <w:rPr>
                <w:b w:val="0"/>
                <w:i w:val="0"/>
                <w:sz w:val="16"/>
              </w:rPr>
              <w:t>valor no contemplado en la lista (respaldo del nodo de scoring)</w:t>
            </w:r>
          </w:p>
        </w:tc>
        <w:tc>
          <w:tcPr>
            <w:tcW w:type="dxa" w:w="1417"/>
          </w:tcPr>
          <w:p>
            <w:pPr>
              <w:spacing w:after="40" w:before="40"/>
              <w:jc w:val="left"/>
            </w:pPr>
            <w:r>
              <w:rPr>
                <w:b w:val="0"/>
                <w:i w:val="0"/>
                <w:sz w:val="16"/>
              </w:rPr>
              <w:t>8</w:t>
            </w:r>
          </w:p>
        </w:tc>
      </w:tr>
      <w:tr>
        <w:tc>
          <w:tcPr>
            <w:tcW w:type="dxa" w:w="1928"/>
          </w:tcPr>
          <w:p>
            <w:pPr>
              <w:spacing w:after="40" w:before="40"/>
              <w:jc w:val="left"/>
            </w:pPr>
            <w:r>
              <w:rPr>
                <w:b w:val="0"/>
                <w:i w:val="0"/>
                <w:sz w:val="16"/>
              </w:rPr>
              <w:t>Teléfono</w:t>
            </w:r>
          </w:p>
        </w:tc>
        <w:tc>
          <w:tcPr>
            <w:tcW w:type="dxa" w:w="5443"/>
          </w:tcPr>
          <w:p>
            <w:pPr>
              <w:spacing w:after="40" w:before="40"/>
              <w:jc w:val="left"/>
            </w:pPr>
            <w:r>
              <w:rPr>
                <w:b w:val="0"/>
                <w:i w:val="0"/>
                <w:sz w:val="16"/>
              </w:rPr>
              <w:t>longitud mayor que 6 caracteres</w:t>
            </w:r>
          </w:p>
        </w:tc>
        <w:tc>
          <w:tcPr>
            <w:tcW w:type="dxa" w:w="1417"/>
          </w:tcPr>
          <w:p>
            <w:pPr>
              <w:spacing w:after="40" w:before="40"/>
              <w:jc w:val="left"/>
            </w:pPr>
            <w:r>
              <w:rPr>
                <w:b w:val="0"/>
                <w:i w:val="0"/>
                <w:sz w:val="16"/>
              </w:rPr>
              <w:t>+5</w:t>
            </w:r>
          </w:p>
        </w:tc>
      </w:tr>
      <w:tr>
        <w:tc>
          <w:tcPr>
            <w:tcW w:type="dxa" w:w="1928"/>
          </w:tcPr>
          <w:p>
            <w:pPr>
              <w:spacing w:after="40" w:before="40"/>
              <w:jc w:val="left"/>
            </w:pPr>
            <w:r>
              <w:rPr>
                <w:b w:val="0"/>
                <w:i w:val="0"/>
                <w:sz w:val="16"/>
              </w:rPr>
              <w:t>Descripción</w:t>
            </w:r>
          </w:p>
        </w:tc>
        <w:tc>
          <w:tcPr>
            <w:tcW w:type="dxa" w:w="5443"/>
          </w:tcPr>
          <w:p>
            <w:pPr>
              <w:spacing w:after="40" w:before="40"/>
              <w:jc w:val="left"/>
            </w:pPr>
            <w:r>
              <w:rPr>
                <w:b w:val="0"/>
                <w:i w:val="0"/>
                <w:sz w:val="16"/>
              </w:rPr>
              <w:t>longitud mayor que 50 caracteres</w:t>
            </w:r>
          </w:p>
        </w:tc>
        <w:tc>
          <w:tcPr>
            <w:tcW w:type="dxa" w:w="1417"/>
          </w:tcPr>
          <w:p>
            <w:pPr>
              <w:spacing w:after="40" w:before="40"/>
              <w:jc w:val="left"/>
            </w:pPr>
            <w:r>
              <w:rPr>
                <w:b w:val="0"/>
                <w:i w:val="0"/>
                <w:sz w:val="16"/>
              </w:rPr>
              <w:t>+5</w:t>
            </w:r>
          </w:p>
        </w:tc>
      </w:tr>
    </w:tbl>
    <w:p>
      <w:pPr/>
      <w:r>
        <w:rPr>
          <w:b w:val="0"/>
          <w:i/>
          <w:sz w:val="15"/>
        </w:rPr>
        <w:t>Nota. Elaboración propia a partir del nodo Code - Scoring del flujo exportado (workflow/crm_postgres.json). Clasificación en niveles: score ≥ 70 → HOT; 40 ≤ score &lt; 70 → WARM; score &lt; 40 → COLD. El puntaje máximo alcanzable es 100. La fila de respaldo (8 puntos) no puede originarse desde el formulario y se documenta por completitud del modelo.</w:t>
      </w:r>
    </w:p>
    <w:p w:rsidR="00D60FC7" w:rsidRDefault="00D60FC7"/>
    <w:p w:rsidR="00D60FC7" w:rsidRDefault="00000000">
      <w:proofErr w:type="spellStart"/>
      <w:proofErr w:type="spellEnd"/>
      <w:r>
        <w:rPr>
          <w:b w:val="0"/>
          <w:i w:val="0"/>
        </w:rPr>
        <w:t xml:space="preserve">Tras el envío de la propuesta, el nodo </w:t>
      </w:r>
      <w:r>
        <w:rPr>
          <w:b w:val="0"/>
          <w:i/>
        </w:rPr>
        <w:t>Estado Propuesta Enviada</w:t>
      </w:r>
      <w:r>
        <w:rPr>
          <w:b w:val="0"/>
          <w:i w:val="0"/>
        </w:rPr>
        <w:t xml:space="preserve"> actualiza el lead al estado PROPUESTA_ENVIADA y registra la fecha; se deja constancia en un registro de auditoría y se notifica al profesional por Telegram (Figura 8, véase Anexo A).</w:t>
      </w:r>
    </w:p>
    <w:p>
      <w:pPr/>
      <w:r>
        <w:rPr>
          <w:b w:val="0"/>
          <w:i w:val="0"/>
        </w:rPr>
        <w:t xml:space="preserve">Dos riesgos de este proceso quedan abiertos y se declaran aquí antes que en el capítulo de conclusiones. El primero es la </w:t>
      </w:r>
      <w:r>
        <w:rPr>
          <w:b w:val="0"/>
          <w:i/>
        </w:rPr>
        <w:t>ausencia de idempotencia en la captación</w:t>
      </w:r>
      <w:r>
        <w:rPr>
          <w:b w:val="0"/>
          <w:i w:val="0"/>
        </w:rPr>
        <w:t>: el webhook no declara clave de idempotencia, ni deduplicación por correo dentro de una ventana temporal, ni bloqueo del botón de envío. Un doble clic genera dos leads con identificadores distintos, dos cálculos de score y dos propuestas al mismo destinatario, lo que contradice el objetivo de proyectar una imagen profesional. El contraste con el cuidado puesto en la idempotencia de la aceptación (§4.3.2) y del pago (§4.3.3) es deliberado señalarlo: la garantía se aplicó donde el riesgo era la doble facturación y no donde el riesgo era el duplicado comercial.</w:t>
      </w:r>
    </w:p>
    <w:p>
      <w:pPr/>
      <w:r>
        <w:rPr>
          <w:b w:val="0"/>
          <w:i w:val="0"/>
        </w:rPr>
        <w:t xml:space="preserve">El segundo es una </w:t>
      </w:r>
      <w:r>
        <w:rPr>
          <w:b w:val="0"/>
          <w:i/>
        </w:rPr>
        <w:t>ventana de inconsistencia entre la inserción y el scoring</w:t>
      </w:r>
      <w:r>
        <w:rPr>
          <w:b w:val="0"/>
          <w:i w:val="0"/>
        </w:rPr>
        <w:t>: el lead se persiste antes de calcularse su puntaje, de modo que un fallo del nodo intermedio lo deja permanentemente en estado NUEVO, con score cero y sin propuesta, sin proceso de reconciliación que lo recupere. El manejo de errores (§4.3.6) registra y notifica la falla, pero no reintenta ni reencola. Un proceso programado que detecte leads en NUEVO con antigüedad superior a un umbral resolvería el caso; se registra en el Capítulo 8.</w:t>
      </w:r>
    </w:p>
    <w:p>
      <w:pPr/>
      <w:r>
        <w:rPr>
          <w:b w:val="0"/>
          <w:i w:val="0"/>
        </w:rPr>
        <w:t>El mapeo de servicios merece una precisión, porque una versión anterior de este apartado declaraba dos valores por omisión distintos para el mismo campo. Se trata de dos reglas diferentes que conviene no confundir:</w:t>
      </w:r>
    </w:p>
    <w:p>
      <w:pPr>
        <w:pStyle w:val="Prrafodelista"/>
      </w:pPr>
      <w:r>
        <w:rPr>
          <w:b/>
          <w:i w:val="0"/>
        </w:rPr>
        <w:t>Mapeo explícito de las opciones del formulario.</w:t>
      </w:r>
      <w:r>
        <w:rPr>
          <w:b w:val="0"/>
          <w:i w:val="0"/>
        </w:rPr>
        <w:t xml:space="preserve"> «Desarrollo Web» → </w:t>
      </w:r>
      <w:r>
        <w:rPr>
          <w:rFonts w:ascii="Consolas" w:hAnsi="Consolas" w:cs="Consolas"/>
          <w:b w:val="0"/>
          <w:i w:val="0"/>
        </w:rPr>
        <w:t>desarrollo_web</w:t>
      </w:r>
      <w:r>
        <w:rPr>
          <w:b w:val="0"/>
          <w:i w:val="0"/>
        </w:rPr>
        <w:t xml:space="preserve">; «Diseño UX/UI» → </w:t>
      </w:r>
      <w:r>
        <w:rPr>
          <w:rFonts w:ascii="Consolas" w:hAnsi="Consolas" w:cs="Consolas"/>
          <w:b w:val="0"/>
          <w:i w:val="0"/>
        </w:rPr>
        <w:t>diseno_ui</w:t>
      </w:r>
      <w:r>
        <w:rPr>
          <w:b w:val="0"/>
          <w:i w:val="0"/>
        </w:rPr>
        <w:t xml:space="preserve">; «Marketing Digital» → </w:t>
      </w:r>
      <w:r>
        <w:rPr>
          <w:rFonts w:ascii="Consolas" w:hAnsi="Consolas" w:cs="Consolas"/>
          <w:b w:val="0"/>
          <w:i w:val="0"/>
        </w:rPr>
        <w:t>marketing</w:t>
      </w:r>
      <w:r>
        <w:rPr>
          <w:b w:val="0"/>
          <w:i w:val="0"/>
        </w:rPr>
        <w:t xml:space="preserve">; «SEO / Posicionamiento» → </w:t>
      </w:r>
      <w:r>
        <w:rPr>
          <w:rFonts w:ascii="Consolas" w:hAnsi="Consolas" w:cs="Consolas"/>
          <w:b w:val="0"/>
          <w:i w:val="0"/>
        </w:rPr>
        <w:t>seo</w:t>
      </w:r>
      <w:r>
        <w:rPr>
          <w:b w:val="0"/>
          <w:i w:val="0"/>
        </w:rPr>
        <w:t xml:space="preserve">; «Consultoría» → </w:t>
      </w:r>
      <w:r>
        <w:rPr>
          <w:rFonts w:ascii="Consolas" w:hAnsi="Consolas" w:cs="Consolas"/>
          <w:b w:val="0"/>
          <w:i w:val="0"/>
        </w:rPr>
        <w:t>consultoria</w:t>
      </w:r>
      <w:r>
        <w:rPr>
          <w:b w:val="0"/>
          <w:i w:val="0"/>
        </w:rPr>
        <w:t xml:space="preserve">; y </w:t>
      </w:r>
      <w:r>
        <w:rPr>
          <w:b/>
          <w:i w:val="0"/>
        </w:rPr>
        <w:t>«Otro» → soporte</w:t>
      </w:r>
      <w:r>
        <w:rPr>
          <w:b w:val="0"/>
          <w:i w:val="0"/>
        </w:rPr>
        <w:t xml:space="preserve">. Es decir, «Otro» no cae en un valor por omisión: tiene una traducción declarada, que es </w:t>
      </w:r>
      <w:r>
        <w:rPr>
          <w:rFonts w:ascii="Consolas" w:hAnsi="Consolas" w:cs="Consolas"/>
          <w:b w:val="0"/>
          <w:i w:val="0"/>
        </w:rPr>
        <w:t>soporte</w:t>
      </w:r>
      <w:r>
        <w:rPr>
          <w:b w:val="0"/>
          <w:i w:val="0"/>
        </w:rPr>
        <w:t>.</w:t>
      </w:r>
    </w:p>
    <w:p>
      <w:pPr>
        <w:pStyle w:val="Prrafodelista"/>
      </w:pPr>
      <w:r>
        <w:rPr>
          <w:b/>
          <w:i w:val="0"/>
        </w:rPr>
        <w:t>Valor de respaldo de la normalización.</w:t>
      </w:r>
      <w:r>
        <w:rPr>
          <w:b w:val="0"/>
          <w:i w:val="0"/>
        </w:rPr>
        <w:t xml:space="preserve"> Cuando el campo llega vacío, ausente o con un valor que no figura en el mapeo —caso posible si el webhook se invoca desde fuera del formulario, ya que no verifica el origen (§4.6)—, el nodo asigna </w:t>
      </w:r>
      <w:r>
        <w:rPr>
          <w:rFonts w:ascii="Consolas" w:hAnsi="Consolas" w:cs="Consolas"/>
          <w:b w:val="0"/>
          <w:i w:val="0"/>
        </w:rPr>
        <w:t>desarrollo_web</w:t>
      </w:r>
      <w:r>
        <w:rPr>
          <w:b w:val="0"/>
          <w:i w:val="0"/>
        </w:rPr>
        <w:t>. Este valor no se aplica nunca a una selección hecha en el formulario.</w:t>
      </w:r>
    </w:p>
    <w:p>
      <w:pPr/>
      <w:r>
        <w:rPr>
          <w:b w:val="0"/>
          <w:i w:val="0"/>
        </w:rPr>
        <w:t>De este modo, toda selección del formulario recibe una ponderación de servicio determinada y trazable. Corresponde, no obstante, señalar tres consecuencias del diseño que el trabajo no había discutido y que acotan el alcance del modelo de puntaje:</w:t>
      </w:r>
    </w:p>
    <w:p>
      <w:pPr>
        <w:pStyle w:val="Prrafodelista"/>
      </w:pPr>
      <w:r>
        <w:rPr>
          <w:b/>
          <w:i w:val="0"/>
        </w:rPr>
        <w:t>Tres valores ponderados son inalcanzables desde el formulario.</w:t>
      </w:r>
      <w:r>
        <w:rPr>
          <w:b w:val="0"/>
          <w:i w:val="0"/>
        </w:rPr>
        <w:t xml:space="preserve"> La lista blanca contempla nueve servicios, pero el desplegable ofrece cinco más «Otro». Los valores </w:t>
      </w:r>
      <w:r>
        <w:rPr>
          <w:rFonts w:ascii="Consolas" w:hAnsi="Consolas" w:cs="Consolas"/>
          <w:b w:val="0"/>
          <w:i w:val="0"/>
        </w:rPr>
        <w:t>ecommerce</w:t>
      </w:r>
      <w:r>
        <w:rPr>
          <w:b w:val="0"/>
          <w:i w:val="0"/>
        </w:rPr>
        <w:t xml:space="preserve"> (20 puntos), </w:t>
      </w:r>
      <w:r>
        <w:rPr>
          <w:rFonts w:ascii="Consolas" w:hAnsi="Consolas" w:cs="Consolas"/>
          <w:b w:val="0"/>
          <w:i w:val="0"/>
        </w:rPr>
        <w:t>app_movil</w:t>
      </w:r>
      <w:r>
        <w:rPr>
          <w:b w:val="0"/>
          <w:i w:val="0"/>
        </w:rPr>
        <w:t xml:space="preserve"> (18) y </w:t>
      </w:r>
      <w:r>
        <w:rPr>
          <w:rFonts w:ascii="Consolas" w:hAnsi="Consolas" w:cs="Consolas"/>
          <w:b w:val="0"/>
          <w:i w:val="0"/>
        </w:rPr>
        <w:t>automatizacion</w:t>
      </w:r>
      <w:r>
        <w:rPr>
          <w:b w:val="0"/>
          <w:i w:val="0"/>
        </w:rPr>
        <w:t xml:space="preserve"> (18) —precisamente los de ponderación alta e intermedia— solo pueden originarse si el webhook se invoca desde fuera del formulario. En la práctica, un tercio del modelo de ponderación no se ejercita por la única fuente de entrada declarada. La decisión de conservarlos responde a la previsión de ampliar el formulario; mientras eso no ocurra, la Tabla 5 documenta un espacio de valores mayor que el efectivamente alcanzable.</w:t>
      </w:r>
    </w:p>
    <w:p>
      <w:pPr>
        <w:pStyle w:val="Prrafodelista"/>
      </w:pPr>
      <w:r>
        <w:rPr>
          <w:b/>
          <w:i w:val="0"/>
        </w:rPr>
        <w:t>La opción «Otro» recibe la ponderación mínima.</w:t>
      </w:r>
      <w:r>
        <w:rPr>
          <w:b w:val="0"/>
          <w:i w:val="0"/>
        </w:rPr>
        <w:t xml:space="preserve"> Al traducirse a </w:t>
      </w:r>
      <w:r>
        <w:rPr>
          <w:rFonts w:ascii="Consolas" w:hAnsi="Consolas" w:cs="Consolas"/>
          <w:b w:val="0"/>
          <w:i w:val="0"/>
        </w:rPr>
        <w:t>soporte</w:t>
      </w:r>
      <w:r>
        <w:rPr>
          <w:b w:val="0"/>
          <w:i w:val="0"/>
        </w:rPr>
        <w:t>, todo proyecto atípico obtiene 5 puntos por tipo de servicio: la penalización máxima. El sesgo empuja hacia COLD, precisamente, las oportunidades que el sistema no supo clasificar, incluidas las de alto valor. Un presupuesto de 5000 dólares con urgencia alta y «Otro» alcanza 85 puntos y sigue siendo HOT, pero uno de 1000 dólares con urgencia media pasa de WARM a COLD por esta única razón. Una asignación neutra —o dejar el lead pendiente de revisión manual— sería preferible; se registra como mejora en el Capítulo 8.</w:t>
      </w:r>
    </w:p>
    <w:p>
      <w:pPr>
        <w:pStyle w:val="Prrafodelista"/>
      </w:pPr>
      <w:r>
        <w:rPr>
          <w:b/>
          <w:i w:val="0"/>
        </w:rPr>
        <w:t>El control de entrada y los tramos de puntaje no fueron alineados.</w:t>
      </w:r>
      <w:r>
        <w:rPr>
          <w:b w:val="0"/>
          <w:i w:val="0"/>
        </w:rPr>
        <w:t xml:space="preserve"> El deslizante abarca de 100 a 5000 dólares y la Tabla 5 asigna 0 puntos por debajo de 300, de modo que el tramo inferior del propio control no puntúa; en el extremo opuesto, los 40 puntos solo se alcanzan en el valor máximo exacto del deslizante. El corte en 300 proviene del criterio experto descrito en §3.3 y no de una distribución observada; su revisión conjunta con el rango del control se plantea en el Capítulo 8.</w:t>
      </w:r>
    </w:p>
    <w:p w:rsidR="00D60FC7" w:rsidRDefault="00000000">
      <w:pPr>
        <w:pStyle w:val="Ttulo3"/>
      </w:pPr>
      <w:bookmarkStart w:id="39" w:name="_Toc233808445"/>
      <w:r>
        <w:t>4.3.2 Aceptación y facturación (</w:t>
      </w:r>
      <w:proofErr w:type="spellStart"/>
      <w:r>
        <w:t>webhook</w:t>
      </w:r>
      <w:proofErr w:type="spellEnd"/>
      <w:r>
        <w:t xml:space="preserve"> de lead acepta)</w:t>
      </w:r>
      <w:bookmarkEnd w:id="39"/>
    </w:p>
    <w:p w:rsidR="00D60FC7" w:rsidRDefault="00000000">
      <w:r>
        <w:t xml:space="preserve">El </w:t>
      </w:r>
      <w:proofErr w:type="spellStart"/>
      <w:r>
        <w:t>webhook</w:t>
      </w:r>
      <w:proofErr w:type="spellEnd"/>
      <w:r>
        <w:t xml:space="preserve"> </w:t>
      </w:r>
      <w:r>
        <w:rPr>
          <w:rFonts w:ascii="Consolas" w:hAnsi="Consolas" w:cs="Consolas"/>
        </w:rPr>
        <w:t>/lead-acepta</w:t>
      </w:r>
      <w:r>
        <w:t xml:space="preserve"> recibe el identificador del lead y el token. El nodo </w:t>
      </w:r>
      <w:r>
        <w:rPr>
          <w:i/>
        </w:rPr>
        <w:t>Validar Token</w:t>
      </w:r>
      <w:r>
        <w:t xml:space="preserve"> comprueba la presencia de ambos parámetros y el nodo </w:t>
      </w:r>
      <w:r>
        <w:rPr>
          <w:i/>
        </w:rPr>
        <w:t>Buscar Lead</w:t>
      </w:r>
      <w:r>
        <w:t xml:space="preserve"> consulta la tabla </w:t>
      </w:r>
      <w:r>
        <w:rPr>
          <w:rFonts w:ascii="Consolas" w:hAnsi="Consolas" w:cs="Consolas"/>
        </w:rPr>
        <w:t>leads</w:t>
      </w:r>
      <w:r>
        <w:t xml:space="preserve"> por identificador y por token de aceptación (</w:t>
      </w:r>
      <w:proofErr w:type="spellStart"/>
      <w:r>
        <w:rPr>
          <w:rFonts w:ascii="Consolas" w:hAnsi="Consolas" w:cs="Consolas"/>
        </w:rPr>
        <w:t>accept_token</w:t>
      </w:r>
      <w:proofErr w:type="spellEnd"/>
      <w:r>
        <w:t xml:space="preserve">), interpretado como valor de tipo UUID. Si el lead es válido, el nodo </w:t>
      </w:r>
      <w:r>
        <w:rPr>
          <w:i/>
        </w:rPr>
        <w:t>Marcar Aceptado</w:t>
      </w:r>
      <w:r>
        <w:t xml:space="preserve"> lo actualiza al estado </w:t>
      </w:r>
      <w:r>
        <w:rPr>
          <w:rFonts w:ascii="Consolas" w:hAnsi="Consolas" w:cs="Consolas"/>
        </w:rPr>
        <w:t>ACEPTADO</w:t>
      </w:r>
      <w:r>
        <w:t xml:space="preserve"> y registra la fecha de aceptación; en caso contrario, se responde que el enlace ya fue procesado o es inválido, lo que impide la reutilización del token (OE3, RNF2). A partir de la aceptación, el flujo genera la página de confirmación que ve el </w:t>
      </w:r>
      <w:r>
        <w:t xml:space="preserve">cliente y, en paralelo, produce la factura en HTML, la convierte a PDF mediante el servicio </w:t>
      </w:r>
      <w:proofErr w:type="spellStart"/>
      <w:r>
        <w:t>Gotenberg</w:t>
      </w:r>
      <w:proofErr w:type="spellEnd"/>
      <w:r>
        <w:t xml:space="preserve"> (Figura 13, véase Anexo A)</w:t>
      </w:r>
      <w:r>
        <w:t xml:space="preserve">, la envía por correo, la persiste con </w:t>
      </w:r>
      <w:proofErr w:type="spellStart"/>
      <w:r>
        <w:rPr>
          <w:i/>
        </w:rPr>
        <w:t>Insert</w:t>
      </w:r>
      <w:proofErr w:type="spellEnd"/>
      <w:r>
        <w:rPr>
          <w:i/>
        </w:rPr>
        <w:t xml:space="preserve"> Factura</w:t>
      </w:r>
      <w:r>
        <w:t xml:space="preserve"> en la tabla </w:t>
      </w:r>
      <w:r>
        <w:rPr>
          <w:rFonts w:ascii="Consolas" w:hAnsi="Consolas" w:cs="Consolas"/>
        </w:rPr>
        <w:t>facturas</w:t>
      </w:r>
      <w:r>
        <w:t xml:space="preserve"> y actualiza el lead al estado </w:t>
      </w:r>
      <w:r>
        <w:rPr>
          <w:rFonts w:ascii="Consolas" w:hAnsi="Consolas" w:cs="Consolas"/>
        </w:rPr>
        <w:t>FACTURADO</w:t>
      </w:r>
      <w:r>
        <w:t xml:space="preserve">. El evento se notifica por </w:t>
      </w:r>
      <w:proofErr w:type="spellStart"/>
      <w:r>
        <w:t>Telegram</w:t>
      </w:r>
      <w:proofErr w:type="spellEnd"/>
      <w:r>
        <w:t xml:space="preserve"> y se registra en </w:t>
      </w:r>
      <w:proofErr w:type="spellStart"/>
      <w:r>
        <w:t>Notion</w:t>
      </w:r>
      <w:proofErr w:type="spellEnd"/>
      <w:r>
        <w:t xml:space="preserve"> mediante peticiones HTTP a su API</w:t>
      </w:r>
      <w:r>
        <w:t xml:space="preserve"> (Figura 9, véase Anexo A)</w:t>
      </w:r>
      <w:r>
        <w:t>.</w:t>
      </w:r>
    </w:p>
    <w:p w:rsidR="00D60FC7" w:rsidRDefault="00000000">
      <w:r>
        <w:rPr>
          <w:b w:val="0"/>
          <w:i w:val="0"/>
        </w:rPr>
        <w:t xml:space="preserve">La verificación de estado (nodo </w:t>
      </w:r>
      <w:r>
        <w:rPr>
          <w:b w:val="0"/>
          <w:i/>
        </w:rPr>
        <w:t>Buscar Lead</w:t>
      </w:r>
      <w:r>
        <w:rPr>
          <w:b w:val="0"/>
          <w:i w:val="0"/>
        </w:rPr>
        <w:t xml:space="preserve">) y la actualización a ACEPTADO (nodo </w:t>
      </w:r>
      <w:r>
        <w:rPr>
          <w:b w:val="0"/>
          <w:i/>
        </w:rPr>
        <w:t>Marcar Aceptado</w:t>
      </w:r>
      <w:r>
        <w:rPr>
          <w:b w:val="0"/>
          <w:i w:val="0"/>
        </w:rPr>
        <w:t xml:space="preserve">) se apoyan en una actualización condicional atómica. El nodo </w:t>
      </w:r>
      <w:r>
        <w:rPr>
          <w:b w:val="0"/>
          <w:i/>
        </w:rPr>
        <w:t>Marcar Aceptado</w:t>
      </w:r>
      <w:r>
        <w:rPr>
          <w:b w:val="0"/>
          <w:i w:val="0"/>
        </w:rPr>
        <w:t xml:space="preserve"> ejecuta la siguiente sentencia:</w:t>
      </w:r>
    </w:p>
    <w:p>
      <w:pPr>
        <w:spacing w:after="0" w:before="0"/>
        <w:ind w:left="283"/>
        <w:jc w:val="left"/>
      </w:pPr>
      <w:r>
        <w:rPr>
          <w:rFonts w:ascii="Consolas" w:hAnsi="Consolas"/>
          <w:sz w:val="14"/>
          <w:rFonts w:ascii="Consolas" w:hAnsi="Consolas" w:cs="Consolas"/>
        </w:rPr>
        <w:t>UPDATE leads</w:t>
      </w:r>
    </w:p>
    <w:p>
      <w:pPr>
        <w:spacing w:after="0" w:before="0"/>
        <w:ind w:left="283"/>
        <w:jc w:val="left"/>
      </w:pPr>
      <w:r>
        <w:rPr>
          <w:rFonts w:ascii="Consolas" w:hAnsi="Consolas"/>
          <w:sz w:val="14"/>
          <w:rFonts w:ascii="Consolas" w:hAnsi="Consolas" w:cs="Consolas"/>
        </w:rPr>
        <w:t xml:space="preserve">   SET estado = 'ACEPTADO', fecha_aceptacion = now()</w:t>
      </w:r>
    </w:p>
    <w:p>
      <w:pPr>
        <w:spacing w:after="0" w:before="0"/>
        <w:ind w:left="283"/>
        <w:jc w:val="left"/>
      </w:pPr>
      <w:r>
        <w:rPr>
          <w:rFonts w:ascii="Consolas" w:hAnsi="Consolas"/>
          <w:sz w:val="14"/>
          <w:rFonts w:ascii="Consolas" w:hAnsi="Consolas" w:cs="Consolas"/>
        </w:rPr>
        <w:t xml:space="preserve"> WHERE lead_id = $1</w:t>
      </w:r>
    </w:p>
    <w:p>
      <w:pPr>
        <w:spacing w:after="0" w:before="0"/>
        <w:ind w:left="283"/>
        <w:jc w:val="left"/>
      </w:pPr>
      <w:r>
        <w:rPr>
          <w:rFonts w:ascii="Consolas" w:hAnsi="Consolas"/>
          <w:sz w:val="14"/>
          <w:rFonts w:ascii="Consolas" w:hAnsi="Consolas" w:cs="Consolas"/>
        </w:rPr>
        <w:t xml:space="preserve">   AND estado IN ('PROPUESTA_ENVIADA','EN_SEGUIMIENTO')</w:t>
      </w:r>
    </w:p>
    <w:p>
      <w:pPr>
        <w:spacing w:after="0" w:before="0"/>
        <w:ind w:left="283"/>
        <w:jc w:val="left"/>
      </w:pPr>
      <w:r>
        <w:rPr>
          <w:rFonts w:ascii="Consolas" w:hAnsi="Consolas"/>
          <w:sz w:val="14"/>
          <w:rFonts w:ascii="Consolas" w:hAnsi="Consolas" w:cs="Consolas"/>
        </w:rPr>
        <w:t>RETURNING *;</w:t>
      </w:r>
    </w:p>
    <w:p>
      <w:pPr/>
      <w:r>
        <w:rPr>
          <w:b w:val="0"/>
          <w:i w:val="0"/>
        </w:rPr>
        <w:t xml:space="preserve">La transición solo se aplica, por tanto, si el lead sigue en un estado válido. El flujo ramifica según la cantidad de filas afectadas mediante el nodo </w:t>
      </w:r>
      <w:r>
        <w:rPr>
          <w:b w:val="0"/>
          <w:i/>
        </w:rPr>
        <w:t>IF - Aceptación Aplicó?</w:t>
      </w:r>
      <w:r>
        <w:rPr>
          <w:b w:val="0"/>
          <w:i w:val="0"/>
        </w:rPr>
        <w:t xml:space="preserve">: la primera solicitud produce la factura y las notificaciones; cualquier solicitud posterior —o verdaderamente concurrente, como dos pestañas abiertas o un doble clic que dispare dos peticiones casi simultáneas— no afecta ninguna fila y se deriva al nodo </w:t>
      </w:r>
      <w:r>
        <w:rPr>
          <w:b w:val="0"/>
          <w:i/>
        </w:rPr>
        <w:t>No-op - Aceptación Duplicada</w:t>
      </w:r>
      <w:r>
        <w:rPr>
          <w:b w:val="0"/>
          <w:i w:val="0"/>
        </w:rPr>
        <w:t>.</w:t>
      </w:r>
    </w:p>
    <w:p>
      <w:pPr/>
      <w:r>
        <w:rPr>
          <w:b w:val="0"/>
          <w:i w:val="0"/>
        </w:rPr>
        <w:t>El resultado es que, aunque la verificación y la actualización se implementen como dos nodos, la transición a ACEPTADO es atómica e idempotente a nivel de base de datos. En consecuencia, eso descarta la doble facturación tanto en solicitudes secuenciales como concurrentes sobre el mismo enlace.</w:t>
      </w:r>
    </w:p>
    <w:p>
      <w:pPr/>
      <w:r>
        <w:rPr>
          <w:b/>
          <w:i w:val="0"/>
        </w:rPr>
        <w:t>Frontera transaccional.</w:t>
      </w:r>
      <w:r>
        <w:rPr>
          <w:b w:val="0"/>
          <w:i w:val="0"/>
        </w:rPr>
        <w:t xml:space="preserve"> Esa atomicidad se limita, sin embargo, a un único nodo. Entre la transición a ACEPTADO y la persistencia de la factura median cuatro operaciones sobre servicios externos: la generación del HTML, la conversión a PDF por Gotenberg, el envío por correo y la inserción en la tabla </w:t>
      </w:r>
      <w:r>
        <w:rPr>
          <w:rFonts w:ascii="Consolas" w:hAnsi="Consolas" w:cs="Consolas"/>
          <w:b w:val="0"/>
          <w:i w:val="0"/>
        </w:rPr>
        <w:t>facturas</w:t>
      </w:r>
      <w:r>
        <w:rPr>
          <w:b w:val="0"/>
          <w:i w:val="0"/>
        </w:rPr>
        <w:t>. Ninguna de ellas participa de la transacción. Una falla intermedia deja el lead en ACEPTADO sin factura emitida y, por construcción del propio mecanismo de idempotencia, un reintento del cliente se deriva al nodo de operación nula: el resultado es una factura perdida sin recuperación automática. El sistema no implementa saga, compensación, reintento con retroceso exponencial ni cola de mensajes muertos; §4.3.6 solo prevé registrar el error y notificarlo por Telegram. La mitigación mínima —un proceso programado que detecte leads en ACEPTADO sin factura asociada y reintente la facturación de forma idempotente— se registra en el Capítulo 8. La Figura 4 representa la secuencia completa y delimita el alcance de la transacción.</w:t>
      </w:r>
    </w:p>
    <w:p>
      <w:pPr/>
      <w:r>
        <w:rPr>
          <w:b/>
          <w:i w:val="0"/>
        </w:rPr>
        <w:t>Semántica de los desenlaces. La condición estado IN ('PROPUESTA_ENVIADA','EN_SEGUIMIENTO') produce un caso alternativo que conviene documentar: un lead marcado PERDIDO por agotamiento de seguimientos que luego reciba un clic en su enlace —todavía dentro de la vigencia del token— obtiene la respuesta «enlace ya utilizado». El mensaje no corresponde a la causa: el enlace no fue usado, la oportunidad expiró. Corresponde distinguir tres desenlaces —«ya procesado», «expirado» e «inválido»— y comunicarlos por separado; hoy los dos primeros se confunden.</w:t>
      </w:r>
      <w:r>
        <w:rPr>
          <w:b w:val="0"/>
          <w:i w:val="0"/>
        </w:rPr>
      </w:r>
      <w:r>
        <w:rPr>
          <w:rFonts w:ascii="Consolas" w:hAnsi="Consolas" w:cs="Consolas"/>
          <w:b w:val="0"/>
          <w:i w:val="0"/>
        </w:rPr>
      </w:r>
      <w:r>
        <w:rPr>
          <w:b w:val="0"/>
          <w:i w:val="0"/>
        </w:rPr>
      </w:r>
    </w:p>
    <w:p>
      <w:pPr>
        <w:jc w:val="center"/>
        <w:keepNext/>
      </w:pPr>
      <w:r>
        <w:drawing>
          <wp:inline xmlns:a="http://schemas.openxmlformats.org/drawingml/2006/main" xmlns:pic="http://schemas.openxmlformats.org/drawingml/2006/picture">
            <wp:extent cx="5472000" cy="4482693"/>
            <wp:docPr id="20" name="Picture 20"/>
            <wp:cNvGraphicFramePr>
              <a:graphicFrameLocks noChangeAspect="1"/>
            </wp:cNvGraphicFramePr>
            <a:graphic>
              <a:graphicData uri="http://schemas.openxmlformats.org/drawingml/2006/picture">
                <pic:pic>
                  <pic:nvPicPr>
                    <pic:cNvPr id="0" name="fig04_secuencia.png"/>
                    <pic:cNvPicPr/>
                  </pic:nvPicPr>
                  <pic:blipFill>
                    <a:blip r:embed="rId29"/>
                    <a:stretch>
                      <a:fillRect/>
                    </a:stretch>
                  </pic:blipFill>
                  <pic:spPr>
                    <a:xfrm>
                      <a:off x="0" y="0"/>
                      <a:ext cx="5472000" cy="4482693"/>
                    </a:xfrm>
                    <a:prstGeom prst="rect"/>
                  </pic:spPr>
                </pic:pic>
              </a:graphicData>
            </a:graphic>
          </wp:inline>
        </w:drawing>
      </w:r>
    </w:p>
    <w:p>
      <w:pPr>
        <w:keepLines/>
      </w:pPr>
      <w:r>
        <w:rPr>
          <w:b/>
          <w:i w:val="0"/>
          <w:sz w:val="17"/>
        </w:rPr>
        <w:t>Figura 4.</w:t>
      </w:r>
      <w:r>
        <w:rPr>
          <w:b w:val="0"/>
          <w:i w:val="0"/>
          <w:sz w:val="17"/>
        </w:rPr>
        <w:t xml:space="preserve"> Diagrama de secuencia del flujo de aceptación y facturación, con los siete participantes y el alcance efectivo de la transacción. </w:t>
      </w:r>
      <w:r>
        <w:rPr>
          <w:b w:val="0"/>
          <w:i/>
          <w:sz w:val="17"/>
        </w:rPr>
        <w:t>Nota.</w:t>
      </w:r>
      <w:r>
        <w:rPr>
          <w:b w:val="0"/>
          <w:i w:val="0"/>
          <w:sz w:val="17"/>
        </w:rPr>
        <w:t xml:space="preserve"> Elaboración propia a partir del flujo exportado </w:t>
      </w:r>
      <w:r>
        <w:rPr>
          <w:rFonts w:ascii="Consolas" w:hAnsi="Consolas" w:cs="Consolas"/>
          <w:b w:val="0"/>
          <w:i w:val="0"/>
          <w:sz w:val="17"/>
        </w:rPr>
        <w:t>workflow/crm_postgres.json</w:t>
      </w:r>
      <w:r>
        <w:rPr>
          <w:b w:val="0"/>
          <w:i w:val="0"/>
          <w:sz w:val="17"/>
        </w:rPr>
        <w:t>.</w:t>
      </w:r>
    </w:p>
    <w:p w:rsidR="00D60FC7" w:rsidRDefault="00000000">
      <w:r>
        <w:rPr>
          <w:b w:val="0"/>
          <w:i w:val="0"/>
        </w:rPr>
        <w:t>El token viaja, además, en dos lugares de la cadena de consulta. El primero es el enlace de correo que abre la página /aceptar/[leadId]?token=… El segundo es la petición GET de solo lectura que esa página emite al cargar, para consultar el estado del lead antes de confirmar (webhook /lead-propuesta) —a diferencia de la confirmación en sí, que se envía por POST con el token en el cuerpo (§4.2.6). Esta exposición implica que el token puede quedar registrado en el historial del navegador y en los registros de acceso del servidor que atiende el webhook. El riesgo queda acotado por el carácter de un solo uso del token una vez aceptado y por su vencimiento configurable (columna token_expira_en, TOKEN_VIGENCIA_DIAS=14 por defecto), pero no eliminado: el token se almacena en claro en la columna accept_token y no puede revocarse antes de vencer. Corresponde señalar que almacenar un resumen criptográfico del token en lugar del valor, y evitar registrar la cadena de consulta completa en los logs de producción, son ambas líneas de código y no líneas de investigación.</w:t>
      </w:r>
      <w:r>
        <w:rPr>
          <w:rFonts w:ascii="Consolas" w:hAnsi="Consolas" w:cs="Consolas"/>
          <w:b w:val="0"/>
          <w:i w:val="0"/>
        </w:rPr>
      </w:r>
      <w:r>
        <w:rPr>
          <w:b w:val="0"/>
          <w:i w:val="0"/>
        </w:rPr>
      </w:r>
      <w:r>
        <w:rPr>
          <w:rFonts w:ascii="Consolas" w:hAnsi="Consolas" w:cs="Consolas"/>
          <w:b w:val="0"/>
          <w:i w:val="0"/>
        </w:rPr>
      </w:r>
      <w:r>
        <w:rPr>
          <w:b w:val="0"/>
          <w:i w:val="0"/>
        </w:rPr>
      </w:r>
      <w:r>
        <w:rPr>
          <w:rFonts w:ascii="Consolas" w:hAnsi="Consolas" w:cs="Consolas"/>
          <w:b w:val="0"/>
          <w:i w:val="0"/>
        </w:rPr>
      </w:r>
      <w:r>
        <w:rPr>
          <w:b w:val="0"/>
          <w:i w:val="0"/>
        </w:rPr>
      </w:r>
    </w:p>
    <w:p w:rsidR="00D60FC7" w:rsidRDefault="00000000">
      <w:pPr>
        <w:pStyle w:val="Ttulo3"/>
      </w:pPr>
      <w:bookmarkStart w:id="40" w:name="_Toc233808446"/>
      <w:r>
        <w:t>4.3.3 Pago (</w:t>
      </w:r>
      <w:proofErr w:type="spellStart"/>
      <w:r>
        <w:t>webhook</w:t>
      </w:r>
      <w:proofErr w:type="spellEnd"/>
      <w:r>
        <w:t xml:space="preserve"> de confirmación de MercadoPago)</w:t>
      </w:r>
      <w:bookmarkEnd w:id="40"/>
    </w:p>
    <w:p w:rsidR="00D60FC7" w:rsidRDefault="00000000">
      <w:proofErr w:type="spellStart"/>
      <w:proofErr w:type="spellEnd"/>
      <w:proofErr w:type="spellStart"/>
      <w:proofErr w:type="spellEnd"/>
      <w:r>
        <w:rPr>
          <w:b w:val="0"/>
          <w:i w:val="0"/>
        </w:rPr>
        <w:t>Al aceptar la propuesta, el nodo Crear Preferencia MP solicita a la API de MercadoPago (POST /checkout/preferences) una preferencia de checkout real; el botón «Pagar ahora» de la factura enviada al cliente apunta a ese checkout, no a un enlace del propio sistema. Cuando el estado del pago cambia, MercadoPago —no el navegador del cliente— invoca el webhook POST /webhook/mp/notificacion. El nodo Obtener Pago MP no confía en el cuerpo de esa notificación: consulta GET /v1/payments/{id} contra la API de MercadoPago, que es la fuente de verdad, y el nodo Procesar Pago MP solo deja pasar el pago si status = approved. Marcar Cobrado MP aplica entonces el mismo patrón de actualización condicional que la aceptación de §4.3.2 (UPDATE ... WHERE estado_pago = 'PENDIENTE'), de modo que una notificación repetida —MercadoPago reintenta hasta recibir 2xx— no genera un segundo cobro ni una segunda notificación. Si la variable MP_ACCESS_TOKEN no está configurada, el sistema no falla: cae a un modo de desarrollo declarado, en el que el enlace de la factura es GET /webhook/pago-confirmado, el mismo endpoint que documentaban versiones anteriores de este apartado (Figura 10, véase Anexo A).</w:t>
      </w:r>
      <w:r>
        <w:rPr>
          <w:rFonts w:ascii="Consolas" w:hAnsi="Consolas" w:cs="Consolas"/>
          <w:b w:val="0"/>
          <w:i w:val="0"/>
        </w:rPr>
      </w:r>
      <w:r>
        <w:rPr>
          <w:b w:val="0"/>
          <w:i w:val="0"/>
        </w:rPr>
      </w:r>
      <w:r>
        <w:rPr>
          <w:b w:val="0"/>
          <w:i/>
        </w:rPr>
      </w:r>
      <w:r>
        <w:rPr>
          <w:b w:val="0"/>
          <w:i w:val="0"/>
        </w:rPr>
      </w:r>
      <w:r>
        <w:rPr>
          <w:b w:val="0"/>
          <w:i/>
        </w:rPr>
      </w:r>
      <w:r>
        <w:rPr>
          <w:b w:val="0"/>
          <w:i w:val="0"/>
        </w:rPr>
      </w:r>
    </w:p>
    <w:p>
      <w:pPr/>
      <w:r>
        <w:rPr>
          <w:b/>
          <w:i w:val="0"/>
        </w:rPr>
        <w:t>Modelo de confianza del modo de desarrollo. El endpoint GET /webhook/pago-confirmado —vigente solo cuando no hay credenciales reales configuradas— conserva el defecto que señalaba una versión anterior de este apartado: el enlace viaja en el PDF que recibe el propio cliente deudor, y cualquiera que lo posea puede marcar la factura como COBRADO sin haber pagado. En el modo de producción, con MP_ACCESS_TOKEN configurado, ese modelo de confianza ya no aplica: el estado COBRADO solo puede originarse en una notificación verificada contra la API de MercadoPago, nunca en una acción del cliente.</w:t>
      </w:r>
      <w:r>
        <w:rPr>
          <w:b w:val="0"/>
          <w:i w:val="0"/>
        </w:rPr>
      </w:r>
    </w:p>
    <w:p>
      <w:pPr/>
      <w:r>
        <w:rPr>
          <w:b w:val="0"/>
          <w:i w:val="0"/>
        </w:rPr>
        <w:t>El modo de desarrollo hereda además un problema de semántica HTTP: GET es un método seguro e idempotente por definición, y usarlo para mutar estado lo expone al prefetching de navegadores y al escaneo automático de enlaces. Ese defecto queda circunscripto al modo de desarrollo y no se hereda en producción, donde la mutación de estado ocurre por POST. Queda, sin embargo, una deuda propia de la integración real: la validación de firma del webhook (x-signature, mediante MP_WEBHOOK_SECRET) es opcional y está deshabilitada por defecto; sin ella, el endpoint de producción acepta notificaciones sin verificar su origen, aunque el nodo Obtener Pago MP igual las contraste contra la API antes de aplicar ningún cambio. Se registra en la Tabla 11 y en el Capítulo 8.</w:t>
      </w:r>
    </w:p>
    <w:p w:rsidR="00D60FC7" w:rsidRDefault="00000000">
      <w:pPr>
        <w:pStyle w:val="Ttulo3"/>
      </w:pPr>
      <w:bookmarkStart w:id="41" w:name="_Toc233808447"/>
      <w:r>
        <w:t>4.3.4 Cierre de proyecto (</w:t>
      </w:r>
      <w:proofErr w:type="spellStart"/>
      <w:r>
        <w:t>webhook</w:t>
      </w:r>
      <w:proofErr w:type="spellEnd"/>
      <w:r>
        <w:t xml:space="preserve"> de proyecto cerrado)</w:t>
      </w:r>
      <w:bookmarkEnd w:id="41"/>
    </w:p>
    <w:p w:rsidR="00D60FC7" w:rsidRDefault="00000000">
      <w:proofErr w:type="spellStart"/>
      <w:proofErr w:type="spellEnd"/>
      <w:proofErr w:type="spellStart"/>
      <w:proofErr w:type="spellEnd"/>
      <w:r>
        <w:rPr>
          <w:b w:val="0"/>
          <w:i w:val="0"/>
        </w:rPr>
        <w:t xml:space="preserve">El webhook </w:t>
      </w:r>
      <w:r>
        <w:rPr>
          <w:rFonts w:ascii="Consolas" w:hAnsi="Consolas" w:cs="Consolas"/>
          <w:b w:val="0"/>
          <w:i w:val="0"/>
        </w:rPr>
        <w:t>POST /proyecto-cerrado</w:t>
      </w:r>
      <w:r>
        <w:rPr>
          <w:b w:val="0"/>
          <w:i w:val="0"/>
        </w:rPr>
        <w:t xml:space="preserve"> cierra el ciclo. El nodo </w:t>
      </w:r>
      <w:r>
        <w:rPr>
          <w:b w:val="0"/>
          <w:i/>
        </w:rPr>
        <w:t>Lead Cerrado</w:t>
      </w:r>
      <w:r>
        <w:rPr>
          <w:b w:val="0"/>
          <w:i w:val="0"/>
        </w:rPr>
        <w:t xml:space="preserve"> actualiza el lead al estado CERRADO, registra la fecha y calcula la duración total del ciclo en días; el nodo </w:t>
      </w:r>
      <w:r>
        <w:rPr>
          <w:b w:val="0"/>
          <w:i/>
        </w:rPr>
        <w:t>Factura Cobrada</w:t>
      </w:r>
      <w:r>
        <w:rPr>
          <w:b w:val="0"/>
          <w:i w:val="0"/>
        </w:rPr>
        <w:t xml:space="preserve"> concilia el estado de la factura. A continuación se notifica el cierre por Telegram y se solicita al cliente un testimonio por correo, cerrando el ciclo de relación (Figura 11, véase Anexo A). A diferencia de los demás webhooks, este no se invoca desde ninguna ruta del frontend ni desde un proceso programado: en el estado actual del sistema lo dispara manualmente el profesional, mediante una petición directa. Incorporar la acción de cierre al tablero interno es una tarea pendiente que se registra en el Capítulo 8; mientras tanto, la Tabla 10 consigna el origen real de cada invocación.</w:t>
      </w:r>
    </w:p>
    <w:p w:rsidR="00D60FC7" w:rsidRDefault="00000000">
      <w:pPr>
        <w:pStyle w:val="Ttulo3"/>
      </w:pPr>
      <w:bookmarkStart w:id="42" w:name="_Toc233808448"/>
      <w:r>
        <w:t>4.3.5 Procesos programados</w:t>
      </w:r>
      <w:bookmarkEnd w:id="42"/>
    </w:p>
    <w:p w:rsidR="00D60FC7" w:rsidRDefault="00000000">
      <w:r>
        <w:t>Tres disparadores por calendario ejecutan tareas desatendidas (OE5):</w:t>
      </w:r>
    </w:p>
    <w:p w:rsidR="00D60FC7" w:rsidRDefault="00000000">
      <w:pPr>
        <w:pStyle w:val="Prrafodelista"/>
        <w:numPr>
          <w:ilvl w:val="0"/>
          <w:numId w:val="1"/>
        </w:numPr>
      </w:pPr>
      <w:r>
        <w:rPr>
          <w:b/>
          <w:i w:val="0"/>
        </w:rPr>
        <w:t>Seguimiento de propuestas (de lunes a viernes, 9:00).</w:t>
      </w:r>
      <w:r>
        <w:rPr>
          <w:b w:val="0"/>
          <w:i w:val="0"/>
        </w:rPr>
        <w:t xml:space="preserve"> Lee los leads en estado PROPUESTA_ENVIADA o EN_SEGUIMIENTO con menos de tres seguimientos, cuya última interacción ocurrió hace al menos 3×(seguimientos+1) días —un espaciado creciente—, prepara uno de tres mensajes según el número de seguimiento, lo envía por correo, registra el seguimiento y actualiza el lead. Al alcanzar el tercer seguimiento sin respuesta, el lead se marca como PERDIDO (Figura 12, véase Anexo A).</w:t>
      </w:r>
    </w:p>
    <w:p w:rsidR="00D60FC7" w:rsidRDefault="00000000">
      <w:pPr>
        <w:pStyle w:val="Prrafodelista"/>
        <w:numPr>
          <w:ilvl w:val="0"/>
          <w:numId w:val="1"/>
        </w:numPr>
      </w:pPr>
      <w:r>
        <w:rPr>
          <w:b/>
        </w:rPr>
        <w:t>Recordatorios de pago</w:t>
      </w:r>
      <w:r>
        <w:t xml:space="preserve"> (diario, 10:00). Lee la vista </w:t>
      </w:r>
      <w:proofErr w:type="spellStart"/>
      <w:r>
        <w:rPr>
          <w:rFonts w:ascii="Consolas" w:hAnsi="Consolas" w:cs="Consolas"/>
        </w:rPr>
        <w:t>facturas_pendientes</w:t>
      </w:r>
      <w:proofErr w:type="spellEnd"/>
      <w:r>
        <w:t xml:space="preserve">, clasifica cada factura según los días al vencimiento —recordatorio a 3 días, aviso el día del vencimiento, aviso de vencida hasta 3 días y aviso urgente a partir de allí—, envía el correo correspondiente y, en el caso urgente, notifica además por </w:t>
      </w:r>
      <w:proofErr w:type="spellStart"/>
      <w:r>
        <w:t>Telegram</w:t>
      </w:r>
      <w:proofErr w:type="spellEnd"/>
      <w:r>
        <w:t>.</w:t>
      </w:r>
    </w:p>
    <w:p w:rsidR="00D60FC7" w:rsidRDefault="00000000">
      <w:pPr>
        <w:pStyle w:val="Prrafodelista"/>
        <w:numPr>
          <w:ilvl w:val="0"/>
          <w:numId w:val="1"/>
        </w:numPr>
      </w:pPr>
      <w:proofErr w:type="spellStart"/>
      <w:proofErr w:type="spellEnd"/>
      <w:proofErr w:type="spellStart"/>
      <w:proofErr w:type="spellEnd"/>
      <w:r>
        <w:rPr>
          <w:b/>
          <w:i w:val="0"/>
        </w:rPr>
        <w:t>Reporte diario de métricas (diario, 23:59).</w:t>
      </w:r>
      <w:r>
        <w:rPr>
          <w:b w:val="0"/>
          <w:i w:val="0"/>
        </w:rPr>
        <w:t xml:space="preserve"> Lee la vista </w:t>
      </w:r>
      <w:r>
        <w:rPr>
          <w:rFonts w:ascii="Consolas" w:hAnsi="Consolas" w:cs="Consolas"/>
          <w:b w:val="0"/>
          <w:i w:val="0"/>
        </w:rPr>
        <w:t>metrics_mensuales</w:t>
      </w:r>
      <w:r>
        <w:rPr>
          <w:b w:val="0"/>
          <w:i w:val="0"/>
        </w:rPr>
        <w:t xml:space="preserve"> del mes en curso y envía un resumen por Telegram. Este proceso no cuenta con evidencia visual en el Anexo A: la Figura 12 documenta los dos primeros procesos programados —seguimiento y recordatorios de pago— y no incluye una captura del reporte de métricas. Su verificación se reporta en el escenario E13 del Capítulo 5.</w:t>
      </w:r>
    </w:p>
    <w:p w:rsidR="00D60FC7" w:rsidRDefault="00000000">
      <w:pPr>
        <w:pStyle w:val="Ttulo3"/>
      </w:pPr>
      <w:bookmarkStart w:id="43" w:name="_Toc233808449"/>
      <w:r>
        <w:t>4.3.6 Manejo de errores</w:t>
      </w:r>
      <w:bookmarkEnd w:id="43"/>
    </w:p>
    <w:p w:rsidR="00D60FC7" w:rsidRDefault="00000000">
      <w:r>
        <w:t xml:space="preserve">El flujo incorpora una rama de manejo de errores que formatea la falla, la registra en la base de datos y emite una notificación de error crítico por </w:t>
      </w:r>
      <w:proofErr w:type="spellStart"/>
      <w:r>
        <w:t>Telegram</w:t>
      </w:r>
      <w:proofErr w:type="spellEnd"/>
      <w:r>
        <w:t>, de modo que las anomalías no pasen inadvertidas (RNF3).</w:t>
      </w:r>
    </w:p>
    <w:p>
      <w:pPr>
        <w:pStyle w:val="Ttulo3"/>
      </w:pPr>
      <w:r>
        <w:t>4.3.7 Gestión interactiva del ciclo posterior a la propuesta</w:t>
      </w:r>
    </w:p>
    <w:p>
      <w:pPr/>
      <w:r>
        <w:t>Más allá del camino principal, el flujo incorpora la gestión interactiva de lo que ocurre después de enviar la propuesta. Desde la página pública de aceptación, el cliente dispone de tres acciones: aceptar, solicitar cambios o rechazar. El rechazo (webhook POST /lead-rechaza) marca el lead como PERDIDO; el pedido de cambios (webhook POST /lead-modifica) devuelve el lead a EN_SEGUIMIENTO, guarda el mensaje del cliente y notifica al freelancer. Para la lectura de la propuesta desde esa página se expone, además, un webhook de solo lectura (GET /lead-propuesta). Una vez aceptado el proyecto, su ejecución se sigue mediante una máquina de estados propia —la columna estado_trabajo, con los valores PENDIENTE, EN_PROGRESO, EN_REVISION y ENTREGADO—, que se actualiza desde el tablero interno, en la sección «Trabajos activos», a través del webhook POST /trabajo-estado y se sincroniza con Notion. Desde ese mismo tablero, el equipo puede cancelar un lead (webhook POST /lead-cancelar) y resolver los pedidos de cambio: al aceptarlos se reenvía la propuesta (webhook POST /cambio-aceptar) y al rechazarlos se mantiene la propuesta original (webhook POST /cambio-rechazar).</w:t>
      </w:r>
    </w:p>
    <w:p w:rsidR="00D60FC7" w:rsidRDefault="00000000">
      <w:pPr>
        <w:pStyle w:val="Ttulo2"/>
      </w:pPr>
      <w:bookmarkStart w:id="44" w:name="_Toc233808450"/>
      <w:r>
        <w:t>4.4 Modelo de datos</w:t>
      </w:r>
      <w:bookmarkEnd w:id="44"/>
    </w:p>
    <w:p w:rsidR="00D60FC7" w:rsidRDefault="00000000">
      <w:proofErr w:type="spellStart"/>
      <w:proofErr w:type="spellEnd"/>
      <w:r>
        <w:rPr>
          <w:b w:val="0"/>
          <w:i w:val="0"/>
        </w:rPr>
        <w:t>El modelo relacional se compone de cinco tablas y dos vistas: cuatro tablas de negocio —</w:t>
      </w:r>
      <w:r>
        <w:rPr>
          <w:rFonts w:ascii="Consolas" w:hAnsi="Consolas" w:cs="Consolas"/>
          <w:b w:val="0"/>
          <w:i w:val="0"/>
        </w:rPr>
        <w:t>leads</w:t>
      </w:r>
      <w:r>
        <w:rPr>
          <w:b w:val="0"/>
          <w:i w:val="0"/>
        </w:rPr>
        <w:t xml:space="preserve">, </w:t>
      </w:r>
      <w:r>
        <w:rPr>
          <w:rFonts w:ascii="Consolas" w:hAnsi="Consolas" w:cs="Consolas"/>
          <w:b w:val="0"/>
          <w:i w:val="0"/>
        </w:rPr>
        <w:t>facturas</w:t>
      </w:r>
      <w:r>
        <w:rPr>
          <w:b w:val="0"/>
          <w:i w:val="0"/>
        </w:rPr>
        <w:t xml:space="preserve">, </w:t>
      </w:r>
      <w:r>
        <w:rPr>
          <w:rFonts w:ascii="Consolas" w:hAnsi="Consolas" w:cs="Consolas"/>
          <w:b w:val="0"/>
          <w:i w:val="0"/>
        </w:rPr>
        <w:t>seguimientos</w:t>
      </w:r>
      <w:r>
        <w:rPr>
          <w:b w:val="0"/>
          <w:i w:val="0"/>
        </w:rPr>
        <w:t xml:space="preserve"> y </w:t>
      </w:r>
      <w:r>
        <w:rPr>
          <w:rFonts w:ascii="Consolas" w:hAnsi="Consolas" w:cs="Consolas"/>
          <w:b w:val="0"/>
          <w:i w:val="0"/>
        </w:rPr>
        <w:t>logs</w:t>
      </w:r>
      <w:r>
        <w:rPr>
          <w:b w:val="0"/>
          <w:i w:val="0"/>
        </w:rPr>
        <w:t xml:space="preserve">— y la tabla </w:t>
      </w:r>
      <w:r>
        <w:rPr>
          <w:rFonts w:ascii="Consolas" w:hAnsi="Consolas" w:cs="Consolas"/>
          <w:b w:val="0"/>
          <w:i w:val="0"/>
        </w:rPr>
        <w:t>profiles</w:t>
      </w:r>
      <w:r>
        <w:rPr>
          <w:b w:val="0"/>
          <w:i w:val="0"/>
        </w:rPr>
        <w:t xml:space="preserve">, que asigna a cada usuario un rol de aplicación (§4.6). La Figura 2 presenta el diagrama entidad-relación completo, con los tipos de dato, las claves, las restricciones de integridad y los valores por defecto tomados del archivo </w:t>
      </w:r>
      <w:r>
        <w:rPr>
          <w:rFonts w:ascii="Consolas" w:hAnsi="Consolas" w:cs="Consolas"/>
          <w:b w:val="0"/>
          <w:i w:val="0"/>
        </w:rPr>
        <w:t>db/schema.sql</w:t>
      </w:r>
      <w:r>
        <w:rPr>
          <w:b w:val="0"/>
          <w:i w:val="0"/>
        </w:rPr>
        <w:t xml:space="preserve"> del repositorio; la Tabla 6 describe la tabla </w:t>
      </w:r>
      <w:r>
        <w:rPr>
          <w:rFonts w:ascii="Consolas" w:hAnsi="Consolas" w:cs="Consolas"/>
          <w:b w:val="0"/>
          <w:i w:val="0"/>
        </w:rPr>
        <w:t>leads</w:t>
      </w:r>
      <w:r>
        <w:rPr>
          <w:b w:val="0"/>
          <w:i w:val="0"/>
        </w:rPr>
        <w:t>, núcleo del sistema, y la Tabla 7 resume las restantes. El esquema declara siete tipos enumerados, integridad referencial con borrado en cascada, seis índices y un disparador que mantiene actualizada la marca temporal de modificación: elementos que versiones anteriores de este apartado no documentaban y que conviene consignar, porque el trabajo perdía crédito por ingeniería efectivamente realizada.</w:t>
      </w:r>
    </w:p>
    <w:p>
      <w:pPr>
        <w:jc w:val="center"/>
        <w:keepNext/>
      </w:pPr>
      <w:r>
        <w:drawing>
          <wp:inline xmlns:a="http://schemas.openxmlformats.org/drawingml/2006/main" xmlns:pic="http://schemas.openxmlformats.org/drawingml/2006/picture">
            <wp:extent cx="5472000" cy="3975523"/>
            <wp:docPr id="21" name="Picture 21"/>
            <wp:cNvGraphicFramePr>
              <a:graphicFrameLocks noChangeAspect="1"/>
            </wp:cNvGraphicFramePr>
            <a:graphic>
              <a:graphicData uri="http://schemas.openxmlformats.org/drawingml/2006/picture">
                <pic:pic>
                  <pic:nvPicPr>
                    <pic:cNvPr id="0" name="fig02_der.png"/>
                    <pic:cNvPicPr/>
                  </pic:nvPicPr>
                  <pic:blipFill>
                    <a:blip r:embed="rId30"/>
                    <a:stretch>
                      <a:fillRect/>
                    </a:stretch>
                  </pic:blipFill>
                  <pic:spPr>
                    <a:xfrm>
                      <a:off x="0" y="0"/>
                      <a:ext cx="5472000" cy="3975523"/>
                    </a:xfrm>
                    <a:prstGeom prst="rect"/>
                  </pic:spPr>
                </pic:pic>
              </a:graphicData>
            </a:graphic>
          </wp:inline>
        </w:drawing>
      </w:r>
    </w:p>
    <w:p>
      <w:pPr>
        <w:keepLines/>
      </w:pPr>
      <w:r>
        <w:rPr>
          <w:b/>
          <w:i w:val="0"/>
          <w:sz w:val="17"/>
        </w:rPr>
        <w:t>Figura 2.</w:t>
      </w:r>
      <w:r>
        <w:rPr>
          <w:b w:val="0"/>
          <w:i w:val="0"/>
          <w:sz w:val="17"/>
        </w:rPr>
        <w:t xml:space="preserve"> Diagrama entidad-relación del modelo de datos, con tipos, claves, restricciones y valores por defecto. </w:t>
      </w:r>
      <w:r>
        <w:rPr>
          <w:b w:val="0"/>
          <w:i/>
          <w:sz w:val="17"/>
        </w:rPr>
        <w:t>Nota.</w:t>
      </w:r>
      <w:r>
        <w:rPr>
          <w:b w:val="0"/>
          <w:i w:val="0"/>
          <w:sz w:val="17"/>
        </w:rPr>
        <w:t xml:space="preserve"> Elaboración propia a partir de </w:t>
      </w:r>
      <w:r>
        <w:rPr>
          <w:rFonts w:ascii="Consolas" w:hAnsi="Consolas" w:cs="Consolas"/>
          <w:b w:val="0"/>
          <w:i w:val="0"/>
          <w:sz w:val="17"/>
        </w:rPr>
        <w:t>db/schema.sql</w:t>
      </w:r>
      <w:r>
        <w:rPr>
          <w:b w:val="0"/>
          <w:i w:val="0"/>
          <w:sz w:val="17"/>
        </w:rPr>
        <w:t>. El DDL completo se reproduce en el Anexo F.</w:t>
      </w:r>
    </w:p>
    <w:p w:rsidR="00D60FC7" w:rsidRDefault="00000000">
      <w:pPr>
        <w:spacing w:after="120" w:line="240" w:lineRule="auto"/>
        <w:jc w:val="center"/>
      </w:pPr>
      <w:r>
        <w:rPr>
          <w:sz w:val="20"/>
          <w:szCs w:val="20"/>
        </w:rPr>
        <w:t>Tabla 6. Esquema de la tabla leads (principales columnas)</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5000" w:type="pct"/>
      </w:tblPr>
      <w:tblGrid>
        <w:gridCol w:w="2929"/>
        <w:gridCol w:w="2929"/>
        <w:gridCol w:w="2929"/>
      </w:tblGrid>
      <w:tr>
        <w:trPr>
          <w:tblHeader/>
        </w:trPr>
        <w:tc>
          <w:tcPr>
            <w:tcW w:type="dxa" w:w="1928"/>
            <w:shd w:val="clear" w:color="auto" w:fill="1F2937"/>
          </w:tcPr>
          <w:p>
            <w:pPr>
              <w:spacing w:after="40" w:before="40"/>
              <w:jc w:val="left"/>
            </w:pPr>
            <w:r>
              <w:rPr>
                <w:b/>
                <w:i w:val="0"/>
                <w:color w:val="FFFFFF"/>
                <w:sz w:val="14"/>
              </w:rPr>
              <w:t>Columna</w:t>
            </w:r>
          </w:p>
        </w:tc>
        <w:tc>
          <w:tcPr>
            <w:tcW w:type="dxa" w:w="3175"/>
            <w:shd w:val="clear" w:color="auto" w:fill="1F2937"/>
          </w:tcPr>
          <w:p>
            <w:pPr>
              <w:spacing w:after="40" w:before="40"/>
              <w:jc w:val="left"/>
            </w:pPr>
            <w:r>
              <w:rPr>
                <w:b/>
                <w:i w:val="0"/>
                <w:color w:val="FFFFFF"/>
                <w:sz w:val="14"/>
              </w:rPr>
              <w:t>Tipo y restricciones</w:t>
            </w:r>
          </w:p>
        </w:tc>
        <w:tc>
          <w:tcPr>
            <w:tcW w:type="dxa" w:w="3685"/>
            <w:shd w:val="clear" w:color="auto" w:fill="1F2937"/>
          </w:tcPr>
          <w:p>
            <w:pPr>
              <w:spacing w:after="40" w:before="40"/>
              <w:jc w:val="left"/>
            </w:pPr>
            <w:r>
              <w:rPr>
                <w:b/>
                <w:i w:val="0"/>
                <w:color w:val="FFFFFF"/>
                <w:sz w:val="14"/>
              </w:rPr>
              <w:t>Descripción</w:t>
            </w:r>
          </w:p>
        </w:tc>
      </w:tr>
      <w:tr>
        <w:tc>
          <w:tcPr>
            <w:tcW w:type="dxa" w:w="1928"/>
          </w:tcPr>
          <w:p>
            <w:pPr>
              <w:spacing w:after="40" w:before="40"/>
              <w:jc w:val="left"/>
            </w:pPr>
            <w:r>
              <w:rPr>
                <w:b w:val="0"/>
                <w:i w:val="0"/>
                <w:sz w:val="14"/>
              </w:rPr>
              <w:t>id</w:t>
            </w:r>
          </w:p>
        </w:tc>
        <w:tc>
          <w:tcPr>
            <w:tcW w:type="dxa" w:w="3175"/>
          </w:tcPr>
          <w:p>
            <w:pPr>
              <w:spacing w:after="40" w:before="40"/>
              <w:jc w:val="left"/>
            </w:pPr>
            <w:r>
              <w:rPr>
                <w:b w:val="0"/>
                <w:i w:val="0"/>
                <w:sz w:val="14"/>
                <w:rFonts w:ascii="Consolas" w:hAnsi="Consolas" w:cs="Consolas"/>
              </w:rPr>
              <w:t>BIGINT GENERATED ALWAYS AS IDENTITY</w:t>
            </w:r>
            <w:r>
              <w:rPr>
                <w:b w:val="0"/>
                <w:i w:val="0"/>
                <w:sz w:val="14"/>
              </w:rPr>
              <w:t xml:space="preserve"> · PK</w:t>
            </w:r>
          </w:p>
        </w:tc>
        <w:tc>
          <w:tcPr>
            <w:tcW w:type="dxa" w:w="3685"/>
          </w:tcPr>
          <w:p>
            <w:pPr>
              <w:spacing w:after="40" w:before="40"/>
              <w:jc w:val="left"/>
            </w:pPr>
            <w:r>
              <w:rPr>
                <w:b w:val="0"/>
                <w:i w:val="0"/>
                <w:sz w:val="14"/>
              </w:rPr>
              <w:t>Clave primaria técnica.</w:t>
            </w:r>
          </w:p>
        </w:tc>
      </w:tr>
      <w:tr>
        <w:tc>
          <w:tcPr>
            <w:tcW w:type="dxa" w:w="1928"/>
          </w:tcPr>
          <w:p>
            <w:pPr>
              <w:spacing w:after="40" w:before="40"/>
              <w:jc w:val="left"/>
            </w:pPr>
            <w:r>
              <w:rPr>
                <w:b w:val="0"/>
                <w:i w:val="0"/>
                <w:sz w:val="14"/>
              </w:rPr>
              <w:t>lead_id</w:t>
            </w:r>
          </w:p>
        </w:tc>
        <w:tc>
          <w:tcPr>
            <w:tcW w:type="dxa" w:w="3175"/>
          </w:tcPr>
          <w:p>
            <w:pPr>
              <w:spacing w:after="40" w:before="40"/>
              <w:jc w:val="left"/>
            </w:pPr>
            <w:r>
              <w:rPr>
                <w:b w:val="0"/>
                <w:i w:val="0"/>
                <w:sz w:val="14"/>
                <w:rFonts w:ascii="Consolas" w:hAnsi="Consolas" w:cs="Consolas"/>
              </w:rPr>
              <w:t>TEXT NOT NULL</w:t>
            </w:r>
            <w:r>
              <w:rPr>
                <w:b w:val="0"/>
                <w:i w:val="0"/>
                <w:sz w:val="14"/>
              </w:rPr>
              <w:t xml:space="preserve"> · UNIQUE</w:t>
            </w:r>
          </w:p>
        </w:tc>
        <w:tc>
          <w:tcPr>
            <w:tcW w:type="dxa" w:w="3685"/>
          </w:tcPr>
          <w:p>
            <w:pPr>
              <w:spacing w:after="40" w:before="40"/>
              <w:jc w:val="left"/>
            </w:pPr>
            <w:r>
              <w:rPr>
                <w:b w:val="0"/>
                <w:i w:val="0"/>
                <w:sz w:val="14"/>
              </w:rPr>
              <w:t xml:space="preserve">Identificador de negocio, formato </w:t>
            </w:r>
            <w:r>
              <w:rPr>
                <w:b w:val="0"/>
                <w:i w:val="0"/>
                <w:sz w:val="14"/>
                <w:rFonts w:ascii="Consolas" w:hAnsi="Consolas" w:cs="Consolas"/>
              </w:rPr>
              <w:t>LD-&lt;timestamp&gt;-&lt;aleatorio&gt;</w:t>
            </w:r>
            <w:r>
              <w:rPr>
                <w:b w:val="0"/>
                <w:i w:val="0"/>
                <w:sz w:val="14"/>
              </w:rPr>
              <w:t>.</w:t>
            </w:r>
          </w:p>
        </w:tc>
      </w:tr>
      <w:tr>
        <w:tc>
          <w:tcPr>
            <w:tcW w:type="dxa" w:w="1928"/>
          </w:tcPr>
          <w:p>
            <w:pPr>
              <w:spacing w:after="40" w:before="40"/>
              <w:jc w:val="left"/>
            </w:pPr>
            <w:r>
              <w:rPr>
                <w:b w:val="0"/>
                <w:i w:val="0"/>
                <w:sz w:val="14"/>
              </w:rPr>
              <w:t>nombre</w:t>
            </w:r>
          </w:p>
        </w:tc>
        <w:tc>
          <w:tcPr>
            <w:tcW w:type="dxa" w:w="3175"/>
          </w:tcPr>
          <w:p>
            <w:pPr>
              <w:spacing w:after="40" w:before="40"/>
              <w:jc w:val="left"/>
            </w:pPr>
            <w:r>
              <w:rPr>
                <w:b w:val="0"/>
                <w:i w:val="0"/>
                <w:sz w:val="14"/>
                <w:rFonts w:ascii="Consolas" w:hAnsi="Consolas" w:cs="Consolas"/>
              </w:rPr>
              <w:t>TEXT NOT NULL</w:t>
            </w:r>
          </w:p>
        </w:tc>
        <w:tc>
          <w:tcPr>
            <w:tcW w:type="dxa" w:w="3685"/>
          </w:tcPr>
          <w:p>
            <w:pPr>
              <w:spacing w:after="40" w:before="40"/>
              <w:jc w:val="left"/>
            </w:pPr>
            <w:r>
              <w:rPr>
                <w:b w:val="0"/>
                <w:i w:val="0"/>
                <w:sz w:val="14"/>
              </w:rPr>
              <w:t>Nombre de contacto normalizado.</w:t>
            </w:r>
          </w:p>
        </w:tc>
      </w:tr>
      <w:tr>
        <w:tc>
          <w:tcPr>
            <w:tcW w:type="dxa" w:w="1928"/>
          </w:tcPr>
          <w:p>
            <w:pPr>
              <w:spacing w:after="40" w:before="40"/>
              <w:jc w:val="left"/>
            </w:pPr>
            <w:r>
              <w:rPr>
                <w:b w:val="0"/>
                <w:i w:val="0"/>
                <w:sz w:val="14"/>
              </w:rPr>
              <w:t>email</w:t>
            </w:r>
          </w:p>
        </w:tc>
        <w:tc>
          <w:tcPr>
            <w:tcW w:type="dxa" w:w="3175"/>
          </w:tcPr>
          <w:p>
            <w:pPr>
              <w:spacing w:after="40" w:before="40"/>
              <w:jc w:val="left"/>
            </w:pPr>
            <w:r>
              <w:rPr>
                <w:b w:val="0"/>
                <w:i w:val="0"/>
                <w:sz w:val="14"/>
                <w:rFonts w:ascii="Consolas" w:hAnsi="Consolas" w:cs="Consolas"/>
              </w:rPr>
              <w:t>TEXT NOT NULL</w:t>
            </w:r>
            <w:r>
              <w:rPr>
                <w:b w:val="0"/>
                <w:i w:val="0"/>
                <w:sz w:val="14"/>
              </w:rPr>
              <w:t xml:space="preserve"> · </w:t>
            </w:r>
            <w:r>
              <w:rPr>
                <w:b w:val="0"/>
                <w:i w:val="0"/>
                <w:sz w:val="14"/>
                <w:rFonts w:ascii="Consolas" w:hAnsi="Consolas" w:cs="Consolas"/>
              </w:rPr>
              <w:t>CHECK (position('@' in email) &gt; 1)</w:t>
            </w:r>
          </w:p>
        </w:tc>
        <w:tc>
          <w:tcPr>
            <w:tcW w:type="dxa" w:w="3685"/>
          </w:tcPr>
          <w:p>
            <w:pPr>
              <w:spacing w:after="40" w:before="40"/>
              <w:jc w:val="left"/>
            </w:pPr>
            <w:r>
              <w:rPr>
                <w:b w:val="0"/>
                <w:i w:val="0"/>
                <w:sz w:val="14"/>
              </w:rPr>
              <w:t>Correo normalizado a minúsculas.</w:t>
            </w:r>
          </w:p>
        </w:tc>
      </w:tr>
      <w:tr>
        <w:tc>
          <w:tcPr>
            <w:tcW w:type="dxa" w:w="1928"/>
          </w:tcPr>
          <w:p>
            <w:pPr>
              <w:spacing w:after="40" w:before="40"/>
              <w:jc w:val="left"/>
            </w:pPr>
            <w:r>
              <w:rPr>
                <w:b w:val="0"/>
                <w:i w:val="0"/>
                <w:sz w:val="14"/>
              </w:rPr>
              <w:t>telefono</w:t>
            </w:r>
          </w:p>
        </w:tc>
        <w:tc>
          <w:tcPr>
            <w:tcW w:type="dxa" w:w="3175"/>
          </w:tcPr>
          <w:p>
            <w:pPr>
              <w:spacing w:after="40" w:before="40"/>
              <w:jc w:val="left"/>
            </w:pPr>
            <w:r>
              <w:rPr>
                <w:b w:val="0"/>
                <w:i w:val="0"/>
                <w:sz w:val="14"/>
                <w:rFonts w:ascii="Consolas" w:hAnsi="Consolas" w:cs="Consolas"/>
              </w:rPr>
              <w:t>TEXT</w:t>
            </w:r>
            <w:r>
              <w:rPr>
                <w:b w:val="0"/>
                <w:i w:val="0"/>
                <w:sz w:val="14"/>
              </w:rPr>
              <w:t xml:space="preserve"> (nulo admitido)</w:t>
            </w:r>
          </w:p>
        </w:tc>
        <w:tc>
          <w:tcPr>
            <w:tcW w:type="dxa" w:w="3685"/>
          </w:tcPr>
          <w:p>
            <w:pPr>
              <w:spacing w:after="40" w:before="40"/>
              <w:jc w:val="left"/>
            </w:pPr>
            <w:r>
              <w:rPr>
                <w:b w:val="0"/>
                <w:i w:val="0"/>
                <w:sz w:val="14"/>
              </w:rPr>
              <w:t>Teléfono opcional; suma 5 puntos si supera 6 caracteres.</w:t>
            </w:r>
          </w:p>
        </w:tc>
      </w:tr>
      <w:tr>
        <w:tc>
          <w:tcPr>
            <w:tcW w:type="dxa" w:w="1928"/>
          </w:tcPr>
          <w:p>
            <w:pPr>
              <w:spacing w:after="40" w:before="40"/>
              <w:jc w:val="left"/>
            </w:pPr>
            <w:r>
              <w:rPr>
                <w:b w:val="0"/>
                <w:i w:val="0"/>
                <w:sz w:val="14"/>
              </w:rPr>
              <w:t>presupuesto</w:t>
            </w:r>
          </w:p>
        </w:tc>
        <w:tc>
          <w:tcPr>
            <w:tcW w:type="dxa" w:w="3175"/>
          </w:tcPr>
          <w:p>
            <w:pPr>
              <w:spacing w:after="40" w:before="40"/>
              <w:jc w:val="left"/>
            </w:pPr>
            <w:r>
              <w:rPr>
                <w:b w:val="0"/>
                <w:i w:val="0"/>
                <w:sz w:val="14"/>
                <w:rFonts w:ascii="Consolas" w:hAnsi="Consolas" w:cs="Consolas"/>
              </w:rPr>
              <w:t>NUMERIC(12,2) NOT NULL DEFAULT 0</w:t>
            </w:r>
            <w:r>
              <w:rPr>
                <w:b w:val="0"/>
                <w:i w:val="0"/>
                <w:sz w:val="14"/>
              </w:rPr>
              <w:t xml:space="preserve"> · </w:t>
            </w:r>
            <w:r>
              <w:rPr>
                <w:b w:val="0"/>
                <w:i w:val="0"/>
                <w:sz w:val="14"/>
                <w:rFonts w:ascii="Consolas" w:hAnsi="Consolas" w:cs="Consolas"/>
              </w:rPr>
              <w:t>CHECK (&gt;= 0)</w:t>
            </w:r>
          </w:p>
        </w:tc>
        <w:tc>
          <w:tcPr>
            <w:tcW w:type="dxa" w:w="3685"/>
          </w:tcPr>
          <w:p>
            <w:pPr>
              <w:spacing w:after="40" w:before="40"/>
              <w:jc w:val="left"/>
            </w:pPr>
            <w:r>
              <w:rPr>
                <w:b w:val="0"/>
                <w:i w:val="0"/>
                <w:sz w:val="14"/>
              </w:rPr>
              <w:t>Presupuesto declarado en dólares.</w:t>
            </w:r>
          </w:p>
        </w:tc>
      </w:tr>
      <w:tr>
        <w:tc>
          <w:tcPr>
            <w:tcW w:type="dxa" w:w="1928"/>
          </w:tcPr>
          <w:p>
            <w:pPr>
              <w:spacing w:after="40" w:before="40"/>
              <w:jc w:val="left"/>
            </w:pPr>
            <w:r>
              <w:rPr>
                <w:b w:val="0"/>
                <w:i w:val="0"/>
                <w:sz w:val="14"/>
              </w:rPr>
              <w:t>urgencia</w:t>
            </w:r>
          </w:p>
        </w:tc>
        <w:tc>
          <w:tcPr>
            <w:tcW w:type="dxa" w:w="3175"/>
          </w:tcPr>
          <w:p>
            <w:pPr>
              <w:spacing w:after="40" w:before="40"/>
              <w:jc w:val="left"/>
            </w:pPr>
            <w:r>
              <w:rPr>
                <w:b w:val="0"/>
                <w:i w:val="0"/>
                <w:sz w:val="14"/>
                <w:rFonts w:ascii="Consolas" w:hAnsi="Consolas" w:cs="Consolas"/>
              </w:rPr>
              <w:t>urgencia_tipo NOT NULL DEFAULT 'media'</w:t>
            </w:r>
          </w:p>
        </w:tc>
        <w:tc>
          <w:tcPr>
            <w:tcW w:type="dxa" w:w="3685"/>
          </w:tcPr>
          <w:p>
            <w:pPr>
              <w:spacing w:after="40" w:before="40"/>
              <w:jc w:val="left"/>
            </w:pPr>
            <w:r>
              <w:rPr>
                <w:b w:val="0"/>
                <w:i w:val="0"/>
                <w:sz w:val="14"/>
              </w:rPr>
              <w:t xml:space="preserve">Enumerado: </w:t>
            </w:r>
            <w:r>
              <w:rPr>
                <w:b w:val="0"/>
                <w:i w:val="0"/>
                <w:sz w:val="14"/>
                <w:rFonts w:ascii="Consolas" w:hAnsi="Consolas" w:cs="Consolas"/>
              </w:rPr>
              <w:t>alta</w:t>
            </w:r>
            <w:r>
              <w:rPr>
                <w:b w:val="0"/>
                <w:i w:val="0"/>
                <w:sz w:val="14"/>
              </w:rPr>
              <w:t xml:space="preserve">, </w:t>
            </w:r>
            <w:r>
              <w:rPr>
                <w:b w:val="0"/>
                <w:i w:val="0"/>
                <w:sz w:val="14"/>
                <w:rFonts w:ascii="Consolas" w:hAnsi="Consolas" w:cs="Consolas"/>
              </w:rPr>
              <w:t>media</w:t>
            </w:r>
            <w:r>
              <w:rPr>
                <w:b w:val="0"/>
                <w:i w:val="0"/>
                <w:sz w:val="14"/>
              </w:rPr>
              <w:t xml:space="preserve">, </w:t>
            </w:r>
            <w:r>
              <w:rPr>
                <w:b w:val="0"/>
                <w:i w:val="0"/>
                <w:sz w:val="14"/>
                <w:rFonts w:ascii="Consolas" w:hAnsi="Consolas" w:cs="Consolas"/>
              </w:rPr>
              <w:t>baja</w:t>
            </w:r>
            <w:r>
              <w:rPr>
                <w:b w:val="0"/>
                <w:i w:val="0"/>
                <w:sz w:val="14"/>
              </w:rPr>
              <w:t>.</w:t>
            </w:r>
          </w:p>
        </w:tc>
      </w:tr>
      <w:tr>
        <w:tc>
          <w:tcPr>
            <w:tcW w:type="dxa" w:w="1928"/>
          </w:tcPr>
          <w:p>
            <w:pPr>
              <w:spacing w:after="40" w:before="40"/>
              <w:jc w:val="left"/>
            </w:pPr>
            <w:r>
              <w:rPr>
                <w:b w:val="0"/>
                <w:i w:val="0"/>
                <w:sz w:val="14"/>
              </w:rPr>
              <w:t>servicio</w:t>
            </w:r>
          </w:p>
        </w:tc>
        <w:tc>
          <w:tcPr>
            <w:tcW w:type="dxa" w:w="3175"/>
          </w:tcPr>
          <w:p>
            <w:pPr>
              <w:spacing w:after="40" w:before="40"/>
              <w:jc w:val="left"/>
            </w:pPr>
            <w:r>
              <w:rPr>
                <w:b w:val="0"/>
                <w:i w:val="0"/>
                <w:sz w:val="14"/>
                <w:rFonts w:ascii="Consolas" w:hAnsi="Consolas" w:cs="Consolas"/>
              </w:rPr>
              <w:t>servicio_tipo NOT NULL DEFAULT 'desarrollo_web'</w:t>
            </w:r>
          </w:p>
        </w:tc>
        <w:tc>
          <w:tcPr>
            <w:tcW w:type="dxa" w:w="3685"/>
          </w:tcPr>
          <w:p>
            <w:pPr>
              <w:spacing w:after="40" w:before="40"/>
              <w:jc w:val="left"/>
            </w:pPr>
            <w:r>
              <w:rPr>
                <w:b w:val="0"/>
                <w:i w:val="0"/>
                <w:sz w:val="14"/>
              </w:rPr>
              <w:t>Enumerado de nueve valores (véase la Tabla 5).</w:t>
            </w:r>
          </w:p>
        </w:tc>
      </w:tr>
      <w:tr>
        <w:tc>
          <w:tcPr>
            <w:tcW w:type="dxa" w:w="1928"/>
          </w:tcPr>
          <w:p>
            <w:pPr>
              <w:spacing w:after="40" w:before="40"/>
              <w:jc w:val="left"/>
            </w:pPr>
            <w:r>
              <w:rPr>
                <w:b w:val="0"/>
                <w:i w:val="0"/>
                <w:sz w:val="14"/>
              </w:rPr>
              <w:t>descripcion</w:t>
            </w:r>
          </w:p>
        </w:tc>
        <w:tc>
          <w:tcPr>
            <w:tcW w:type="dxa" w:w="3175"/>
          </w:tcPr>
          <w:p>
            <w:pPr>
              <w:spacing w:after="40" w:before="40"/>
              <w:jc w:val="left"/>
            </w:pPr>
            <w:r>
              <w:rPr>
                <w:b w:val="0"/>
                <w:i w:val="0"/>
                <w:sz w:val="14"/>
                <w:rFonts w:ascii="Consolas" w:hAnsi="Consolas" w:cs="Consolas"/>
              </w:rPr>
              <w:t>TEXT</w:t>
            </w:r>
          </w:p>
        </w:tc>
        <w:tc>
          <w:tcPr>
            <w:tcW w:type="dxa" w:w="3685"/>
          </w:tcPr>
          <w:p>
            <w:pPr>
              <w:spacing w:after="40" w:before="40"/>
              <w:jc w:val="left"/>
            </w:pPr>
            <w:r>
              <w:rPr>
                <w:b w:val="0"/>
                <w:i w:val="0"/>
                <w:sz w:val="14"/>
              </w:rPr>
              <w:t>Descripción del proyecto, truncada a 2000 caracteres.</w:t>
            </w:r>
          </w:p>
        </w:tc>
      </w:tr>
      <w:tr>
        <w:tc>
          <w:tcPr>
            <w:tcW w:type="dxa" w:w="1928"/>
          </w:tcPr>
          <w:p>
            <w:pPr>
              <w:spacing w:after="40" w:before="40"/>
              <w:jc w:val="left"/>
            </w:pPr>
            <w:r>
              <w:rPr>
                <w:b w:val="0"/>
                <w:i w:val="0"/>
                <w:sz w:val="14"/>
              </w:rPr>
              <w:t>fuente</w:t>
            </w:r>
          </w:p>
        </w:tc>
        <w:tc>
          <w:tcPr>
            <w:tcW w:type="dxa" w:w="3175"/>
          </w:tcPr>
          <w:p>
            <w:pPr>
              <w:spacing w:after="40" w:before="40"/>
              <w:jc w:val="left"/>
            </w:pPr>
            <w:r>
              <w:rPr>
                <w:b w:val="0"/>
                <w:i w:val="0"/>
                <w:sz w:val="14"/>
                <w:rFonts w:ascii="Consolas" w:hAnsi="Consolas" w:cs="Consolas"/>
              </w:rPr>
              <w:t>TEXT DEFAULT 'webhook'</w:t>
            </w:r>
          </w:p>
        </w:tc>
        <w:tc>
          <w:tcPr>
            <w:tcW w:type="dxa" w:w="3685"/>
          </w:tcPr>
          <w:p>
            <w:pPr>
              <w:spacing w:after="40" w:before="40"/>
              <w:jc w:val="left"/>
            </w:pPr>
            <w:r>
              <w:rPr>
                <w:b w:val="0"/>
                <w:i w:val="0"/>
                <w:sz w:val="14"/>
              </w:rPr>
              <w:t>Origen del lead.</w:t>
            </w:r>
          </w:p>
        </w:tc>
      </w:tr>
      <w:tr>
        <w:tc>
          <w:tcPr>
            <w:tcW w:type="dxa" w:w="1928"/>
          </w:tcPr>
          <w:p>
            <w:pPr>
              <w:spacing w:after="40" w:before="40"/>
              <w:jc w:val="left"/>
            </w:pPr>
            <w:r>
              <w:rPr>
                <w:b w:val="0"/>
                <w:i w:val="0"/>
                <w:sz w:val="14"/>
              </w:rPr>
              <w:t>estado</w:t>
            </w:r>
          </w:p>
        </w:tc>
        <w:tc>
          <w:tcPr>
            <w:tcW w:type="dxa" w:w="3175"/>
          </w:tcPr>
          <w:p>
            <w:pPr>
              <w:spacing w:after="40" w:before="40"/>
              <w:jc w:val="left"/>
            </w:pPr>
            <w:r>
              <w:rPr>
                <w:b w:val="0"/>
                <w:i w:val="0"/>
                <w:sz w:val="14"/>
                <w:rFonts w:ascii="Consolas" w:hAnsi="Consolas" w:cs="Consolas"/>
              </w:rPr>
              <w:t>lead_estado NOT NULL DEFAULT 'NUEVO'</w:t>
            </w:r>
          </w:p>
        </w:tc>
        <w:tc>
          <w:tcPr>
            <w:tcW w:type="dxa" w:w="3685"/>
          </w:tcPr>
          <w:p>
            <w:pPr>
              <w:spacing w:after="40" w:before="40"/>
              <w:jc w:val="left"/>
            </w:pPr>
            <w:r>
              <w:rPr>
                <w:b w:val="0"/>
                <w:i w:val="0"/>
                <w:sz w:val="14"/>
              </w:rPr>
              <w:t>Estado comercial (véase la Tabla 9).</w:t>
            </w:r>
          </w:p>
        </w:tc>
      </w:tr>
      <w:tr>
        <w:tc>
          <w:tcPr>
            <w:tcW w:type="dxa" w:w="1928"/>
          </w:tcPr>
          <w:p>
            <w:pPr>
              <w:spacing w:after="40" w:before="40"/>
              <w:jc w:val="left"/>
            </w:pPr>
            <w:r>
              <w:rPr>
                <w:b w:val="0"/>
                <w:i w:val="0"/>
                <w:sz w:val="14"/>
              </w:rPr>
              <w:t>estado_trabajo</w:t>
            </w:r>
          </w:p>
        </w:tc>
        <w:tc>
          <w:tcPr>
            <w:tcW w:type="dxa" w:w="3175"/>
          </w:tcPr>
          <w:p>
            <w:pPr>
              <w:spacing w:after="40" w:before="40"/>
              <w:jc w:val="left"/>
            </w:pPr>
            <w:r>
              <w:rPr>
                <w:b w:val="0"/>
                <w:i w:val="0"/>
                <w:sz w:val="14"/>
                <w:rFonts w:ascii="Consolas" w:hAnsi="Consolas" w:cs="Consolas"/>
              </w:rPr>
              <w:t>trabajo_estado NOT NULL DEFAULT 'PENDIENTE'</w:t>
            </w:r>
          </w:p>
        </w:tc>
        <w:tc>
          <w:tcPr>
            <w:tcW w:type="dxa" w:w="3685"/>
          </w:tcPr>
          <w:p>
            <w:pPr>
              <w:spacing w:after="40" w:before="40"/>
              <w:jc w:val="left"/>
            </w:pPr>
            <w:r>
              <w:rPr>
                <w:b w:val="0"/>
                <w:i w:val="0"/>
                <w:sz w:val="14"/>
              </w:rPr>
              <w:t>Estado de ejecución del proyecto, distinto del comercial (véase la Tabla 9).</w:t>
            </w:r>
          </w:p>
        </w:tc>
      </w:tr>
      <w:tr>
        <w:tc>
          <w:tcPr>
            <w:tcW w:type="dxa" w:w="1928"/>
          </w:tcPr>
          <w:p>
            <w:pPr>
              <w:spacing w:after="40" w:before="40"/>
              <w:jc w:val="left"/>
            </w:pPr>
            <w:r>
              <w:rPr>
                <w:b w:val="0"/>
                <w:i w:val="0"/>
                <w:sz w:val="14"/>
              </w:rPr>
              <w:t>score / tier</w:t>
            </w:r>
          </w:p>
        </w:tc>
        <w:tc>
          <w:tcPr>
            <w:tcW w:type="dxa" w:w="3175"/>
          </w:tcPr>
          <w:p>
            <w:pPr>
              <w:spacing w:after="40" w:before="40"/>
              <w:jc w:val="left"/>
            </w:pPr>
            <w:r>
              <w:rPr>
                <w:b w:val="0"/>
                <w:i w:val="0"/>
                <w:sz w:val="14"/>
                <w:rFonts w:ascii="Consolas" w:hAnsi="Consolas" w:cs="Consolas"/>
              </w:rPr>
              <w:t>INT NOT NULL DEFAULT 0</w:t>
            </w:r>
            <w:r>
              <w:rPr>
                <w:b w:val="0"/>
                <w:i w:val="0"/>
                <w:sz w:val="14"/>
              </w:rPr>
              <w:t xml:space="preserve"> / </w:t>
            </w:r>
            <w:r>
              <w:rPr>
                <w:b w:val="0"/>
                <w:i w:val="0"/>
                <w:sz w:val="14"/>
                <w:rFonts w:ascii="Consolas" w:hAnsi="Consolas" w:cs="Consolas"/>
              </w:rPr>
              <w:t>tier_tipo</w:t>
            </w:r>
          </w:p>
        </w:tc>
        <w:tc>
          <w:tcPr>
            <w:tcW w:type="dxa" w:w="3685"/>
          </w:tcPr>
          <w:p>
            <w:pPr>
              <w:spacing w:after="40" w:before="40"/>
              <w:jc w:val="left"/>
            </w:pPr>
            <w:r>
              <w:rPr>
                <w:b w:val="0"/>
                <w:i w:val="0"/>
                <w:sz w:val="14"/>
              </w:rPr>
              <w:t>Puntaje calculado y nivel de prioridad.</w:t>
            </w:r>
          </w:p>
        </w:tc>
      </w:tr>
      <w:tr>
        <w:tc>
          <w:tcPr>
            <w:tcW w:type="dxa" w:w="1928"/>
          </w:tcPr>
          <w:p>
            <w:pPr>
              <w:spacing w:after="40" w:before="40"/>
              <w:jc w:val="left"/>
            </w:pPr>
            <w:r>
              <w:rPr>
                <w:b w:val="0"/>
                <w:i w:val="0"/>
                <w:sz w:val="14"/>
              </w:rPr>
              <w:t>seguimientos</w:t>
            </w:r>
          </w:p>
        </w:tc>
        <w:tc>
          <w:tcPr>
            <w:tcW w:type="dxa" w:w="3175"/>
          </w:tcPr>
          <w:p>
            <w:pPr>
              <w:spacing w:after="40" w:before="40"/>
              <w:jc w:val="left"/>
            </w:pPr>
            <w:r>
              <w:rPr>
                <w:b w:val="0"/>
                <w:i w:val="0"/>
                <w:sz w:val="14"/>
                <w:rFonts w:ascii="Consolas" w:hAnsi="Consolas" w:cs="Consolas"/>
              </w:rPr>
              <w:t>INT NOT NULL DEFAULT 0</w:t>
            </w:r>
          </w:p>
        </w:tc>
        <w:tc>
          <w:tcPr>
            <w:tcW w:type="dxa" w:w="3685"/>
          </w:tcPr>
          <w:p>
            <w:pPr>
              <w:spacing w:after="40" w:before="40"/>
              <w:jc w:val="left"/>
            </w:pPr>
            <w:r>
              <w:rPr>
                <w:b w:val="0"/>
                <w:i w:val="0"/>
                <w:sz w:val="14"/>
              </w:rPr>
              <w:t>Cantidad de seguimientos realizados; se limita a tres.</w:t>
            </w:r>
          </w:p>
        </w:tc>
      </w:tr>
      <w:tr>
        <w:tc>
          <w:tcPr>
            <w:tcW w:type="dxa" w:w="1928"/>
          </w:tcPr>
          <w:p>
            <w:pPr>
              <w:spacing w:after="40" w:before="40"/>
              <w:jc w:val="left"/>
            </w:pPr>
            <w:r>
              <w:rPr>
                <w:b w:val="0"/>
                <w:i w:val="0"/>
                <w:sz w:val="14"/>
              </w:rPr>
              <w:t>accept_token</w:t>
            </w:r>
          </w:p>
        </w:tc>
        <w:tc>
          <w:tcPr>
            <w:tcW w:type="dxa" w:w="3175"/>
          </w:tcPr>
          <w:p>
            <w:pPr>
              <w:spacing w:after="40" w:before="40"/>
              <w:jc w:val="left"/>
            </w:pPr>
            <w:r>
              <w:rPr>
                <w:b w:val="0"/>
                <w:i w:val="0"/>
                <w:sz w:val="14"/>
                <w:rFonts w:ascii="Consolas" w:hAnsi="Consolas" w:cs="Consolas"/>
              </w:rPr>
              <w:t>UUID NOT NULL DEFAULT gen_random_uuid()</w:t>
            </w:r>
          </w:p>
        </w:tc>
        <w:tc>
          <w:tcPr>
            <w:tcW w:type="dxa" w:w="3685"/>
          </w:tcPr>
          <w:p>
            <w:pPr>
              <w:spacing w:after="40" w:before="40"/>
              <w:jc w:val="left"/>
            </w:pPr>
            <w:r>
              <w:rPr>
                <w:b w:val="0"/>
                <w:i w:val="0"/>
                <w:sz w:val="14"/>
              </w:rPr>
              <w:t>Token de aceptación. Se almacena en claro y viaja en la cadena de consulta; el esquema agrega además la columna token_expira_en (vencimiento configurable, 14 días por defecto), revalidada en las cuatro consultas que aceptan el token (§4.3.2, Tabla 11 S3).</w:t>
            </w:r>
          </w:p>
        </w:tc>
      </w:tr>
      <w:tr>
        <w:tc>
          <w:tcPr>
            <w:tcW w:type="dxa" w:w="1928"/>
          </w:tcPr>
          <w:p>
            <w:pPr>
              <w:spacing w:after="40" w:before="40"/>
              <w:jc w:val="left"/>
            </w:pPr>
            <w:r>
              <w:rPr>
                <w:b w:val="0"/>
                <w:i w:val="0"/>
                <w:sz w:val="14"/>
              </w:rPr>
              <w:t>operador_asignado, notas, card_id</w:t>
            </w:r>
          </w:p>
        </w:tc>
        <w:tc>
          <w:tcPr>
            <w:tcW w:type="dxa" w:w="3175"/>
          </w:tcPr>
          <w:p>
            <w:pPr>
              <w:spacing w:after="40" w:before="40"/>
              <w:jc w:val="left"/>
            </w:pPr>
            <w:r>
              <w:rPr>
                <w:b w:val="0"/>
                <w:i w:val="0"/>
                <w:sz w:val="14"/>
                <w:rFonts w:ascii="Consolas" w:hAnsi="Consolas" w:cs="Consolas"/>
              </w:rPr>
              <w:t>TEXT</w:t>
            </w:r>
          </w:p>
        </w:tc>
        <w:tc>
          <w:tcPr>
            <w:tcW w:type="dxa" w:w="3685"/>
          </w:tcPr>
          <w:p>
            <w:pPr>
              <w:spacing w:after="40" w:before="40"/>
              <w:jc w:val="left"/>
            </w:pPr>
            <w:r>
              <w:rPr>
                <w:b w:val="0"/>
                <w:i w:val="0"/>
                <w:sz w:val="14"/>
              </w:rPr>
              <w:t xml:space="preserve">Campos auxiliares de gestión; </w:t>
            </w:r>
            <w:r>
              <w:rPr>
                <w:b w:val="0"/>
                <w:i w:val="0"/>
                <w:sz w:val="14"/>
                <w:rFonts w:ascii="Consolas" w:hAnsi="Consolas" w:cs="Consolas"/>
              </w:rPr>
              <w:t>card_id</w:t>
            </w:r>
            <w:r>
              <w:rPr>
                <w:b w:val="0"/>
                <w:i w:val="0"/>
                <w:sz w:val="14"/>
              </w:rPr>
              <w:t xml:space="preserve"> guarda el identificador de la ficha de Notion.</w:t>
            </w:r>
          </w:p>
        </w:tc>
      </w:tr>
      <w:tr>
        <w:tc>
          <w:tcPr>
            <w:tcW w:type="dxa" w:w="1928"/>
          </w:tcPr>
          <w:p>
            <w:pPr>
              <w:spacing w:after="40" w:before="40"/>
              <w:jc w:val="left"/>
            </w:pPr>
            <w:r>
              <w:rPr>
                <w:b w:val="0"/>
                <w:i w:val="0"/>
                <w:sz w:val="14"/>
              </w:rPr>
              <w:t>fecha_ingreso</w:t>
            </w:r>
          </w:p>
        </w:tc>
        <w:tc>
          <w:tcPr>
            <w:tcW w:type="dxa" w:w="3175"/>
          </w:tcPr>
          <w:p>
            <w:pPr>
              <w:spacing w:after="40" w:before="40"/>
              <w:jc w:val="left"/>
            </w:pPr>
            <w:r>
              <w:rPr>
                <w:b w:val="0"/>
                <w:i w:val="0"/>
                <w:sz w:val="14"/>
                <w:rFonts w:ascii="Consolas" w:hAnsi="Consolas" w:cs="Consolas"/>
              </w:rPr>
              <w:t>TIMESTAMPTZ NOT NULL DEFAULT now()</w:t>
            </w:r>
          </w:p>
        </w:tc>
        <w:tc>
          <w:tcPr>
            <w:tcW w:type="dxa" w:w="3685"/>
          </w:tcPr>
          <w:p>
            <w:pPr>
              <w:spacing w:after="40" w:before="40"/>
              <w:jc w:val="left"/>
            </w:pPr>
            <w:r>
              <w:rPr>
                <w:b w:val="0"/>
                <w:i w:val="0"/>
                <w:sz w:val="14"/>
              </w:rPr>
              <w:t>Alta del lead; define el mes de las métricas.</w:t>
            </w:r>
          </w:p>
        </w:tc>
      </w:tr>
      <w:tr>
        <w:tc>
          <w:tcPr>
            <w:tcW w:type="dxa" w:w="1928"/>
          </w:tcPr>
          <w:p>
            <w:pPr>
              <w:spacing w:after="40" w:before="40"/>
              <w:jc w:val="left"/>
            </w:pPr>
            <w:r>
              <w:rPr>
                <w:b w:val="0"/>
                <w:i w:val="0"/>
                <w:sz w:val="14"/>
              </w:rPr>
              <w:t>fecha_propuesta, fecha_ultimo_seguimiento, fecha_aceptacion, fecha_cierre</w:t>
            </w:r>
          </w:p>
        </w:tc>
        <w:tc>
          <w:tcPr>
            <w:tcW w:type="dxa" w:w="3175"/>
          </w:tcPr>
          <w:p>
            <w:pPr>
              <w:spacing w:after="40" w:before="40"/>
              <w:jc w:val="left"/>
            </w:pPr>
            <w:r>
              <w:rPr>
                <w:b w:val="0"/>
                <w:i w:val="0"/>
                <w:sz w:val="14"/>
                <w:rFonts w:ascii="Consolas" w:hAnsi="Consolas" w:cs="Consolas"/>
              </w:rPr>
              <w:t>TIMESTAMPTZ</w:t>
            </w:r>
            <w:r>
              <w:rPr>
                <w:b w:val="0"/>
                <w:i w:val="0"/>
                <w:sz w:val="14"/>
              </w:rPr>
              <w:t xml:space="preserve"> (nulos admitidos)</w:t>
            </w:r>
          </w:p>
        </w:tc>
        <w:tc>
          <w:tcPr>
            <w:tcW w:type="dxa" w:w="3685"/>
          </w:tcPr>
          <w:p>
            <w:pPr>
              <w:spacing w:after="40" w:before="40"/>
              <w:jc w:val="left"/>
            </w:pPr>
            <w:r>
              <w:rPr>
                <w:b w:val="0"/>
                <w:i w:val="0"/>
                <w:sz w:val="14"/>
              </w:rPr>
              <w:t>Marcas temporales del ciclo de vida.</w:t>
            </w:r>
          </w:p>
        </w:tc>
      </w:tr>
      <w:tr>
        <w:tc>
          <w:tcPr>
            <w:tcW w:type="dxa" w:w="1928"/>
          </w:tcPr>
          <w:p>
            <w:pPr>
              <w:spacing w:after="40" w:before="40"/>
              <w:jc w:val="left"/>
            </w:pPr>
            <w:r>
              <w:rPr>
                <w:b w:val="0"/>
                <w:i w:val="0"/>
                <w:sz w:val="14"/>
              </w:rPr>
              <w:t>dias_ciclo_completo</w:t>
            </w:r>
          </w:p>
        </w:tc>
        <w:tc>
          <w:tcPr>
            <w:tcW w:type="dxa" w:w="3175"/>
          </w:tcPr>
          <w:p>
            <w:pPr>
              <w:spacing w:after="40" w:before="40"/>
              <w:jc w:val="left"/>
            </w:pPr>
            <w:r>
              <w:rPr>
                <w:b w:val="0"/>
                <w:i w:val="0"/>
                <w:sz w:val="14"/>
                <w:rFonts w:ascii="Consolas" w:hAnsi="Consolas" w:cs="Consolas"/>
              </w:rPr>
              <w:t>INT</w:t>
            </w:r>
          </w:p>
        </w:tc>
        <w:tc>
          <w:tcPr>
            <w:tcW w:type="dxa" w:w="3685"/>
          </w:tcPr>
          <w:p>
            <w:pPr>
              <w:spacing w:after="40" w:before="40"/>
              <w:jc w:val="left"/>
            </w:pPr>
            <w:r>
              <w:rPr>
                <w:b w:val="0"/>
                <w:i w:val="0"/>
                <w:sz w:val="14"/>
              </w:rPr>
              <w:t>Duración total del ciclo, calculada al cierre.</w:t>
            </w:r>
          </w:p>
        </w:tc>
      </w:tr>
      <w:tr>
        <w:tc>
          <w:tcPr>
            <w:tcW w:type="dxa" w:w="1928"/>
          </w:tcPr>
          <w:p>
            <w:pPr>
              <w:spacing w:after="40" w:before="40"/>
              <w:jc w:val="left"/>
            </w:pPr>
            <w:r>
              <w:rPr>
                <w:b w:val="0"/>
                <w:i w:val="0"/>
                <w:sz w:val="14"/>
              </w:rPr>
              <w:t>creado_en / actualizado_en</w:t>
            </w:r>
          </w:p>
        </w:tc>
        <w:tc>
          <w:tcPr>
            <w:tcW w:type="dxa" w:w="3175"/>
          </w:tcPr>
          <w:p>
            <w:pPr>
              <w:spacing w:after="40" w:before="40"/>
              <w:jc w:val="left"/>
            </w:pPr>
            <w:r>
              <w:rPr>
                <w:b w:val="0"/>
                <w:i w:val="0"/>
                <w:sz w:val="14"/>
                <w:rFonts w:ascii="Consolas" w:hAnsi="Consolas" w:cs="Consolas"/>
              </w:rPr>
              <w:t>TIMESTAMPTZ NOT NULL DEFAULT now()</w:t>
            </w:r>
          </w:p>
        </w:tc>
        <w:tc>
          <w:tcPr>
            <w:tcW w:type="dxa" w:w="3685"/>
          </w:tcPr>
          <w:p>
            <w:pPr>
              <w:spacing w:after="40" w:before="40"/>
              <w:jc w:val="left"/>
            </w:pPr>
            <w:r>
              <w:rPr>
                <w:b w:val="0"/>
                <w:i w:val="0"/>
                <w:sz w:val="14"/>
              </w:rPr>
              <w:t xml:space="preserve">Auditoría de fila; </w:t>
            </w:r>
            <w:r>
              <w:rPr>
                <w:b w:val="0"/>
                <w:i w:val="0"/>
                <w:sz w:val="14"/>
                <w:rFonts w:ascii="Consolas" w:hAnsi="Consolas" w:cs="Consolas"/>
              </w:rPr>
              <w:t>actualizado_en</w:t>
            </w:r>
            <w:r>
              <w:rPr>
                <w:b w:val="0"/>
                <w:i w:val="0"/>
                <w:sz w:val="14"/>
              </w:rPr>
              <w:t xml:space="preserve"> se mantiene con el disparador </w:t>
            </w:r>
            <w:r>
              <w:rPr>
                <w:b w:val="0"/>
                <w:i w:val="0"/>
                <w:sz w:val="14"/>
                <w:rFonts w:ascii="Consolas" w:hAnsi="Consolas" w:cs="Consolas"/>
              </w:rPr>
              <w:t>set_actualizado_en</w:t>
            </w:r>
            <w:r>
              <w:rPr>
                <w:b w:val="0"/>
                <w:i w:val="0"/>
                <w:sz w:val="14"/>
              </w:rPr>
              <w:t>.</w:t>
            </w:r>
          </w:p>
        </w:tc>
      </w:tr>
      <w:tr>
        <w:tc>
          <w:tcPr>
            <w:tcW w:type="dxa" w:w="1928"/>
          </w:tcPr>
          <w:p>
            <w:pPr>
              <w:spacing w:after="40" w:before="40"/>
              <w:jc w:val="left"/>
            </w:pPr>
            <w:r>
              <w:rPr>
                <w:b w:val="0"/>
                <w:i w:val="0"/>
                <w:sz w:val="14"/>
              </w:rPr>
              <w:t>mp_preference_id</w:t>
            </w:r>
          </w:p>
        </w:tc>
        <w:tc>
          <w:tcPr>
            <w:tcW w:type="dxa" w:w="3175"/>
          </w:tcPr>
          <w:p>
            <w:pPr>
              <w:spacing w:after="40" w:before="40"/>
              <w:jc w:val="left"/>
            </w:pPr>
            <w:r>
              <w:rPr>
                <w:b w:val="0"/>
                <w:i w:val="0"/>
                <w:sz w:val="14"/>
                <w:rFonts w:ascii="Consolas" w:hAnsi="Consolas" w:cs="Consolas"/>
              </w:rPr>
              <w:t>TEXT</w:t>
            </w:r>
          </w:p>
        </w:tc>
        <w:tc>
          <w:tcPr>
            <w:tcW w:type="dxa" w:w="3685"/>
          </w:tcPr>
          <w:p>
            <w:pPr>
              <w:spacing w:after="40" w:before="40"/>
              <w:jc w:val="left"/>
            </w:pPr>
            <w:r>
              <w:rPr>
                <w:b w:val="0"/>
                <w:i w:val="0"/>
                <w:sz w:val="14"/>
              </w:rPr>
              <w:t>Identificador de la preferencia de checkout creada en MercadoPago; nulo si la factura se generó en modo de desarrollo.</w:t>
            </w:r>
            <w:r>
              <w:rPr>
                <w:b w:val="0"/>
                <w:i w:val="0"/>
                <w:sz w:val="14"/>
                <w:rFonts w:ascii="Consolas" w:hAnsi="Consolas" w:cs="Consolas"/>
              </w:rPr>
            </w:r>
            <w:r>
              <w:rPr>
                <w:b w:val="0"/>
                <w:i w:val="0"/>
                <w:sz w:val="14"/>
              </w:rPr>
            </w:r>
            <w:r>
              <w:rPr>
                <w:b w:val="0"/>
                <w:i w:val="0"/>
                <w:sz w:val="14"/>
                <w:rFonts w:ascii="Consolas" w:hAnsi="Consolas" w:cs="Consolas"/>
              </w:rPr>
            </w:r>
            <w:r>
              <w:rPr>
                <w:b w:val="0"/>
                <w:i w:val="0"/>
                <w:sz w:val="14"/>
              </w:rPr>
            </w:r>
          </w:p>
        </w:tc>
      </w:tr>
      <w:tr>
        <w:tc>
          <w:tcPr>
            <w:tcW w:type="dxa" w:w="1928"/>
          </w:tcPr>
          <w:p>
            <w:pPr>
              <w:spacing w:after="40" w:before="40"/>
              <w:jc w:val="left"/>
            </w:pPr>
            <w:r>
              <w:rPr>
                <w:b w:val="0"/>
                <w:i w:val="0"/>
                <w:sz w:val="14"/>
              </w:rPr>
              <w:t>mp_payment_id</w:t>
            </w:r>
          </w:p>
        </w:tc>
        <w:tc>
          <w:tcPr>
            <w:tcW w:type="dxa" w:w="3175"/>
          </w:tcPr>
          <w:p>
            <w:pPr>
              <w:spacing w:after="40" w:before="40"/>
              <w:jc w:val="left"/>
            </w:pPr>
            <w:r>
              <w:rPr>
                <w:b w:val="0"/>
                <w:i w:val="0"/>
                <w:sz w:val="14"/>
                <w:rFonts w:ascii="Consolas" w:hAnsi="Consolas" w:cs="Consolas"/>
              </w:rPr>
              <w:t>TEXT</w:t>
            </w:r>
          </w:p>
        </w:tc>
        <w:tc>
          <w:tcPr>
            <w:tcW w:type="dxa" w:w="3685"/>
          </w:tcPr>
          <w:p>
            <w:pPr>
              <w:spacing w:after="40" w:before="40"/>
              <w:jc w:val="left"/>
            </w:pPr>
            <w:r>
              <w:rPr>
                <w:b w:val="0"/>
                <w:i w:val="0"/>
                <w:sz w:val="14"/>
              </w:rPr>
              <w:t>Identificador del pago aprobado, tomado de GET /v1/payments/{id}; nulo hasta la confirmación.</w:t>
            </w:r>
            <w:r>
              <w:rPr>
                <w:b w:val="0"/>
                <w:i w:val="0"/>
                <w:sz w:val="14"/>
                <w:rFonts w:ascii="Consolas" w:hAnsi="Consolas" w:cs="Consolas"/>
              </w:rPr>
            </w:r>
            <w:r>
              <w:rPr>
                <w:b w:val="0"/>
                <w:i w:val="0"/>
                <w:sz w:val="14"/>
              </w:rPr>
            </w:r>
            <w:r>
              <w:rPr>
                <w:b w:val="0"/>
                <w:i w:val="0"/>
                <w:sz w:val="14"/>
                <w:rFonts w:ascii="Consolas" w:hAnsi="Consolas" w:cs="Consolas"/>
              </w:rPr>
            </w:r>
            <w:r>
              <w:rPr>
                <w:b w:val="0"/>
                <w:i w:val="0"/>
                <w:sz w:val="14"/>
              </w:rPr>
            </w:r>
          </w:p>
        </w:tc>
      </w:tr>
      <w:tr>
        <w:tc>
          <w:tcPr>
            <w:tcW w:type="dxa" w:w="1928"/>
          </w:tcPr>
          <w:p>
            <w:pPr>
              <w:spacing w:after="40" w:before="40"/>
              <w:jc w:val="left"/>
            </w:pPr>
            <w:r>
              <w:rPr>
                <w:b w:val="0"/>
                <w:i w:val="0"/>
                <w:sz w:val="14"/>
              </w:rPr>
              <w:t>comision_plataforma</w:t>
            </w:r>
          </w:p>
        </w:tc>
        <w:tc>
          <w:tcPr>
            <w:tcW w:type="dxa" w:w="3175"/>
          </w:tcPr>
          <w:p>
            <w:pPr>
              <w:spacing w:after="40" w:before="40"/>
              <w:jc w:val="left"/>
            </w:pPr>
            <w:r>
              <w:rPr>
                <w:b w:val="0"/>
                <w:i w:val="0"/>
                <w:sz w:val="14"/>
                <w:rFonts w:ascii="Consolas" w:hAnsi="Consolas" w:cs="Consolas"/>
              </w:rPr>
              <w:t>NUMERIC(12,2)</w:t>
            </w:r>
          </w:p>
        </w:tc>
        <w:tc>
          <w:tcPr>
            <w:tcW w:type="dxa" w:w="3685"/>
          </w:tcPr>
          <w:p>
            <w:pPr>
              <w:spacing w:after="40" w:before="40"/>
              <w:jc w:val="left"/>
            </w:pPr>
            <w:r>
              <w:rPr>
                <w:b w:val="0"/>
                <w:i w:val="0"/>
                <w:sz w:val="14"/>
              </w:rPr>
              <w:t>monto × MP_COMISION_PORCENTAJE / 100 (1 % por defecto). Es un valor contable, no una transferencia real: MercadoPago no divide el cobro entre cuentas.</w:t>
            </w:r>
            <w:r>
              <w:rPr>
                <w:b w:val="0"/>
                <w:i w:val="0"/>
                <w:sz w:val="14"/>
                <w:rFonts w:ascii="Consolas" w:hAnsi="Consolas" w:cs="Consolas"/>
              </w:rPr>
            </w:r>
            <w:r>
              <w:rPr>
                <w:b w:val="0"/>
                <w:i w:val="0"/>
                <w:sz w:val="14"/>
              </w:rPr>
            </w:r>
            <w:r>
              <w:rPr>
                <w:b w:val="0"/>
                <w:i w:val="0"/>
                <w:sz w:val="14"/>
                <w:rFonts w:ascii="Consolas" w:hAnsi="Consolas" w:cs="Consolas"/>
              </w:rPr>
            </w:r>
            <w:r>
              <w:rPr>
                <w:b w:val="0"/>
                <w:i w:val="0"/>
                <w:sz w:val="14"/>
              </w:rPr>
            </w:r>
          </w:p>
        </w:tc>
      </w:tr>
    </w:tbl>
    <w:p>
      <w:pPr/>
      <w:r>
        <w:rPr>
          <w:b w:val="0"/>
          <w:i/>
          <w:sz w:val="15"/>
        </w:rPr>
        <w:t>Nota. Elaboración propia a partir de db/schema.sql. Índices: leads(estado), leads(tier) y leads(fecha_ingreso).</w:t>
      </w:r>
    </w:p>
    <w:p w:rsidR="00D60FC7" w:rsidRDefault="00D60FC7"/>
    <w:p w:rsidR="00D60FC7" w:rsidRDefault="00000000">
      <w:pPr>
        <w:spacing w:after="120" w:line="240" w:lineRule="auto"/>
        <w:jc w:val="center"/>
      </w:pPr>
      <w:r>
        <w:rPr>
          <w:sz w:val="20"/>
          <w:szCs w:val="20"/>
        </w:rPr>
        <w:t>Tabla 7. Esquema de las tablas facturas, seguimientos y logs</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5000" w:type="pct"/>
      </w:tblPr>
      <w:tblGrid>
        <w:gridCol w:w="2197"/>
        <w:gridCol w:w="2197"/>
        <w:gridCol w:w="2197"/>
        <w:gridCol w:w="2197"/>
      </w:tblGrid>
      <w:tr>
        <w:trPr>
          <w:tblHeader/>
        </w:trPr>
        <w:tc>
          <w:tcPr>
            <w:tcW w:type="dxa" w:w="1247"/>
            <w:shd w:val="clear" w:color="auto" w:fill="1F2937"/>
          </w:tcPr>
          <w:p>
            <w:pPr>
              <w:spacing w:after="40" w:before="40"/>
              <w:jc w:val="left"/>
            </w:pPr>
            <w:r>
              <w:rPr>
                <w:b/>
                <w:i w:val="0"/>
                <w:color w:val="FFFFFF"/>
                <w:sz w:val="14"/>
              </w:rPr>
              <w:t>Tabla</w:t>
            </w:r>
          </w:p>
        </w:tc>
        <w:tc>
          <w:tcPr>
            <w:tcW w:type="dxa" w:w="1928"/>
            <w:shd w:val="clear" w:color="auto" w:fill="1F2937"/>
          </w:tcPr>
          <w:p>
            <w:pPr>
              <w:spacing w:after="40" w:before="40"/>
              <w:jc w:val="left"/>
            </w:pPr>
            <w:r>
              <w:rPr>
                <w:b/>
                <w:i w:val="0"/>
                <w:color w:val="FFFFFF"/>
                <w:sz w:val="14"/>
              </w:rPr>
              <w:t>Columna</w:t>
            </w:r>
          </w:p>
        </w:tc>
        <w:tc>
          <w:tcPr>
            <w:tcW w:type="dxa" w:w="2665"/>
            <w:shd w:val="clear" w:color="auto" w:fill="1F2937"/>
          </w:tcPr>
          <w:p>
            <w:pPr>
              <w:spacing w:after="40" w:before="40"/>
              <w:jc w:val="left"/>
            </w:pPr>
            <w:r>
              <w:rPr>
                <w:b/>
                <w:i w:val="0"/>
                <w:color w:val="FFFFFF"/>
                <w:sz w:val="14"/>
              </w:rPr>
              <w:t>Tipo y restricciones</w:t>
            </w:r>
          </w:p>
        </w:tc>
        <w:tc>
          <w:tcPr>
            <w:tcW w:type="dxa" w:w="2948"/>
            <w:shd w:val="clear" w:color="auto" w:fill="1F2937"/>
          </w:tcPr>
          <w:p>
            <w:pPr>
              <w:spacing w:after="40" w:before="40"/>
              <w:jc w:val="left"/>
            </w:pPr>
            <w:r>
              <w:rPr>
                <w:b/>
                <w:i w:val="0"/>
                <w:color w:val="FFFFFF"/>
                <w:sz w:val="14"/>
              </w:rPr>
              <w:t>Observación</w:t>
            </w:r>
          </w:p>
        </w:tc>
      </w:tr>
      <w:tr>
        <w:tc>
          <w:tcPr>
            <w:tcW w:type="dxa" w:w="1247"/>
          </w:tcPr>
          <w:p>
            <w:pPr>
              <w:spacing w:after="40" w:before="40"/>
              <w:jc w:val="left"/>
            </w:pPr>
            <w:r>
              <w:rPr>
                <w:b w:val="0"/>
                <w:i w:val="0"/>
                <w:sz w:val="14"/>
              </w:rPr>
              <w:t>facturas</w:t>
            </w:r>
          </w:p>
        </w:tc>
        <w:tc>
          <w:tcPr>
            <w:tcW w:type="dxa" w:w="1928"/>
          </w:tcPr>
          <w:p>
            <w:pPr>
              <w:spacing w:after="40" w:before="40"/>
              <w:jc w:val="left"/>
            </w:pPr>
            <w:r>
              <w:rPr>
                <w:b w:val="0"/>
                <w:i w:val="0"/>
                <w:sz w:val="14"/>
              </w:rPr>
              <w:t>id</w:t>
            </w:r>
          </w:p>
        </w:tc>
        <w:tc>
          <w:tcPr>
            <w:tcW w:type="dxa" w:w="2665"/>
          </w:tcPr>
          <w:p>
            <w:pPr>
              <w:spacing w:after="40" w:before="40"/>
              <w:jc w:val="left"/>
            </w:pPr>
            <w:r>
              <w:rPr>
                <w:b w:val="0"/>
                <w:i w:val="0"/>
                <w:sz w:val="14"/>
                <w:rFonts w:ascii="Consolas" w:hAnsi="Consolas" w:cs="Consolas"/>
              </w:rPr>
              <w:t>BIGINT IDENTITY</w:t>
            </w:r>
            <w:r>
              <w:rPr>
                <w:b w:val="0"/>
                <w:i w:val="0"/>
                <w:sz w:val="14"/>
              </w:rPr>
              <w:t xml:space="preserve"> · PK</w:t>
            </w:r>
          </w:p>
        </w:tc>
        <w:tc>
          <w:tcPr>
            <w:tcW w:type="dxa" w:w="2948"/>
          </w:tcPr>
          <w:p>
            <w:pPr>
              <w:spacing w:after="40" w:before="40"/>
              <w:jc w:val="left"/>
            </w:pPr>
            <w:r>
              <w:rPr>
                <w:b w:val="0"/>
                <w:i w:val="0"/>
                <w:sz w:val="14"/>
              </w:rPr>
              <w:t>Clave primaria técnica.</w:t>
            </w:r>
          </w:p>
        </w:tc>
      </w:tr>
      <w:tr>
        <w:tc>
          <w:tcPr>
            <w:tcW w:type="dxa" w:w="1247"/>
          </w:tcPr>
          <w:p>
            <w:pPr>
              <w:spacing w:after="40" w:before="40"/>
              <w:jc w:val="left"/>
            </w:pPr>
            <w:r>
              <w:rPr>
                <w:b w:val="0"/>
                <w:i w:val="0"/>
                <w:sz w:val="14"/>
              </w:rPr>
            </w:r>
          </w:p>
        </w:tc>
        <w:tc>
          <w:tcPr>
            <w:tcW w:type="dxa" w:w="1928"/>
          </w:tcPr>
          <w:p>
            <w:pPr>
              <w:spacing w:after="40" w:before="40"/>
              <w:jc w:val="left"/>
            </w:pPr>
            <w:r>
              <w:rPr>
                <w:b w:val="0"/>
                <w:i w:val="0"/>
                <w:sz w:val="14"/>
              </w:rPr>
              <w:t>factura_id</w:t>
            </w:r>
          </w:p>
        </w:tc>
        <w:tc>
          <w:tcPr>
            <w:tcW w:type="dxa" w:w="2665"/>
          </w:tcPr>
          <w:p>
            <w:pPr>
              <w:spacing w:after="40" w:before="40"/>
              <w:jc w:val="left"/>
            </w:pPr>
            <w:r>
              <w:rPr>
                <w:b w:val="0"/>
                <w:i w:val="0"/>
                <w:sz w:val="14"/>
                <w:rFonts w:ascii="Consolas" w:hAnsi="Consolas" w:cs="Consolas"/>
              </w:rPr>
              <w:t>TEXT NOT NULL</w:t>
            </w:r>
            <w:r>
              <w:rPr>
                <w:b w:val="0"/>
                <w:i w:val="0"/>
                <w:sz w:val="14"/>
              </w:rPr>
              <w:t xml:space="preserve"> · UNIQUE</w:t>
            </w:r>
          </w:p>
        </w:tc>
        <w:tc>
          <w:tcPr>
            <w:tcW w:type="dxa" w:w="2948"/>
          </w:tcPr>
          <w:p>
            <w:pPr>
              <w:spacing w:after="40" w:before="40"/>
              <w:jc w:val="left"/>
            </w:pPr>
            <w:r>
              <w:rPr>
                <w:b w:val="0"/>
                <w:i w:val="0"/>
                <w:sz w:val="14"/>
              </w:rPr>
              <w:t xml:space="preserve">Formato </w:t>
            </w:r>
            <w:r>
              <w:rPr>
                <w:b w:val="0"/>
                <w:i w:val="0"/>
                <w:sz w:val="14"/>
                <w:rFonts w:ascii="Consolas" w:hAnsi="Consolas" w:cs="Consolas"/>
              </w:rPr>
              <w:t>FAC-&lt;año&gt;-&lt;aleatorio de 4 dígitos&gt;</w:t>
            </w:r>
            <w:r>
              <w:rPr>
                <w:b w:val="0"/>
                <w:i w:val="0"/>
                <w:sz w:val="14"/>
              </w:rPr>
              <w:t xml:space="preserve">. </w:t>
            </w:r>
            <w:r>
              <w:rPr>
                <w:b/>
                <w:i w:val="0"/>
                <w:sz w:val="14"/>
              </w:rPr>
              <w:t>No es correlativo</w:t>
            </w:r>
            <w:r>
              <w:rPr>
                <w:b w:val="0"/>
                <w:i w:val="0"/>
                <w:sz w:val="14"/>
              </w:rPr>
              <w:t>: se genera al azar dentro del año, de modo que no cumple la numeración secuencial que exigiría un comprobante fiscal (§1.7).</w:t>
            </w:r>
          </w:p>
        </w:tc>
      </w:tr>
      <w:tr>
        <w:tc>
          <w:tcPr>
            <w:tcW w:type="dxa" w:w="1247"/>
          </w:tcPr>
          <w:p>
            <w:pPr>
              <w:spacing w:after="40" w:before="40"/>
              <w:jc w:val="left"/>
            </w:pPr>
            <w:r>
              <w:rPr>
                <w:b w:val="0"/>
                <w:i w:val="0"/>
                <w:sz w:val="14"/>
              </w:rPr>
            </w:r>
          </w:p>
        </w:tc>
        <w:tc>
          <w:tcPr>
            <w:tcW w:type="dxa" w:w="1928"/>
          </w:tcPr>
          <w:p>
            <w:pPr>
              <w:spacing w:after="40" w:before="40"/>
              <w:jc w:val="left"/>
            </w:pPr>
            <w:r>
              <w:rPr>
                <w:b w:val="0"/>
                <w:i w:val="0"/>
                <w:sz w:val="14"/>
              </w:rPr>
              <w:t>lead_id</w:t>
            </w:r>
          </w:p>
        </w:tc>
        <w:tc>
          <w:tcPr>
            <w:tcW w:type="dxa" w:w="2665"/>
          </w:tcPr>
          <w:p>
            <w:pPr>
              <w:spacing w:after="40" w:before="40"/>
              <w:jc w:val="left"/>
            </w:pPr>
            <w:r>
              <w:rPr>
                <w:b w:val="0"/>
                <w:i w:val="0"/>
                <w:sz w:val="14"/>
                <w:rFonts w:ascii="Consolas" w:hAnsi="Consolas" w:cs="Consolas"/>
              </w:rPr>
              <w:t>TEXT NOT NULL</w:t>
            </w:r>
            <w:r>
              <w:rPr>
                <w:b w:val="0"/>
                <w:i w:val="0"/>
                <w:sz w:val="14"/>
              </w:rPr>
              <w:t xml:space="preserve"> · FK → </w:t>
            </w:r>
            <w:r>
              <w:rPr>
                <w:b w:val="0"/>
                <w:i w:val="0"/>
                <w:sz w:val="14"/>
                <w:rFonts w:ascii="Consolas" w:hAnsi="Consolas" w:cs="Consolas"/>
              </w:rPr>
              <w:t>leads(lead_id)</w:t>
            </w:r>
            <w:r>
              <w:rPr>
                <w:b w:val="0"/>
                <w:i w:val="0"/>
                <w:sz w:val="14"/>
              </w:rPr>
              <w:t xml:space="preserve"> </w:t>
            </w:r>
            <w:r>
              <w:rPr>
                <w:b w:val="0"/>
                <w:i w:val="0"/>
                <w:sz w:val="14"/>
                <w:rFonts w:ascii="Consolas" w:hAnsi="Consolas" w:cs="Consolas"/>
              </w:rPr>
              <w:t>ON DELETE CASCADE</w:t>
            </w:r>
          </w:p>
        </w:tc>
        <w:tc>
          <w:tcPr>
            <w:tcW w:type="dxa" w:w="2948"/>
          </w:tcPr>
          <w:p>
            <w:pPr>
              <w:spacing w:after="40" w:before="40"/>
              <w:jc w:val="left"/>
            </w:pPr>
            <w:r>
              <w:rPr>
                <w:b w:val="0"/>
                <w:i w:val="0"/>
                <w:sz w:val="14"/>
              </w:rPr>
              <w:t>Integridad referencial con borrado en cascada.</w:t>
            </w:r>
          </w:p>
        </w:tc>
      </w:tr>
      <w:tr>
        <w:tc>
          <w:tcPr>
            <w:tcW w:type="dxa" w:w="1247"/>
          </w:tcPr>
          <w:p>
            <w:pPr>
              <w:spacing w:after="40" w:before="40"/>
              <w:jc w:val="left"/>
            </w:pPr>
            <w:r>
              <w:rPr>
                <w:b w:val="0"/>
                <w:i w:val="0"/>
                <w:sz w:val="14"/>
              </w:rPr>
            </w:r>
          </w:p>
        </w:tc>
        <w:tc>
          <w:tcPr>
            <w:tcW w:type="dxa" w:w="1928"/>
          </w:tcPr>
          <w:p>
            <w:pPr>
              <w:spacing w:after="40" w:before="40"/>
              <w:jc w:val="left"/>
            </w:pPr>
            <w:r>
              <w:rPr>
                <w:b w:val="0"/>
                <w:i w:val="0"/>
                <w:sz w:val="14"/>
              </w:rPr>
              <w:t>cliente / email</w:t>
            </w:r>
          </w:p>
        </w:tc>
        <w:tc>
          <w:tcPr>
            <w:tcW w:type="dxa" w:w="2665"/>
          </w:tcPr>
          <w:p>
            <w:pPr>
              <w:spacing w:after="40" w:before="40"/>
              <w:jc w:val="left"/>
            </w:pPr>
            <w:r>
              <w:rPr>
                <w:b w:val="0"/>
                <w:i w:val="0"/>
                <w:sz w:val="14"/>
                <w:rFonts w:ascii="Consolas" w:hAnsi="Consolas" w:cs="Consolas"/>
              </w:rPr>
              <w:t>TEXT NOT NULL</w:t>
            </w:r>
          </w:p>
        </w:tc>
        <w:tc>
          <w:tcPr>
            <w:tcW w:type="dxa" w:w="2948"/>
          </w:tcPr>
          <w:p>
            <w:pPr>
              <w:spacing w:after="40" w:before="40"/>
              <w:jc w:val="left"/>
            </w:pPr>
            <w:r>
              <w:rPr>
                <w:b w:val="0"/>
                <w:i w:val="0"/>
                <w:sz w:val="14"/>
              </w:rPr>
              <w:t>Datos del destinatario, copiados del lead.</w:t>
            </w:r>
          </w:p>
        </w:tc>
      </w:tr>
      <w:tr>
        <w:tc>
          <w:tcPr>
            <w:tcW w:type="dxa" w:w="1247"/>
          </w:tcPr>
          <w:p>
            <w:pPr>
              <w:spacing w:after="40" w:before="40"/>
              <w:jc w:val="left"/>
            </w:pPr>
            <w:r>
              <w:rPr>
                <w:b w:val="0"/>
                <w:i w:val="0"/>
                <w:sz w:val="14"/>
              </w:rPr>
            </w:r>
          </w:p>
        </w:tc>
        <w:tc>
          <w:tcPr>
            <w:tcW w:type="dxa" w:w="1928"/>
          </w:tcPr>
          <w:p>
            <w:pPr>
              <w:spacing w:after="40" w:before="40"/>
              <w:jc w:val="left"/>
            </w:pPr>
            <w:r>
              <w:rPr>
                <w:b w:val="0"/>
                <w:i w:val="0"/>
                <w:sz w:val="14"/>
              </w:rPr>
              <w:t>servicio</w:t>
            </w:r>
          </w:p>
        </w:tc>
        <w:tc>
          <w:tcPr>
            <w:tcW w:type="dxa" w:w="2665"/>
          </w:tcPr>
          <w:p>
            <w:pPr>
              <w:spacing w:after="40" w:before="40"/>
              <w:jc w:val="left"/>
            </w:pPr>
            <w:r>
              <w:rPr>
                <w:b w:val="0"/>
                <w:i w:val="0"/>
                <w:sz w:val="14"/>
                <w:rFonts w:ascii="Consolas" w:hAnsi="Consolas" w:cs="Consolas"/>
              </w:rPr>
              <w:t>servicio_tipo</w:t>
            </w:r>
          </w:p>
        </w:tc>
        <w:tc>
          <w:tcPr>
            <w:tcW w:type="dxa" w:w="2948"/>
          </w:tcPr>
          <w:p>
            <w:pPr>
              <w:spacing w:after="40" w:before="40"/>
              <w:jc w:val="left"/>
            </w:pPr>
            <w:r>
              <w:rPr>
                <w:b w:val="0"/>
                <w:i w:val="0"/>
                <w:sz w:val="14"/>
              </w:rPr>
              <w:t xml:space="preserve">Mismo enumerado que en </w:t>
            </w:r>
            <w:r>
              <w:rPr>
                <w:b w:val="0"/>
                <w:i w:val="0"/>
                <w:sz w:val="14"/>
                <w:rFonts w:ascii="Consolas" w:hAnsi="Consolas" w:cs="Consolas"/>
              </w:rPr>
              <w:t>leads</w:t>
            </w:r>
            <w:r>
              <w:rPr>
                <w:b w:val="0"/>
                <w:i w:val="0"/>
                <w:sz w:val="14"/>
              </w:rPr>
              <w:t>.</w:t>
            </w:r>
          </w:p>
        </w:tc>
      </w:tr>
      <w:tr>
        <w:tc>
          <w:tcPr>
            <w:tcW w:type="dxa" w:w="1247"/>
          </w:tcPr>
          <w:p>
            <w:pPr>
              <w:spacing w:after="40" w:before="40"/>
              <w:jc w:val="left"/>
            </w:pPr>
            <w:r>
              <w:rPr>
                <w:b w:val="0"/>
                <w:i w:val="0"/>
                <w:sz w:val="14"/>
              </w:rPr>
            </w:r>
          </w:p>
        </w:tc>
        <w:tc>
          <w:tcPr>
            <w:tcW w:type="dxa" w:w="1928"/>
          </w:tcPr>
          <w:p>
            <w:pPr>
              <w:spacing w:after="40" w:before="40"/>
              <w:jc w:val="left"/>
            </w:pPr>
            <w:r>
              <w:rPr>
                <w:b w:val="0"/>
                <w:i w:val="0"/>
                <w:sz w:val="14"/>
              </w:rPr>
              <w:t>monto / moneda</w:t>
            </w:r>
          </w:p>
        </w:tc>
        <w:tc>
          <w:tcPr>
            <w:tcW w:type="dxa" w:w="2665"/>
          </w:tcPr>
          <w:p>
            <w:pPr>
              <w:spacing w:after="40" w:before="40"/>
              <w:jc w:val="left"/>
            </w:pPr>
            <w:r>
              <w:rPr>
                <w:b w:val="0"/>
                <w:i w:val="0"/>
                <w:sz w:val="14"/>
                <w:rFonts w:ascii="Consolas" w:hAnsi="Consolas" w:cs="Consolas"/>
              </w:rPr>
              <w:t>NUMERIC(12,2)</w:t>
            </w:r>
            <w:r>
              <w:rPr>
                <w:b w:val="0"/>
                <w:i w:val="0"/>
                <w:sz w:val="14"/>
              </w:rPr>
              <w:t xml:space="preserve"> </w:t>
            </w:r>
            <w:r>
              <w:rPr>
                <w:b w:val="0"/>
                <w:i w:val="0"/>
                <w:sz w:val="14"/>
                <w:rFonts w:ascii="Consolas" w:hAnsi="Consolas" w:cs="Consolas"/>
              </w:rPr>
              <w:t>CHECK (&gt;= 0)</w:t>
            </w:r>
            <w:r>
              <w:rPr>
                <w:b w:val="0"/>
                <w:i w:val="0"/>
                <w:sz w:val="14"/>
              </w:rPr>
              <w:t xml:space="preserve"> / </w:t>
            </w:r>
            <w:r>
              <w:rPr>
                <w:b w:val="0"/>
                <w:i w:val="0"/>
                <w:sz w:val="14"/>
                <w:rFonts w:ascii="Consolas" w:hAnsi="Consolas" w:cs="Consolas"/>
              </w:rPr>
              <w:t>TEXT NOT NULL DEFAULT 'USD'</w:t>
            </w:r>
          </w:p>
        </w:tc>
        <w:tc>
          <w:tcPr>
            <w:tcW w:type="dxa" w:w="2948"/>
          </w:tcPr>
          <w:p>
            <w:pPr>
              <w:spacing w:after="40" w:before="40"/>
              <w:jc w:val="left"/>
            </w:pPr>
            <w:r>
              <w:rPr>
                <w:b w:val="0"/>
                <w:i w:val="0"/>
                <w:sz w:val="14"/>
              </w:rPr>
              <w:t>Importe y moneda del comprobante. En pagos por MercadoPago, moneda toma el valor de MP_CURRENCY (ARS por defecto).</w:t>
            </w:r>
          </w:p>
        </w:tc>
      </w:tr>
      <w:tr>
        <w:tc>
          <w:tcPr>
            <w:tcW w:type="dxa" w:w="1247"/>
          </w:tcPr>
          <w:p>
            <w:pPr>
              <w:spacing w:after="40" w:before="40"/>
              <w:jc w:val="left"/>
            </w:pPr>
            <w:r>
              <w:rPr>
                <w:b w:val="0"/>
                <w:i w:val="0"/>
                <w:sz w:val="14"/>
              </w:rPr>
            </w:r>
          </w:p>
        </w:tc>
        <w:tc>
          <w:tcPr>
            <w:tcW w:type="dxa" w:w="1928"/>
          </w:tcPr>
          <w:p>
            <w:pPr>
              <w:spacing w:after="40" w:before="40"/>
              <w:jc w:val="left"/>
            </w:pPr>
            <w:r>
              <w:rPr>
                <w:b w:val="0"/>
                <w:i w:val="0"/>
                <w:sz w:val="14"/>
              </w:rPr>
              <w:t>estado_pago</w:t>
            </w:r>
          </w:p>
        </w:tc>
        <w:tc>
          <w:tcPr>
            <w:tcW w:type="dxa" w:w="2665"/>
          </w:tcPr>
          <w:p>
            <w:pPr>
              <w:spacing w:after="40" w:before="40"/>
              <w:jc w:val="left"/>
            </w:pPr>
            <w:r>
              <w:rPr>
                <w:b w:val="0"/>
                <w:i w:val="0"/>
                <w:sz w:val="14"/>
                <w:rFonts w:ascii="Consolas" w:hAnsi="Consolas" w:cs="Consolas"/>
              </w:rPr>
              <w:t>pago_estado NOT NULL DEFAULT 'PENDIENTE'</w:t>
            </w:r>
          </w:p>
        </w:tc>
        <w:tc>
          <w:tcPr>
            <w:tcW w:type="dxa" w:w="2948"/>
          </w:tcPr>
          <w:p>
            <w:pPr>
              <w:spacing w:after="40" w:before="40"/>
              <w:jc w:val="left"/>
            </w:pPr>
            <w:r>
              <w:rPr>
                <w:b w:val="0"/>
                <w:i w:val="0"/>
                <w:sz w:val="14"/>
              </w:rPr>
              <w:t>Enumerado: PENDIENTE, COBRADO, VENCIDA, ANULADA.</w:t>
            </w:r>
          </w:p>
        </w:tc>
      </w:tr>
      <w:tr>
        <w:tc>
          <w:tcPr>
            <w:tcW w:type="dxa" w:w="1247"/>
          </w:tcPr>
          <w:p>
            <w:pPr>
              <w:spacing w:after="40" w:before="40"/>
              <w:jc w:val="left"/>
            </w:pPr>
            <w:r>
              <w:rPr>
                <w:b w:val="0"/>
                <w:i w:val="0"/>
                <w:sz w:val="14"/>
              </w:rPr>
            </w:r>
          </w:p>
        </w:tc>
        <w:tc>
          <w:tcPr>
            <w:tcW w:type="dxa" w:w="1928"/>
          </w:tcPr>
          <w:p>
            <w:pPr>
              <w:spacing w:after="40" w:before="40"/>
              <w:jc w:val="left"/>
            </w:pPr>
            <w:r>
              <w:rPr>
                <w:b w:val="0"/>
                <w:i w:val="0"/>
                <w:sz w:val="14"/>
              </w:rPr>
              <w:t>recordatorios_enviados</w:t>
            </w:r>
          </w:p>
        </w:tc>
        <w:tc>
          <w:tcPr>
            <w:tcW w:type="dxa" w:w="2665"/>
          </w:tcPr>
          <w:p>
            <w:pPr>
              <w:spacing w:after="40" w:before="40"/>
              <w:jc w:val="left"/>
            </w:pPr>
            <w:r>
              <w:rPr>
                <w:b w:val="0"/>
                <w:i w:val="0"/>
                <w:sz w:val="14"/>
                <w:rFonts w:ascii="Consolas" w:hAnsi="Consolas" w:cs="Consolas"/>
              </w:rPr>
              <w:t>INT NOT NULL DEFAULT 0</w:t>
            </w:r>
          </w:p>
        </w:tc>
        <w:tc>
          <w:tcPr>
            <w:tcW w:type="dxa" w:w="2948"/>
          </w:tcPr>
          <w:p>
            <w:pPr>
              <w:spacing w:after="40" w:before="40"/>
              <w:jc w:val="left"/>
            </w:pPr>
            <w:r>
              <w:rPr>
                <w:b w:val="0"/>
                <w:i w:val="0"/>
                <w:sz w:val="14"/>
              </w:rPr>
              <w:t>Contador de avisos de vencimiento.</w:t>
            </w:r>
          </w:p>
        </w:tc>
      </w:tr>
      <w:tr>
        <w:tc>
          <w:tcPr>
            <w:tcW w:type="dxa" w:w="1247"/>
          </w:tcPr>
          <w:p>
            <w:pPr>
              <w:spacing w:after="40" w:before="40"/>
              <w:jc w:val="left"/>
            </w:pPr>
            <w:r>
              <w:rPr>
                <w:b w:val="0"/>
                <w:i w:val="0"/>
                <w:sz w:val="14"/>
              </w:rPr>
            </w:r>
          </w:p>
        </w:tc>
        <w:tc>
          <w:tcPr>
            <w:tcW w:type="dxa" w:w="1928"/>
          </w:tcPr>
          <w:p>
            <w:pPr>
              <w:spacing w:after="40" w:before="40"/>
              <w:jc w:val="left"/>
            </w:pPr>
            <w:r>
              <w:rPr>
                <w:b w:val="0"/>
                <w:i w:val="0"/>
                <w:sz w:val="14"/>
              </w:rPr>
              <w:t>fecha_emision</w:t>
            </w:r>
          </w:p>
        </w:tc>
        <w:tc>
          <w:tcPr>
            <w:tcW w:type="dxa" w:w="2665"/>
          </w:tcPr>
          <w:p>
            <w:pPr>
              <w:spacing w:after="40" w:before="40"/>
              <w:jc w:val="left"/>
            </w:pPr>
            <w:r>
              <w:rPr>
                <w:b w:val="0"/>
                <w:i w:val="0"/>
                <w:sz w:val="14"/>
                <w:rFonts w:ascii="Consolas" w:hAnsi="Consolas" w:cs="Consolas"/>
              </w:rPr>
              <w:t>TIMESTAMPTZ NOT NULL DEFAULT now()</w:t>
            </w:r>
          </w:p>
        </w:tc>
        <w:tc>
          <w:tcPr>
            <w:tcW w:type="dxa" w:w="2948"/>
          </w:tcPr>
          <w:p>
            <w:pPr>
              <w:spacing w:after="40" w:before="40"/>
              <w:jc w:val="left"/>
            </w:pPr>
            <w:r>
              <w:rPr>
                <w:b w:val="0"/>
                <w:i w:val="0"/>
                <w:sz w:val="14"/>
              </w:rPr>
              <w:t>Fecha de emisión del comprobante.</w:t>
            </w:r>
          </w:p>
        </w:tc>
      </w:tr>
      <w:tr>
        <w:tc>
          <w:tcPr>
            <w:tcW w:type="dxa" w:w="1247"/>
          </w:tcPr>
          <w:p>
            <w:pPr>
              <w:spacing w:after="40" w:before="40"/>
              <w:jc w:val="left"/>
            </w:pPr>
            <w:r>
              <w:rPr>
                <w:b w:val="0"/>
                <w:i w:val="0"/>
                <w:sz w:val="14"/>
              </w:rPr>
            </w:r>
          </w:p>
        </w:tc>
        <w:tc>
          <w:tcPr>
            <w:tcW w:type="dxa" w:w="1928"/>
          </w:tcPr>
          <w:p>
            <w:pPr>
              <w:spacing w:after="40" w:before="40"/>
              <w:jc w:val="left"/>
            </w:pPr>
            <w:r>
              <w:rPr>
                <w:b w:val="0"/>
                <w:i w:val="0"/>
                <w:sz w:val="14"/>
              </w:rPr>
              <w:t>fecha_vencimiento</w:t>
            </w:r>
          </w:p>
        </w:tc>
        <w:tc>
          <w:tcPr>
            <w:tcW w:type="dxa" w:w="2665"/>
          </w:tcPr>
          <w:p>
            <w:pPr>
              <w:spacing w:after="40" w:before="40"/>
              <w:jc w:val="left"/>
            </w:pPr>
            <w:r>
              <w:rPr>
                <w:b w:val="0"/>
                <w:i w:val="0"/>
                <w:sz w:val="14"/>
                <w:rFonts w:ascii="Consolas" w:hAnsi="Consolas" w:cs="Consolas"/>
              </w:rPr>
              <w:t>TIMESTAMPTZ NOT NULL</w:t>
            </w:r>
          </w:p>
        </w:tc>
        <w:tc>
          <w:tcPr>
            <w:tcW w:type="dxa" w:w="2948"/>
          </w:tcPr>
          <w:p>
            <w:pPr>
              <w:spacing w:after="40" w:before="40"/>
              <w:jc w:val="left"/>
            </w:pPr>
            <w:r>
              <w:rPr>
                <w:b w:val="0"/>
                <w:i w:val="0"/>
                <w:sz w:val="14"/>
              </w:rPr>
              <w:t xml:space="preserve">Fecha de vencimiento; el flujo la fija en la emisión más 15 días. De esta columna dependen la vista </w:t>
            </w:r>
            <w:r>
              <w:rPr>
                <w:b w:val="0"/>
                <w:i w:val="0"/>
                <w:sz w:val="14"/>
                <w:rFonts w:ascii="Consolas" w:hAnsi="Consolas" w:cs="Consolas"/>
              </w:rPr>
              <w:t>facturas_pendientes</w:t>
            </w:r>
            <w:r>
              <w:rPr>
                <w:b w:val="0"/>
                <w:i w:val="0"/>
                <w:sz w:val="14"/>
              </w:rPr>
              <w:t>, el proceso de recordatorios (§4.3.5) y la transición a VENCIDA (§4.8).</w:t>
            </w:r>
          </w:p>
        </w:tc>
      </w:tr>
      <w:tr>
        <w:tc>
          <w:tcPr>
            <w:tcW w:type="dxa" w:w="1247"/>
          </w:tcPr>
          <w:p>
            <w:pPr>
              <w:spacing w:after="40" w:before="40"/>
              <w:jc w:val="left"/>
            </w:pPr>
            <w:r>
              <w:rPr>
                <w:b w:val="0"/>
                <w:i w:val="0"/>
                <w:sz w:val="14"/>
              </w:rPr>
            </w:r>
          </w:p>
        </w:tc>
        <w:tc>
          <w:tcPr>
            <w:tcW w:type="dxa" w:w="1928"/>
          </w:tcPr>
          <w:p>
            <w:pPr>
              <w:spacing w:after="40" w:before="40"/>
              <w:jc w:val="left"/>
            </w:pPr>
            <w:r>
              <w:rPr>
                <w:b w:val="0"/>
                <w:i w:val="0"/>
                <w:sz w:val="14"/>
              </w:rPr>
              <w:t>fecha_cobro / creado_en</w:t>
            </w:r>
          </w:p>
        </w:tc>
        <w:tc>
          <w:tcPr>
            <w:tcW w:type="dxa" w:w="2665"/>
          </w:tcPr>
          <w:p>
            <w:pPr>
              <w:spacing w:after="40" w:before="40"/>
              <w:jc w:val="left"/>
            </w:pPr>
            <w:r>
              <w:rPr>
                <w:b w:val="0"/>
                <w:i w:val="0"/>
                <w:sz w:val="14"/>
                <w:rFonts w:ascii="Consolas" w:hAnsi="Consolas" w:cs="Consolas"/>
              </w:rPr>
              <w:t>TIMESTAMPTZ</w:t>
            </w:r>
          </w:p>
        </w:tc>
        <w:tc>
          <w:tcPr>
            <w:tcW w:type="dxa" w:w="2948"/>
          </w:tcPr>
          <w:p>
            <w:pPr>
              <w:spacing w:after="40" w:before="40"/>
              <w:jc w:val="left"/>
            </w:pPr>
            <w:r>
              <w:rPr>
                <w:b w:val="0"/>
                <w:i w:val="0"/>
                <w:sz w:val="14"/>
              </w:rPr>
              <w:t>Registro del cobro y auditoría de fila.</w:t>
            </w:r>
          </w:p>
        </w:tc>
      </w:tr>
      <w:tr>
        <w:tc>
          <w:tcPr>
            <w:tcW w:type="dxa" w:w="1247"/>
          </w:tcPr>
          <w:p>
            <w:pPr>
              <w:spacing w:after="40" w:before="40"/>
              <w:jc w:val="left"/>
            </w:pPr>
            <w:r>
              <w:rPr>
                <w:b w:val="0"/>
                <w:i w:val="0"/>
                <w:sz w:val="14"/>
              </w:rPr>
              <w:t>seguimientos</w:t>
            </w:r>
          </w:p>
        </w:tc>
        <w:tc>
          <w:tcPr>
            <w:tcW w:type="dxa" w:w="1928"/>
          </w:tcPr>
          <w:p>
            <w:pPr>
              <w:spacing w:after="40" w:before="40"/>
              <w:jc w:val="left"/>
            </w:pPr>
            <w:r>
              <w:rPr>
                <w:b w:val="0"/>
                <w:i w:val="0"/>
                <w:sz w:val="14"/>
              </w:rPr>
              <w:t>id · lead_id</w:t>
            </w:r>
          </w:p>
        </w:tc>
        <w:tc>
          <w:tcPr>
            <w:tcW w:type="dxa" w:w="2665"/>
          </w:tcPr>
          <w:p>
            <w:pPr>
              <w:spacing w:after="40" w:before="40"/>
              <w:jc w:val="left"/>
            </w:pPr>
            <w:r>
              <w:rPr>
                <w:b w:val="0"/>
                <w:i w:val="0"/>
                <w:sz w:val="14"/>
                <w:rFonts w:ascii="Consolas" w:hAnsi="Consolas" w:cs="Consolas"/>
              </w:rPr>
              <w:t>BIGINT IDENTITY</w:t>
            </w:r>
            <w:r>
              <w:rPr>
                <w:b w:val="0"/>
                <w:i w:val="0"/>
                <w:sz w:val="14"/>
              </w:rPr>
              <w:t xml:space="preserve"> PK · FK → </w:t>
            </w:r>
            <w:r>
              <w:rPr>
                <w:b w:val="0"/>
                <w:i w:val="0"/>
                <w:sz w:val="14"/>
                <w:rFonts w:ascii="Consolas" w:hAnsi="Consolas" w:cs="Consolas"/>
              </w:rPr>
              <w:t>leads(lead_id)</w:t>
            </w:r>
            <w:r>
              <w:rPr>
                <w:b w:val="0"/>
                <w:i w:val="0"/>
                <w:sz w:val="14"/>
              </w:rPr>
              <w:t xml:space="preserve"> CASCADE</w:t>
            </w:r>
          </w:p>
        </w:tc>
        <w:tc>
          <w:tcPr>
            <w:tcW w:type="dxa" w:w="2948"/>
          </w:tcPr>
          <w:p>
            <w:pPr>
              <w:spacing w:after="40" w:before="40"/>
              <w:jc w:val="left"/>
            </w:pPr>
            <w:r>
              <w:rPr>
                <w:b w:val="0"/>
                <w:i w:val="0"/>
                <w:sz w:val="14"/>
              </w:rPr>
              <w:t>—</w:t>
            </w:r>
          </w:p>
        </w:tc>
      </w:tr>
      <w:tr>
        <w:tc>
          <w:tcPr>
            <w:tcW w:type="dxa" w:w="1247"/>
          </w:tcPr>
          <w:p>
            <w:pPr>
              <w:spacing w:after="40" w:before="40"/>
              <w:jc w:val="left"/>
            </w:pPr>
            <w:r>
              <w:rPr>
                <w:b w:val="0"/>
                <w:i w:val="0"/>
                <w:sz w:val="14"/>
              </w:rPr>
            </w:r>
          </w:p>
        </w:tc>
        <w:tc>
          <w:tcPr>
            <w:tcW w:type="dxa" w:w="1928"/>
          </w:tcPr>
          <w:p>
            <w:pPr>
              <w:spacing w:after="40" w:before="40"/>
              <w:jc w:val="left"/>
            </w:pPr>
            <w:r>
              <w:rPr>
                <w:b w:val="0"/>
                <w:i w:val="0"/>
                <w:sz w:val="14"/>
              </w:rPr>
              <w:t>numero / canal</w:t>
            </w:r>
          </w:p>
        </w:tc>
        <w:tc>
          <w:tcPr>
            <w:tcW w:type="dxa" w:w="2665"/>
          </w:tcPr>
          <w:p>
            <w:pPr>
              <w:spacing w:after="40" w:before="40"/>
              <w:jc w:val="left"/>
            </w:pPr>
            <w:r>
              <w:rPr>
                <w:b w:val="0"/>
                <w:i w:val="0"/>
                <w:sz w:val="14"/>
                <w:rFonts w:ascii="Consolas" w:hAnsi="Consolas" w:cs="Consolas"/>
              </w:rPr>
              <w:t>INT NOT NULL</w:t>
            </w:r>
            <w:r>
              <w:rPr>
                <w:b w:val="0"/>
                <w:i w:val="0"/>
                <w:sz w:val="14"/>
              </w:rPr>
              <w:t xml:space="preserve"> / </w:t>
            </w:r>
            <w:r>
              <w:rPr>
                <w:b w:val="0"/>
                <w:i w:val="0"/>
                <w:sz w:val="14"/>
                <w:rFonts w:ascii="Consolas" w:hAnsi="Consolas" w:cs="Consolas"/>
              </w:rPr>
              <w:t>TEXT NOT NULL DEFAULT 'email'</w:t>
            </w:r>
          </w:p>
        </w:tc>
        <w:tc>
          <w:tcPr>
            <w:tcW w:type="dxa" w:w="2948"/>
          </w:tcPr>
          <w:p>
            <w:pPr>
              <w:spacing w:after="40" w:before="40"/>
              <w:jc w:val="left"/>
            </w:pPr>
            <w:r>
              <w:rPr>
                <w:b w:val="0"/>
                <w:i w:val="0"/>
                <w:sz w:val="14"/>
              </w:rPr>
              <w:t>Número de seguimiento (1 a 3) y canal empleado.</w:t>
            </w:r>
          </w:p>
        </w:tc>
      </w:tr>
      <w:tr>
        <w:tc>
          <w:tcPr>
            <w:tcW w:type="dxa" w:w="1247"/>
          </w:tcPr>
          <w:p>
            <w:pPr>
              <w:spacing w:after="40" w:before="40"/>
              <w:jc w:val="left"/>
            </w:pPr>
            <w:r>
              <w:rPr>
                <w:b w:val="0"/>
                <w:i w:val="0"/>
                <w:sz w:val="14"/>
              </w:rPr>
            </w:r>
          </w:p>
        </w:tc>
        <w:tc>
          <w:tcPr>
            <w:tcW w:type="dxa" w:w="1928"/>
          </w:tcPr>
          <w:p>
            <w:pPr>
              <w:spacing w:after="40" w:before="40"/>
              <w:jc w:val="left"/>
            </w:pPr>
            <w:r>
              <w:rPr>
                <w:b w:val="0"/>
                <w:i w:val="0"/>
                <w:sz w:val="14"/>
              </w:rPr>
              <w:t>asunto / cuerpo</w:t>
            </w:r>
          </w:p>
        </w:tc>
        <w:tc>
          <w:tcPr>
            <w:tcW w:type="dxa" w:w="2665"/>
          </w:tcPr>
          <w:p>
            <w:pPr>
              <w:spacing w:after="40" w:before="40"/>
              <w:jc w:val="left"/>
            </w:pPr>
            <w:r>
              <w:rPr>
                <w:b w:val="0"/>
                <w:i w:val="0"/>
                <w:sz w:val="14"/>
                <w:rFonts w:ascii="Consolas" w:hAnsi="Consolas" w:cs="Consolas"/>
              </w:rPr>
              <w:t>TEXT</w:t>
            </w:r>
          </w:p>
        </w:tc>
        <w:tc>
          <w:tcPr>
            <w:tcW w:type="dxa" w:w="2948"/>
          </w:tcPr>
          <w:p>
            <w:pPr>
              <w:spacing w:after="40" w:before="40"/>
              <w:jc w:val="left"/>
            </w:pPr>
            <w:r>
              <w:rPr>
                <w:b w:val="0"/>
                <w:i w:val="0"/>
                <w:sz w:val="14"/>
              </w:rPr>
              <w:t>Contenido efectivamente enviado.</w:t>
            </w:r>
          </w:p>
        </w:tc>
      </w:tr>
      <w:tr>
        <w:tc>
          <w:tcPr>
            <w:tcW w:type="dxa" w:w="1247"/>
          </w:tcPr>
          <w:p>
            <w:pPr>
              <w:spacing w:after="40" w:before="40"/>
              <w:jc w:val="left"/>
            </w:pPr>
            <w:r>
              <w:rPr>
                <w:b w:val="0"/>
                <w:i w:val="0"/>
                <w:sz w:val="14"/>
              </w:rPr>
            </w:r>
          </w:p>
        </w:tc>
        <w:tc>
          <w:tcPr>
            <w:tcW w:type="dxa" w:w="1928"/>
          </w:tcPr>
          <w:p>
            <w:pPr>
              <w:spacing w:after="40" w:before="40"/>
              <w:jc w:val="left"/>
            </w:pPr>
            <w:r>
              <w:rPr>
                <w:b w:val="0"/>
                <w:i w:val="0"/>
                <w:sz w:val="14"/>
              </w:rPr>
              <w:t>enviado_en</w:t>
            </w:r>
          </w:p>
        </w:tc>
        <w:tc>
          <w:tcPr>
            <w:tcW w:type="dxa" w:w="2665"/>
          </w:tcPr>
          <w:p>
            <w:pPr>
              <w:spacing w:after="40" w:before="40"/>
              <w:jc w:val="left"/>
            </w:pPr>
            <w:r>
              <w:rPr>
                <w:b w:val="0"/>
                <w:i w:val="0"/>
                <w:sz w:val="14"/>
                <w:rFonts w:ascii="Consolas" w:hAnsi="Consolas" w:cs="Consolas"/>
              </w:rPr>
              <w:t>TIMESTAMPTZ NOT NULL DEFAULT now()</w:t>
            </w:r>
          </w:p>
        </w:tc>
        <w:tc>
          <w:tcPr>
            <w:tcW w:type="dxa" w:w="2948"/>
          </w:tcPr>
          <w:p>
            <w:pPr>
              <w:spacing w:after="40" w:before="40"/>
              <w:jc w:val="left"/>
            </w:pPr>
            <w:r>
              <w:rPr>
                <w:b w:val="0"/>
                <w:i w:val="0"/>
                <w:sz w:val="14"/>
              </w:rPr>
              <w:t>Marca temporal; es la que permite auditar el espaciado creciente.</w:t>
            </w:r>
          </w:p>
        </w:tc>
      </w:tr>
      <w:tr>
        <w:tc>
          <w:tcPr>
            <w:tcW w:type="dxa" w:w="1247"/>
          </w:tcPr>
          <w:p>
            <w:pPr>
              <w:spacing w:after="40" w:before="40"/>
              <w:jc w:val="left"/>
            </w:pPr>
            <w:r>
              <w:rPr>
                <w:b w:val="0"/>
                <w:i w:val="0"/>
                <w:sz w:val="14"/>
              </w:rPr>
              <w:t>logs</w:t>
            </w:r>
          </w:p>
        </w:tc>
        <w:tc>
          <w:tcPr>
            <w:tcW w:type="dxa" w:w="1928"/>
          </w:tcPr>
          <w:p>
            <w:pPr>
              <w:spacing w:after="40" w:before="40"/>
              <w:jc w:val="left"/>
            </w:pPr>
            <w:r>
              <w:rPr>
                <w:b w:val="0"/>
                <w:i w:val="0"/>
                <w:sz w:val="14"/>
              </w:rPr>
              <w:t>id</w:t>
            </w:r>
          </w:p>
        </w:tc>
        <w:tc>
          <w:tcPr>
            <w:tcW w:type="dxa" w:w="2665"/>
          </w:tcPr>
          <w:p>
            <w:pPr>
              <w:spacing w:after="40" w:before="40"/>
              <w:jc w:val="left"/>
            </w:pPr>
            <w:r>
              <w:rPr>
                <w:b w:val="0"/>
                <w:i w:val="0"/>
                <w:sz w:val="14"/>
                <w:rFonts w:ascii="Consolas" w:hAnsi="Consolas" w:cs="Consolas"/>
              </w:rPr>
              <w:t>BIGINT IDENTITY</w:t>
            </w:r>
            <w:r>
              <w:rPr>
                <w:b w:val="0"/>
                <w:i w:val="0"/>
                <w:sz w:val="14"/>
              </w:rPr>
              <w:t xml:space="preserve"> · PK</w:t>
            </w:r>
          </w:p>
        </w:tc>
        <w:tc>
          <w:tcPr>
            <w:tcW w:type="dxa" w:w="2948"/>
          </w:tcPr>
          <w:p>
            <w:pPr>
              <w:spacing w:after="40" w:before="40"/>
              <w:jc w:val="left"/>
            </w:pPr>
            <w:r>
              <w:rPr>
                <w:b w:val="0"/>
                <w:i w:val="0"/>
                <w:sz w:val="14"/>
              </w:rPr>
              <w:t>—</w:t>
            </w:r>
          </w:p>
        </w:tc>
      </w:tr>
      <w:tr>
        <w:tc>
          <w:tcPr>
            <w:tcW w:type="dxa" w:w="1247"/>
          </w:tcPr>
          <w:p>
            <w:pPr>
              <w:spacing w:after="40" w:before="40"/>
              <w:jc w:val="left"/>
            </w:pPr>
            <w:r>
              <w:rPr>
                <w:b w:val="0"/>
                <w:i w:val="0"/>
                <w:sz w:val="14"/>
              </w:rPr>
            </w:r>
          </w:p>
        </w:tc>
        <w:tc>
          <w:tcPr>
            <w:tcW w:type="dxa" w:w="1928"/>
          </w:tcPr>
          <w:p>
            <w:pPr>
              <w:spacing w:after="40" w:before="40"/>
              <w:jc w:val="left"/>
            </w:pPr>
            <w:r>
              <w:rPr>
                <w:b w:val="0"/>
                <w:i w:val="0"/>
                <w:sz w:val="14"/>
              </w:rPr>
              <w:t>workflow / lead_id / evento</w:t>
            </w:r>
          </w:p>
        </w:tc>
        <w:tc>
          <w:tcPr>
            <w:tcW w:type="dxa" w:w="2665"/>
          </w:tcPr>
          <w:p>
            <w:pPr>
              <w:spacing w:after="40" w:before="40"/>
              <w:jc w:val="left"/>
            </w:pPr>
            <w:r>
              <w:rPr>
                <w:b w:val="0"/>
                <w:i w:val="0"/>
                <w:sz w:val="14"/>
                <w:rFonts w:ascii="Consolas" w:hAnsi="Consolas" w:cs="Consolas"/>
              </w:rPr>
              <w:t>TEXT</w:t>
            </w:r>
          </w:p>
        </w:tc>
        <w:tc>
          <w:tcPr>
            <w:tcW w:type="dxa" w:w="2948"/>
          </w:tcPr>
          <w:p>
            <w:pPr>
              <w:spacing w:after="40" w:before="40"/>
              <w:jc w:val="left"/>
            </w:pPr>
            <w:r>
              <w:rPr>
                <w:b w:val="0"/>
                <w:i w:val="0"/>
                <w:sz w:val="14"/>
                <w:rFonts w:ascii="Consolas" w:hAnsi="Consolas" w:cs="Consolas"/>
              </w:rPr>
              <w:t>lead_id</w:t>
            </w:r>
            <w:r>
              <w:rPr>
                <w:b w:val="0"/>
                <w:i w:val="0"/>
                <w:sz w:val="14"/>
              </w:rPr>
              <w:t xml:space="preserve"> es una referencia lógica </w:t>
            </w:r>
            <w:r>
              <w:rPr>
                <w:b/>
                <w:i w:val="0"/>
                <w:sz w:val="14"/>
              </w:rPr>
              <w:t>sin clave foránea</w:t>
            </w:r>
            <w:r>
              <w:rPr>
                <w:b w:val="0"/>
                <w:i w:val="0"/>
                <w:sz w:val="14"/>
              </w:rPr>
              <w:t>, de modo que el registro de auditoría sobrevive al borrado del lead.</w:t>
            </w:r>
          </w:p>
        </w:tc>
      </w:tr>
      <w:tr>
        <w:tc>
          <w:tcPr>
            <w:tcW w:type="dxa" w:w="1247"/>
          </w:tcPr>
          <w:p>
            <w:pPr>
              <w:spacing w:after="40" w:before="40"/>
              <w:jc w:val="left"/>
            </w:pPr>
            <w:r>
              <w:rPr>
                <w:b w:val="0"/>
                <w:i w:val="0"/>
                <w:sz w:val="14"/>
              </w:rPr>
            </w:r>
          </w:p>
        </w:tc>
        <w:tc>
          <w:tcPr>
            <w:tcW w:type="dxa" w:w="1928"/>
          </w:tcPr>
          <w:p>
            <w:pPr>
              <w:spacing w:after="40" w:before="40"/>
              <w:jc w:val="left"/>
            </w:pPr>
            <w:r>
              <w:rPr>
                <w:b w:val="0"/>
                <w:i w:val="0"/>
                <w:sz w:val="14"/>
              </w:rPr>
              <w:t>nivel</w:t>
            </w:r>
          </w:p>
        </w:tc>
        <w:tc>
          <w:tcPr>
            <w:tcW w:type="dxa" w:w="2665"/>
          </w:tcPr>
          <w:p>
            <w:pPr>
              <w:spacing w:after="40" w:before="40"/>
              <w:jc w:val="left"/>
            </w:pPr>
            <w:r>
              <w:rPr>
                <w:b w:val="0"/>
                <w:i w:val="0"/>
                <w:sz w:val="14"/>
                <w:rFonts w:ascii="Consolas" w:hAnsi="Consolas" w:cs="Consolas"/>
              </w:rPr>
              <w:t>log_nivel NOT NULL DEFAULT 'INFO'</w:t>
            </w:r>
          </w:p>
        </w:tc>
        <w:tc>
          <w:tcPr>
            <w:tcW w:type="dxa" w:w="2948"/>
          </w:tcPr>
          <w:p>
            <w:pPr>
              <w:spacing w:after="40" w:before="40"/>
              <w:jc w:val="left"/>
            </w:pPr>
            <w:r>
              <w:rPr>
                <w:b w:val="0"/>
                <w:i w:val="0"/>
                <w:sz w:val="14"/>
              </w:rPr>
              <w:t>Enumerado: INFO, RECORDATORIO, HOY, VENCIDA, URGENTE, WARN, ERROR.</w:t>
            </w:r>
          </w:p>
        </w:tc>
      </w:tr>
      <w:tr>
        <w:tc>
          <w:tcPr>
            <w:tcW w:type="dxa" w:w="1247"/>
          </w:tcPr>
          <w:p>
            <w:pPr>
              <w:spacing w:after="40" w:before="40"/>
              <w:jc w:val="left"/>
            </w:pPr>
            <w:r>
              <w:rPr>
                <w:b w:val="0"/>
                <w:i w:val="0"/>
                <w:sz w:val="14"/>
              </w:rPr>
            </w:r>
          </w:p>
        </w:tc>
        <w:tc>
          <w:tcPr>
            <w:tcW w:type="dxa" w:w="1928"/>
          </w:tcPr>
          <w:p>
            <w:pPr>
              <w:spacing w:after="40" w:before="40"/>
              <w:jc w:val="left"/>
            </w:pPr>
            <w:r>
              <w:rPr>
                <w:b w:val="0"/>
                <w:i w:val="0"/>
                <w:sz w:val="14"/>
              </w:rPr>
              <w:t>detalle / error_msg</w:t>
            </w:r>
          </w:p>
        </w:tc>
        <w:tc>
          <w:tcPr>
            <w:tcW w:type="dxa" w:w="2665"/>
          </w:tcPr>
          <w:p>
            <w:pPr>
              <w:spacing w:after="40" w:before="40"/>
              <w:jc w:val="left"/>
            </w:pPr>
            <w:r>
              <w:rPr>
                <w:b w:val="0"/>
                <w:i w:val="0"/>
                <w:sz w:val="14"/>
                <w:rFonts w:ascii="Consolas" w:hAnsi="Consolas" w:cs="Consolas"/>
              </w:rPr>
              <w:t>TEXT</w:t>
            </w:r>
          </w:p>
        </w:tc>
        <w:tc>
          <w:tcPr>
            <w:tcW w:type="dxa" w:w="2948"/>
          </w:tcPr>
          <w:p>
            <w:pPr>
              <w:spacing w:after="40" w:before="40"/>
              <w:jc w:val="left"/>
            </w:pPr>
            <w:r>
              <w:rPr>
                <w:b w:val="0"/>
                <w:i w:val="0"/>
                <w:sz w:val="14"/>
              </w:rPr>
              <w:t>Detalle del evento y mensaje de error.</w:t>
            </w:r>
          </w:p>
        </w:tc>
      </w:tr>
      <w:tr>
        <w:tc>
          <w:tcPr>
            <w:tcW w:type="dxa" w:w="1247"/>
          </w:tcPr>
          <w:p>
            <w:pPr>
              <w:spacing w:after="40" w:before="40"/>
              <w:jc w:val="left"/>
            </w:pPr>
            <w:r>
              <w:rPr>
                <w:b w:val="0"/>
                <w:i w:val="0"/>
                <w:sz w:val="14"/>
              </w:rPr>
            </w:r>
          </w:p>
        </w:tc>
        <w:tc>
          <w:tcPr>
            <w:tcW w:type="dxa" w:w="1928"/>
          </w:tcPr>
          <w:p>
            <w:pPr>
              <w:spacing w:after="40" w:before="40"/>
              <w:jc w:val="left"/>
            </w:pPr>
            <w:r>
              <w:rPr>
                <w:b w:val="0"/>
                <w:i w:val="0"/>
                <w:sz w:val="14"/>
              </w:rPr>
              <w:t>creado_en</w:t>
            </w:r>
          </w:p>
        </w:tc>
        <w:tc>
          <w:tcPr>
            <w:tcW w:type="dxa" w:w="2665"/>
          </w:tcPr>
          <w:p>
            <w:pPr>
              <w:spacing w:after="40" w:before="40"/>
              <w:jc w:val="left"/>
            </w:pPr>
            <w:r>
              <w:rPr>
                <w:b w:val="0"/>
                <w:i w:val="0"/>
                <w:sz w:val="14"/>
                <w:rFonts w:ascii="Consolas" w:hAnsi="Consolas" w:cs="Consolas"/>
              </w:rPr>
              <w:t>TIMESTAMPTZ NOT NULL DEFAULT now()</w:t>
            </w:r>
          </w:p>
        </w:tc>
        <w:tc>
          <w:tcPr>
            <w:tcW w:type="dxa" w:w="2948"/>
          </w:tcPr>
          <w:p>
            <w:pPr>
              <w:spacing w:after="40" w:before="40"/>
              <w:jc w:val="left"/>
            </w:pPr>
            <w:r>
              <w:rPr>
                <w:b w:val="0"/>
                <w:i w:val="0"/>
                <w:sz w:val="14"/>
              </w:rPr>
              <w:t>Marca temporal de auditoría.</w:t>
            </w:r>
          </w:p>
        </w:tc>
      </w:tr>
      <w:tr>
        <w:tc>
          <w:tcPr>
            <w:tcW w:type="dxa" w:w="1247"/>
          </w:tcPr>
          <w:p>
            <w:pPr>
              <w:spacing w:after="40" w:before="40"/>
              <w:jc w:val="left"/>
            </w:pPr>
            <w:r>
              <w:rPr>
                <w:b w:val="0"/>
                <w:i w:val="0"/>
                <w:sz w:val="14"/>
              </w:rPr>
              <w:t>profiles</w:t>
            </w:r>
          </w:p>
        </w:tc>
        <w:tc>
          <w:tcPr>
            <w:tcW w:type="dxa" w:w="1928"/>
          </w:tcPr>
          <w:p>
            <w:pPr>
              <w:spacing w:after="40" w:before="40"/>
              <w:jc w:val="left"/>
            </w:pPr>
            <w:r>
              <w:rPr>
                <w:b w:val="0"/>
                <w:i w:val="0"/>
                <w:sz w:val="14"/>
              </w:rPr>
              <w:t>id</w:t>
            </w:r>
          </w:p>
        </w:tc>
        <w:tc>
          <w:tcPr>
            <w:tcW w:type="dxa" w:w="2665"/>
          </w:tcPr>
          <w:p>
            <w:pPr>
              <w:spacing w:after="40" w:before="40"/>
              <w:jc w:val="left"/>
            </w:pPr>
            <w:r>
              <w:rPr>
                <w:b w:val="0"/>
                <w:i w:val="0"/>
                <w:sz w:val="14"/>
                <w:rFonts w:ascii="Consolas" w:hAnsi="Consolas" w:cs="Consolas"/>
              </w:rPr>
              <w:t>UUID</w:t>
            </w:r>
            <w:r>
              <w:rPr>
                <w:b w:val="0"/>
                <w:i w:val="0"/>
                <w:sz w:val="14"/>
              </w:rPr>
              <w:t xml:space="preserve"> · PK · FK → </w:t>
            </w:r>
            <w:r>
              <w:rPr>
                <w:b w:val="0"/>
                <w:i w:val="0"/>
                <w:sz w:val="14"/>
                <w:rFonts w:ascii="Consolas" w:hAnsi="Consolas" w:cs="Consolas"/>
              </w:rPr>
              <w:t>auth.users(id)</w:t>
            </w:r>
            <w:r>
              <w:rPr>
                <w:b w:val="0"/>
                <w:i w:val="0"/>
                <w:sz w:val="14"/>
              </w:rPr>
              <w:t xml:space="preserve"> CASCADE</w:t>
            </w:r>
          </w:p>
        </w:tc>
        <w:tc>
          <w:tcPr>
            <w:tcW w:type="dxa" w:w="2948"/>
          </w:tcPr>
          <w:p>
            <w:pPr>
              <w:spacing w:after="40" w:before="40"/>
              <w:jc w:val="left"/>
            </w:pPr>
            <w:r>
              <w:rPr>
                <w:b w:val="0"/>
                <w:i w:val="0"/>
                <w:sz w:val="14"/>
              </w:rPr>
              <w:t xml:space="preserve">Se completa mediante el disparador </w:t>
            </w:r>
            <w:r>
              <w:rPr>
                <w:b w:val="0"/>
                <w:i w:val="0"/>
                <w:sz w:val="14"/>
                <w:rFonts w:ascii="Consolas" w:hAnsi="Consolas" w:cs="Consolas"/>
              </w:rPr>
              <w:t>handle_new_user</w:t>
            </w:r>
            <w:r>
              <w:rPr>
                <w:b w:val="0"/>
                <w:i w:val="0"/>
                <w:sz w:val="14"/>
              </w:rPr>
              <w:t xml:space="preserve"> al registrarse un usuario.</w:t>
            </w:r>
          </w:p>
        </w:tc>
      </w:tr>
      <w:tr>
        <w:tc>
          <w:tcPr>
            <w:tcW w:type="dxa" w:w="1247"/>
          </w:tcPr>
          <w:p>
            <w:pPr>
              <w:spacing w:after="40" w:before="40"/>
              <w:jc w:val="left"/>
            </w:pPr>
            <w:r>
              <w:rPr>
                <w:b w:val="0"/>
                <w:i w:val="0"/>
                <w:sz w:val="14"/>
              </w:rPr>
            </w:r>
          </w:p>
        </w:tc>
        <w:tc>
          <w:tcPr>
            <w:tcW w:type="dxa" w:w="1928"/>
          </w:tcPr>
          <w:p>
            <w:pPr>
              <w:spacing w:after="40" w:before="40"/>
              <w:jc w:val="left"/>
            </w:pPr>
            <w:r>
              <w:rPr>
                <w:b w:val="0"/>
                <w:i w:val="0"/>
                <w:sz w:val="14"/>
              </w:rPr>
              <w:t>email</w:t>
            </w:r>
          </w:p>
        </w:tc>
        <w:tc>
          <w:tcPr>
            <w:tcW w:type="dxa" w:w="2665"/>
          </w:tcPr>
          <w:p>
            <w:pPr>
              <w:spacing w:after="40" w:before="40"/>
              <w:jc w:val="left"/>
            </w:pPr>
            <w:r>
              <w:rPr>
                <w:b w:val="0"/>
                <w:i w:val="0"/>
                <w:sz w:val="14"/>
                <w:rFonts w:ascii="Consolas" w:hAnsi="Consolas" w:cs="Consolas"/>
              </w:rPr>
              <w:t>TEXT NOT NULL</w:t>
            </w:r>
          </w:p>
        </w:tc>
        <w:tc>
          <w:tcPr>
            <w:tcW w:type="dxa" w:w="2948"/>
          </w:tcPr>
          <w:p>
            <w:pPr>
              <w:spacing w:after="40" w:before="40"/>
              <w:jc w:val="left"/>
            </w:pPr>
            <w:r>
              <w:rPr>
                <w:b w:val="0"/>
                <w:i w:val="0"/>
                <w:sz w:val="14"/>
              </w:rPr>
              <w:t>Correo del usuario.</w:t>
            </w:r>
          </w:p>
        </w:tc>
      </w:tr>
      <w:tr>
        <w:tc>
          <w:tcPr>
            <w:tcW w:type="dxa" w:w="1247"/>
          </w:tcPr>
          <w:p>
            <w:pPr>
              <w:spacing w:after="40" w:before="40"/>
              <w:jc w:val="left"/>
            </w:pPr>
            <w:r>
              <w:rPr>
                <w:b w:val="0"/>
                <w:i w:val="0"/>
                <w:sz w:val="14"/>
              </w:rPr>
            </w:r>
          </w:p>
        </w:tc>
        <w:tc>
          <w:tcPr>
            <w:tcW w:type="dxa" w:w="1928"/>
          </w:tcPr>
          <w:p>
            <w:pPr>
              <w:spacing w:after="40" w:before="40"/>
              <w:jc w:val="left"/>
            </w:pPr>
            <w:r>
              <w:rPr>
                <w:b w:val="0"/>
                <w:i w:val="0"/>
                <w:sz w:val="14"/>
              </w:rPr>
              <w:t>role</w:t>
            </w:r>
          </w:p>
        </w:tc>
        <w:tc>
          <w:tcPr>
            <w:tcW w:type="dxa" w:w="2665"/>
          </w:tcPr>
          <w:p>
            <w:pPr>
              <w:spacing w:after="40" w:before="40"/>
              <w:jc w:val="left"/>
            </w:pPr>
            <w:r>
              <w:rPr>
                <w:b w:val="0"/>
                <w:i w:val="0"/>
                <w:sz w:val="14"/>
                <w:rFonts w:ascii="Consolas" w:hAnsi="Consolas" w:cs="Consolas"/>
              </w:rPr>
              <w:t>TEXT NOT NULL DEFAULT 'user'</w:t>
            </w:r>
            <w:r>
              <w:rPr>
                <w:b w:val="0"/>
                <w:i w:val="0"/>
                <w:sz w:val="14"/>
              </w:rPr>
              <w:t xml:space="preserve"> · </w:t>
            </w:r>
            <w:r>
              <w:rPr>
                <w:b w:val="0"/>
                <w:i w:val="0"/>
                <w:sz w:val="14"/>
                <w:rFonts w:ascii="Consolas" w:hAnsi="Consolas" w:cs="Consolas"/>
              </w:rPr>
              <w:t>CHECK (role IN ('user','admin'))</w:t>
            </w:r>
          </w:p>
        </w:tc>
        <w:tc>
          <w:tcPr>
            <w:tcW w:type="dxa" w:w="2948"/>
          </w:tcPr>
          <w:p>
            <w:pPr>
              <w:spacing w:after="40" w:before="40"/>
              <w:jc w:val="left"/>
            </w:pPr>
            <w:r>
              <w:rPr>
                <w:b w:val="0"/>
                <w:i w:val="0"/>
                <w:sz w:val="14"/>
              </w:rPr>
              <w:t xml:space="preserve">Rol de aplicación. Solo </w:t>
            </w:r>
            <w:r>
              <w:rPr>
                <w:b w:val="0"/>
                <w:i w:val="0"/>
                <w:sz w:val="14"/>
                <w:rFonts w:ascii="Consolas" w:hAnsi="Consolas" w:cs="Consolas"/>
              </w:rPr>
              <w:t>admin</w:t>
            </w:r>
            <w:r>
              <w:rPr>
                <w:b w:val="0"/>
                <w:i w:val="0"/>
                <w:sz w:val="14"/>
              </w:rPr>
              <w:t xml:space="preserve"> accede al tablero (§4.2.3 y §4.6).</w:t>
            </w:r>
          </w:p>
        </w:tc>
      </w:tr>
      <w:tr>
        <w:tc>
          <w:tcPr>
            <w:tcW w:type="dxa" w:w="1247"/>
          </w:tcPr>
          <w:p>
            <w:pPr>
              <w:spacing w:after="40" w:before="40"/>
              <w:jc w:val="left"/>
            </w:pPr>
            <w:r>
              <w:rPr>
                <w:b w:val="0"/>
                <w:i w:val="0"/>
                <w:sz w:val="14"/>
              </w:rPr>
            </w:r>
          </w:p>
        </w:tc>
        <w:tc>
          <w:tcPr>
            <w:tcW w:type="dxa" w:w="1928"/>
          </w:tcPr>
          <w:p>
            <w:pPr>
              <w:spacing w:after="40" w:before="40"/>
              <w:jc w:val="left"/>
            </w:pPr>
            <w:r>
              <w:rPr>
                <w:b w:val="0"/>
                <w:i w:val="0"/>
                <w:sz w:val="14"/>
              </w:rPr>
              <w:t>creado_en</w:t>
            </w:r>
          </w:p>
        </w:tc>
        <w:tc>
          <w:tcPr>
            <w:tcW w:type="dxa" w:w="2665"/>
          </w:tcPr>
          <w:p>
            <w:pPr>
              <w:spacing w:after="40" w:before="40"/>
              <w:jc w:val="left"/>
            </w:pPr>
            <w:r>
              <w:rPr>
                <w:b w:val="0"/>
                <w:i w:val="0"/>
                <w:sz w:val="14"/>
                <w:rFonts w:ascii="Consolas" w:hAnsi="Consolas" w:cs="Consolas"/>
              </w:rPr>
              <w:t>TIMESTAMPTZ NOT NULL DEFAULT now()</w:t>
            </w:r>
          </w:p>
        </w:tc>
        <w:tc>
          <w:tcPr>
            <w:tcW w:type="dxa" w:w="2948"/>
          </w:tcPr>
          <w:p>
            <w:pPr>
              <w:spacing w:after="40" w:before="40"/>
              <w:jc w:val="left"/>
            </w:pPr>
            <w:r>
              <w:rPr>
                <w:b w:val="0"/>
                <w:i w:val="0"/>
                <w:sz w:val="14"/>
              </w:rPr>
              <w:t>Auditoría de fila.</w:t>
            </w:r>
          </w:p>
        </w:tc>
      </w:tr>
    </w:tbl>
    <w:p>
      <w:pPr/>
      <w:r>
        <w:rPr>
          <w:b w:val="0"/>
          <w:i/>
          <w:sz w:val="15"/>
        </w:rPr>
        <w:t>Nota. Elaboración propia a partir de db/schema.sql. Índices: facturas(estado_pago), facturas(lead_id) y seguimientos(lead_id). El DDL completo se reproduce en el Anexo F.</w:t>
      </w:r>
    </w:p>
    <w:p w:rsidR="00D60FC7" w:rsidRDefault="00D60FC7"/>
    <w:p w:rsidR="00D60FC7" w:rsidRDefault="00000000">
      <w:proofErr w:type="spellStart"/>
      <w:proofErr w:type="spellEnd"/>
      <w:proofErr w:type="spellStart"/>
      <w:proofErr w:type="spellEnd"/>
      <w:r>
        <w:rPr>
          <w:b w:val="0"/>
          <w:i w:val="0"/>
        </w:rPr>
        <w:t xml:space="preserve">Las vistas </w:t>
      </w:r>
      <w:r>
        <w:rPr>
          <w:rFonts w:ascii="Consolas" w:hAnsi="Consolas" w:cs="Consolas"/>
          <w:b w:val="0"/>
          <w:i w:val="0"/>
        </w:rPr>
        <w:t>metrics_mensuales</w:t>
      </w:r>
      <w:r>
        <w:rPr>
          <w:b w:val="0"/>
          <w:i w:val="0"/>
        </w:rPr>
        <w:t xml:space="preserve"> y </w:t>
      </w:r>
      <w:r>
        <w:rPr>
          <w:rFonts w:ascii="Consolas" w:hAnsi="Consolas" w:cs="Consolas"/>
          <w:b w:val="0"/>
          <w:i w:val="0"/>
        </w:rPr>
        <w:t>facturas_pendientes</w:t>
      </w:r>
      <w:r>
        <w:rPr>
          <w:b w:val="0"/>
          <w:i w:val="0"/>
        </w:rPr>
        <w:t xml:space="preserve"> computan, respectivamente, los indicadores mensuales que alimentan el tablero y el listado de facturas en estado PENDIENTE con sus días al vencimiento. Ambas se declaran con la opción </w:t>
      </w:r>
      <w:r>
        <w:rPr>
          <w:rFonts w:ascii="Consolas" w:hAnsi="Consolas" w:cs="Consolas"/>
          <w:b w:val="0"/>
          <w:i w:val="0"/>
        </w:rPr>
        <w:t>security_invoker</w:t>
      </w:r>
      <w:r>
        <w:rPr>
          <w:b w:val="0"/>
          <w:i w:val="0"/>
        </w:rPr>
        <w:t>, de modo que respetan las políticas de las tablas subyacentes (§4.6). La Tabla 8 define operacionalmente cada indicador; la Tabla 9 enumera los estados por los que transita un lead.</w:t>
      </w:r>
    </w:p>
    <w:p>
      <w:pPr>
        <w:keepNext/>
      </w:pPr>
      <w:r>
        <w:rPr>
          <w:b w:val="0"/>
          <w:i w:val="0"/>
        </w:rPr>
        <w:t>Tabla 8. Definición operacional de los indicadores del tablero</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5000" w:type="pct"/>
      </w:tblPr>
      <w:tblGrid>
        <w:gridCol w:w="2929"/>
        <w:gridCol w:w="2929"/>
        <w:gridCol w:w="2929"/>
      </w:tblGrid>
      <w:tr>
        <w:trPr>
          <w:tblHeader/>
        </w:trPr>
        <w:tc>
          <w:tcPr>
            <w:tcW w:type="dxa" w:w="2268"/>
            <w:shd w:val="clear" w:color="auto" w:fill="1F2937"/>
          </w:tcPr>
          <w:p>
            <w:pPr>
              <w:spacing w:after="40" w:before="40"/>
              <w:jc w:val="left"/>
            </w:pPr>
            <w:r>
              <w:rPr>
                <w:b/>
                <w:i w:val="0"/>
                <w:color w:val="FFFFFF"/>
                <w:sz w:val="14"/>
              </w:rPr>
              <w:t>Indicador (rótulo en el tablero)</w:t>
            </w:r>
          </w:p>
        </w:tc>
        <w:tc>
          <w:tcPr>
            <w:tcW w:type="dxa" w:w="4819"/>
            <w:shd w:val="clear" w:color="auto" w:fill="1F2937"/>
          </w:tcPr>
          <w:p>
            <w:pPr>
              <w:spacing w:after="40" w:before="40"/>
              <w:jc w:val="left"/>
            </w:pPr>
            <w:r>
              <w:rPr>
                <w:b/>
                <w:i w:val="0"/>
                <w:color w:val="FFFFFF"/>
                <w:sz w:val="14"/>
              </w:rPr>
              <w:t>Definición operacional</w:t>
            </w:r>
          </w:p>
        </w:tc>
        <w:tc>
          <w:tcPr>
            <w:tcW w:type="dxa" w:w="1701"/>
            <w:shd w:val="clear" w:color="auto" w:fill="1F2937"/>
          </w:tcPr>
          <w:p>
            <w:pPr>
              <w:spacing w:after="40" w:before="40"/>
              <w:jc w:val="left"/>
            </w:pPr>
            <w:r>
              <w:rPr>
                <w:b/>
                <w:i w:val="0"/>
                <w:color w:val="FFFFFF"/>
                <w:sz w:val="14"/>
              </w:rPr>
              <w:t>Alcance temporal</w:t>
            </w:r>
          </w:p>
        </w:tc>
      </w:tr>
      <w:tr>
        <w:tc>
          <w:tcPr>
            <w:tcW w:type="dxa" w:w="2268"/>
          </w:tcPr>
          <w:p>
            <w:pPr>
              <w:spacing w:after="40" w:before="40"/>
              <w:jc w:val="left"/>
            </w:pPr>
            <w:r>
              <w:rPr>
                <w:b w:val="0"/>
                <w:i w:val="0"/>
                <w:sz w:val="14"/>
              </w:rPr>
              <w:t>Leads</w:t>
            </w:r>
          </w:p>
        </w:tc>
        <w:tc>
          <w:tcPr>
            <w:tcW w:type="dxa" w:w="4819"/>
          </w:tcPr>
          <w:p>
            <w:pPr>
              <w:spacing w:after="40" w:before="40"/>
              <w:jc w:val="left"/>
            </w:pPr>
            <w:r>
              <w:rPr>
                <w:b w:val="0"/>
                <w:i w:val="0"/>
                <w:sz w:val="14"/>
              </w:rPr>
              <w:t xml:space="preserve">Cantidad de filas de </w:t>
            </w:r>
            <w:r>
              <w:rPr>
                <w:b w:val="0"/>
                <w:i w:val="0"/>
                <w:sz w:val="14"/>
                <w:rFonts w:ascii="Consolas" w:hAnsi="Consolas" w:cs="Consolas"/>
              </w:rPr>
              <w:t>leads</w:t>
            </w:r>
            <w:r>
              <w:rPr>
                <w:b w:val="0"/>
                <w:i w:val="0"/>
                <w:sz w:val="14"/>
              </w:rPr>
              <w:t xml:space="preserve"> cuya </w:t>
            </w:r>
            <w:r>
              <w:rPr>
                <w:b w:val="0"/>
                <w:i w:val="0"/>
                <w:sz w:val="14"/>
                <w:rFonts w:ascii="Consolas" w:hAnsi="Consolas" w:cs="Consolas"/>
              </w:rPr>
              <w:t>fecha_ingreso</w:t>
            </w:r>
            <w:r>
              <w:rPr>
                <w:b w:val="0"/>
                <w:i w:val="0"/>
                <w:sz w:val="14"/>
              </w:rPr>
              <w:t xml:space="preserve"> pertenece al mes considerado.</w:t>
            </w:r>
          </w:p>
        </w:tc>
        <w:tc>
          <w:tcPr>
            <w:tcW w:type="dxa" w:w="1701"/>
          </w:tcPr>
          <w:p>
            <w:pPr>
              <w:spacing w:after="40" w:before="40"/>
              <w:jc w:val="left"/>
            </w:pPr>
            <w:r>
              <w:rPr>
                <w:b w:val="0"/>
                <w:i w:val="0"/>
                <w:sz w:val="14"/>
              </w:rPr>
              <w:t>Mes en curso</w:t>
            </w:r>
          </w:p>
        </w:tc>
      </w:tr>
      <w:tr>
        <w:tc>
          <w:tcPr>
            <w:tcW w:type="dxa" w:w="2268"/>
          </w:tcPr>
          <w:p>
            <w:pPr>
              <w:spacing w:after="40" w:before="40"/>
              <w:jc w:val="left"/>
            </w:pPr>
            <w:r>
              <w:rPr>
                <w:b w:val="0"/>
                <w:i w:val="0"/>
                <w:sz w:val="14"/>
              </w:rPr>
              <w:t>Conversión</w:t>
            </w:r>
          </w:p>
        </w:tc>
        <w:tc>
          <w:tcPr>
            <w:tcW w:type="dxa" w:w="4819"/>
          </w:tcPr>
          <w:p>
            <w:pPr>
              <w:spacing w:after="40" w:before="40"/>
              <w:jc w:val="left"/>
            </w:pPr>
            <w:r>
              <w:rPr>
                <w:b w:val="0"/>
                <w:i w:val="0"/>
                <w:sz w:val="14"/>
              </w:rPr>
              <w:t>100 × (leads en estado CERRADO del mes) ÷ (total de leads del mes). Se redondea a un decimal y devuelve 0 si el denominador es nulo.</w:t>
            </w:r>
          </w:p>
        </w:tc>
        <w:tc>
          <w:tcPr>
            <w:tcW w:type="dxa" w:w="1701"/>
          </w:tcPr>
          <w:p>
            <w:pPr>
              <w:spacing w:after="40" w:before="40"/>
              <w:jc w:val="left"/>
            </w:pPr>
            <w:r>
              <w:rPr>
                <w:b w:val="0"/>
                <w:i w:val="0"/>
                <w:sz w:val="14"/>
              </w:rPr>
              <w:t>Mes en curso</w:t>
            </w:r>
          </w:p>
        </w:tc>
      </w:tr>
      <w:tr>
        <w:tc>
          <w:tcPr>
            <w:tcW w:type="dxa" w:w="2268"/>
          </w:tcPr>
          <w:p>
            <w:pPr>
              <w:spacing w:after="40" w:before="40"/>
              <w:jc w:val="left"/>
            </w:pPr>
            <w:r>
              <w:rPr>
                <w:b w:val="0"/>
                <w:i w:val="0"/>
                <w:sz w:val="14"/>
              </w:rPr>
              <w:t>Tasa de cobro</w:t>
            </w:r>
          </w:p>
        </w:tc>
        <w:tc>
          <w:tcPr>
            <w:tcW w:type="dxa" w:w="4819"/>
          </w:tcPr>
          <w:p>
            <w:pPr>
              <w:spacing w:after="40" w:before="40"/>
              <w:jc w:val="left"/>
            </w:pPr>
            <w:r>
              <w:rPr>
                <w:b w:val="0"/>
                <w:i w:val="0"/>
                <w:sz w:val="14"/>
              </w:rPr>
              <w:t xml:space="preserve">100 × (suma de </w:t>
            </w:r>
            <w:r>
              <w:rPr>
                <w:b w:val="0"/>
                <w:i w:val="0"/>
                <w:sz w:val="14"/>
                <w:rFonts w:ascii="Consolas" w:hAnsi="Consolas" w:cs="Consolas"/>
              </w:rPr>
              <w:t>monto</w:t>
            </w:r>
            <w:r>
              <w:rPr>
                <w:b w:val="0"/>
                <w:i w:val="0"/>
                <w:sz w:val="14"/>
              </w:rPr>
              <w:t xml:space="preserve"> de facturas con </w:t>
            </w:r>
            <w:r>
              <w:rPr>
                <w:b w:val="0"/>
                <w:i w:val="0"/>
                <w:sz w:val="14"/>
                <w:rFonts w:ascii="Consolas" w:hAnsi="Consolas" w:cs="Consolas"/>
              </w:rPr>
              <w:t>estado_pago = 'COBRADO'</w:t>
            </w:r>
            <w:r>
              <w:rPr>
                <w:b w:val="0"/>
                <w:i w:val="0"/>
                <w:sz w:val="14"/>
              </w:rPr>
              <w:t xml:space="preserve">) ÷ (suma de </w:t>
            </w:r>
            <w:r>
              <w:rPr>
                <w:b w:val="0"/>
                <w:i w:val="0"/>
                <w:sz w:val="14"/>
                <w:rFonts w:ascii="Consolas" w:hAnsi="Consolas" w:cs="Consolas"/>
              </w:rPr>
              <w:t>monto</w:t>
            </w:r>
            <w:r>
              <w:rPr>
                <w:b w:val="0"/>
                <w:i w:val="0"/>
                <w:sz w:val="14"/>
              </w:rPr>
              <w:t xml:space="preserve"> de todas las facturas emitidas en el mes).</w:t>
            </w:r>
          </w:p>
        </w:tc>
        <w:tc>
          <w:tcPr>
            <w:tcW w:type="dxa" w:w="1701"/>
          </w:tcPr>
          <w:p>
            <w:pPr>
              <w:spacing w:after="40" w:before="40"/>
              <w:jc w:val="left"/>
            </w:pPr>
            <w:r>
              <w:rPr>
                <w:b w:val="0"/>
                <w:i w:val="0"/>
                <w:sz w:val="14"/>
              </w:rPr>
              <w:t>Mes en curso</w:t>
            </w:r>
          </w:p>
        </w:tc>
      </w:tr>
      <w:tr>
        <w:tc>
          <w:tcPr>
            <w:tcW w:type="dxa" w:w="2268"/>
          </w:tcPr>
          <w:p>
            <w:pPr>
              <w:spacing w:after="40" w:before="40"/>
              <w:jc w:val="left"/>
            </w:pPr>
            <w:r>
              <w:rPr>
                <w:b w:val="0"/>
                <w:i w:val="0"/>
                <w:sz w:val="14"/>
              </w:rPr>
              <w:t>Facturación</w:t>
            </w:r>
          </w:p>
        </w:tc>
        <w:tc>
          <w:tcPr>
            <w:tcW w:type="dxa" w:w="4819"/>
          </w:tcPr>
          <w:p>
            <w:pPr>
              <w:spacing w:after="40" w:before="40"/>
              <w:jc w:val="left"/>
            </w:pPr>
            <w:r>
              <w:rPr>
                <w:b w:val="0"/>
                <w:i w:val="0"/>
                <w:sz w:val="14"/>
              </w:rPr>
              <w:t xml:space="preserve">Suma de </w:t>
            </w:r>
            <w:r>
              <w:rPr>
                <w:b w:val="0"/>
                <w:i w:val="0"/>
                <w:sz w:val="14"/>
                <w:rFonts w:ascii="Consolas" w:hAnsi="Consolas" w:cs="Consolas"/>
              </w:rPr>
              <w:t>monto</w:t>
            </w:r>
            <w:r>
              <w:rPr>
                <w:b w:val="0"/>
                <w:i w:val="0"/>
                <w:sz w:val="14"/>
              </w:rPr>
              <w:t xml:space="preserve"> de las facturas cuya </w:t>
            </w:r>
            <w:r>
              <w:rPr>
                <w:b w:val="0"/>
                <w:i w:val="0"/>
                <w:sz w:val="14"/>
                <w:rFonts w:ascii="Consolas" w:hAnsi="Consolas" w:cs="Consolas"/>
              </w:rPr>
              <w:t>fecha_emision</w:t>
            </w:r>
            <w:r>
              <w:rPr>
                <w:b w:val="0"/>
                <w:i w:val="0"/>
                <w:sz w:val="14"/>
              </w:rPr>
              <w:t xml:space="preserve"> pertenece al mes.</w:t>
            </w:r>
          </w:p>
        </w:tc>
        <w:tc>
          <w:tcPr>
            <w:tcW w:type="dxa" w:w="1701"/>
          </w:tcPr>
          <w:p>
            <w:pPr>
              <w:spacing w:after="40" w:before="40"/>
              <w:jc w:val="left"/>
            </w:pPr>
            <w:r>
              <w:rPr>
                <w:b w:val="0"/>
                <w:i w:val="0"/>
                <w:sz w:val="14"/>
              </w:rPr>
              <w:t>Mes en curso</w:t>
            </w:r>
          </w:p>
        </w:tc>
      </w:tr>
      <w:tr>
        <w:tc>
          <w:tcPr>
            <w:tcW w:type="dxa" w:w="2268"/>
          </w:tcPr>
          <w:p>
            <w:pPr>
              <w:spacing w:after="40" w:before="40"/>
              <w:jc w:val="left"/>
            </w:pPr>
            <w:r>
              <w:rPr>
                <w:b w:val="0"/>
                <w:i w:val="0"/>
                <w:sz w:val="14"/>
              </w:rPr>
              <w:t>Cobrado / Pendiente</w:t>
            </w:r>
          </w:p>
        </w:tc>
        <w:tc>
          <w:tcPr>
            <w:tcW w:type="dxa" w:w="4819"/>
          </w:tcPr>
          <w:p>
            <w:pPr>
              <w:spacing w:after="40" w:before="40"/>
              <w:jc w:val="left"/>
            </w:pPr>
            <w:r>
              <w:rPr>
                <w:b w:val="0"/>
                <w:i w:val="0"/>
                <w:sz w:val="14"/>
              </w:rPr>
              <w:t xml:space="preserve">Suma de </w:t>
            </w:r>
            <w:r>
              <w:rPr>
                <w:b w:val="0"/>
                <w:i w:val="0"/>
                <w:sz w:val="14"/>
                <w:rFonts w:ascii="Consolas" w:hAnsi="Consolas" w:cs="Consolas"/>
              </w:rPr>
              <w:t>monto</w:t>
            </w:r>
            <w:r>
              <w:rPr>
                <w:b w:val="0"/>
                <w:i w:val="0"/>
                <w:sz w:val="14"/>
              </w:rPr>
              <w:t xml:space="preserve"> de las facturas del mes con </w:t>
            </w:r>
            <w:r>
              <w:rPr>
                <w:b w:val="0"/>
                <w:i w:val="0"/>
                <w:sz w:val="14"/>
                <w:rFonts w:ascii="Consolas" w:hAnsi="Consolas" w:cs="Consolas"/>
              </w:rPr>
              <w:t>estado_pago = 'COBRADO'</w:t>
            </w:r>
            <w:r>
              <w:rPr>
                <w:b w:val="0"/>
                <w:i w:val="0"/>
                <w:sz w:val="14"/>
              </w:rPr>
              <w:t xml:space="preserve"> y con estado distinto de COBRADO, respectivamente.</w:t>
            </w:r>
          </w:p>
        </w:tc>
        <w:tc>
          <w:tcPr>
            <w:tcW w:type="dxa" w:w="1701"/>
          </w:tcPr>
          <w:p>
            <w:pPr>
              <w:spacing w:after="40" w:before="40"/>
              <w:jc w:val="left"/>
            </w:pPr>
            <w:r>
              <w:rPr>
                <w:b w:val="0"/>
                <w:i w:val="0"/>
                <w:sz w:val="14"/>
              </w:rPr>
              <w:t>Mes en curso</w:t>
            </w:r>
          </w:p>
        </w:tc>
      </w:tr>
      <w:tr>
        <w:tc>
          <w:tcPr>
            <w:tcW w:type="dxa" w:w="2268"/>
          </w:tcPr>
          <w:p>
            <w:pPr>
              <w:spacing w:after="40" w:before="40"/>
              <w:jc w:val="left"/>
            </w:pPr>
            <w:r>
              <w:rPr>
                <w:b w:val="0"/>
                <w:i w:val="0"/>
                <w:sz w:val="14"/>
              </w:rPr>
              <w:t>Facturas vencidas</w:t>
            </w:r>
          </w:p>
        </w:tc>
        <w:tc>
          <w:tcPr>
            <w:tcW w:type="dxa" w:w="4819"/>
          </w:tcPr>
          <w:p>
            <w:pPr>
              <w:spacing w:after="40" w:before="40"/>
              <w:jc w:val="left"/>
            </w:pPr>
            <w:r>
              <w:rPr>
                <w:b w:val="0"/>
                <w:i w:val="0"/>
                <w:sz w:val="14"/>
              </w:rPr>
              <w:t xml:space="preserve">Cantidad de facturas con </w:t>
            </w:r>
            <w:r>
              <w:rPr>
                <w:b w:val="0"/>
                <w:i w:val="0"/>
                <w:sz w:val="14"/>
                <w:rFonts w:ascii="Consolas" w:hAnsi="Consolas" w:cs="Consolas"/>
              </w:rPr>
              <w:t>estado_pago = 'PENDIENTE'</w:t>
            </w:r>
            <w:r>
              <w:rPr>
                <w:b w:val="0"/>
                <w:i w:val="0"/>
                <w:sz w:val="14"/>
              </w:rPr>
              <w:t xml:space="preserve"> y </w:t>
            </w:r>
            <w:r>
              <w:rPr>
                <w:b w:val="0"/>
                <w:i w:val="0"/>
                <w:sz w:val="14"/>
                <w:rFonts w:ascii="Consolas" w:hAnsi="Consolas" w:cs="Consolas"/>
              </w:rPr>
              <w:t>fecha_vencimiento &lt; now()</w:t>
            </w:r>
            <w:r>
              <w:rPr>
                <w:b w:val="0"/>
                <w:i w:val="0"/>
                <w:sz w:val="14"/>
              </w:rPr>
              <w:t>.</w:t>
            </w:r>
          </w:p>
        </w:tc>
        <w:tc>
          <w:tcPr>
            <w:tcW w:type="dxa" w:w="1701"/>
          </w:tcPr>
          <w:p>
            <w:pPr>
              <w:spacing w:after="40" w:before="40"/>
              <w:jc w:val="left"/>
            </w:pPr>
            <w:r>
              <w:rPr>
                <w:b w:val="0"/>
                <w:i w:val="0"/>
                <w:sz w:val="14"/>
              </w:rPr>
              <w:t>Mes en curso</w:t>
            </w:r>
          </w:p>
        </w:tc>
      </w:tr>
      <w:tr>
        <w:tc>
          <w:tcPr>
            <w:tcW w:type="dxa" w:w="2268"/>
          </w:tcPr>
          <w:p>
            <w:pPr>
              <w:spacing w:after="40" w:before="40"/>
              <w:jc w:val="left"/>
            </w:pPr>
            <w:r>
              <w:rPr>
                <w:b w:val="0"/>
                <w:i w:val="0"/>
                <w:sz w:val="14"/>
              </w:rPr>
              <w:t>Tiempo promedio de ciclo</w:t>
            </w:r>
          </w:p>
        </w:tc>
        <w:tc>
          <w:tcPr>
            <w:tcW w:type="dxa" w:w="4819"/>
          </w:tcPr>
          <w:p>
            <w:pPr>
              <w:spacing w:after="40" w:before="40"/>
              <w:jc w:val="left"/>
            </w:pPr>
            <w:r>
              <w:rPr>
                <w:b w:val="0"/>
                <w:i w:val="0"/>
                <w:sz w:val="14"/>
              </w:rPr>
              <w:t xml:space="preserve">Promedio de </w:t>
            </w:r>
            <w:r>
              <w:rPr>
                <w:b w:val="0"/>
                <w:i w:val="0"/>
                <w:sz w:val="14"/>
                <w:rFonts w:ascii="Consolas" w:hAnsi="Consolas" w:cs="Consolas"/>
              </w:rPr>
              <w:t>dias_ciclo_completo</w:t>
            </w:r>
            <w:r>
              <w:rPr>
                <w:b w:val="0"/>
                <w:i w:val="0"/>
                <w:sz w:val="14"/>
              </w:rPr>
              <w:t xml:space="preserve"> sobre los leads del mes en estado CERRADO.</w:t>
            </w:r>
          </w:p>
        </w:tc>
        <w:tc>
          <w:tcPr>
            <w:tcW w:type="dxa" w:w="1701"/>
          </w:tcPr>
          <w:p>
            <w:pPr>
              <w:spacing w:after="40" w:before="40"/>
              <w:jc w:val="left"/>
            </w:pPr>
            <w:r>
              <w:rPr>
                <w:b w:val="0"/>
                <w:i w:val="0"/>
                <w:sz w:val="14"/>
              </w:rPr>
              <w:t>Mes en curso</w:t>
            </w:r>
          </w:p>
        </w:tc>
      </w:tr>
      <w:tr>
        <w:tc>
          <w:tcPr>
            <w:tcW w:type="dxa" w:w="2268"/>
          </w:tcPr>
          <w:p>
            <w:pPr>
              <w:spacing w:after="40" w:before="40"/>
              <w:jc w:val="left"/>
            </w:pPr>
            <w:r>
              <w:rPr>
                <w:b w:val="0"/>
                <w:i w:val="0"/>
                <w:sz w:val="14"/>
              </w:rPr>
              <w:t>Embudo de leads (por estado)</w:t>
            </w:r>
          </w:p>
        </w:tc>
        <w:tc>
          <w:tcPr>
            <w:tcW w:type="dxa" w:w="4819"/>
          </w:tcPr>
          <w:p>
            <w:pPr>
              <w:spacing w:after="40" w:before="40"/>
              <w:jc w:val="left"/>
            </w:pPr>
            <w:r>
              <w:rPr>
                <w:b w:val="0"/>
                <w:i w:val="0"/>
                <w:sz w:val="14"/>
              </w:rPr>
              <w:t xml:space="preserve">Cantidad de filas de </w:t>
            </w:r>
            <w:r>
              <w:rPr>
                <w:b w:val="0"/>
                <w:i w:val="0"/>
                <w:sz w:val="14"/>
                <w:rFonts w:ascii="Consolas" w:hAnsi="Consolas" w:cs="Consolas"/>
              </w:rPr>
              <w:t>leads</w:t>
            </w:r>
            <w:r>
              <w:rPr>
                <w:b w:val="0"/>
                <w:i w:val="0"/>
                <w:sz w:val="14"/>
              </w:rPr>
              <w:t xml:space="preserve"> agrupadas por la columna </w:t>
            </w:r>
            <w:r>
              <w:rPr>
                <w:b w:val="0"/>
                <w:i w:val="0"/>
                <w:sz w:val="14"/>
                <w:rFonts w:ascii="Consolas" w:hAnsi="Consolas" w:cs="Consolas"/>
              </w:rPr>
              <w:t>estado</w:t>
            </w:r>
            <w:r>
              <w:rPr>
                <w:b w:val="0"/>
                <w:i w:val="0"/>
                <w:sz w:val="14"/>
              </w:rPr>
              <w:t xml:space="preserve">. </w:t>
            </w:r>
            <w:r>
              <w:rPr>
                <w:b/>
                <w:i w:val="0"/>
                <w:sz w:val="14"/>
              </w:rPr>
              <w:t>No se filtra por mes</w:t>
            </w:r>
            <w:r>
              <w:rPr>
                <w:b w:val="0"/>
                <w:i w:val="0"/>
                <w:sz w:val="14"/>
              </w:rPr>
              <w:t>: el embudo se calcula sobre la totalidad histórica de los registros.</w:t>
            </w:r>
          </w:p>
        </w:tc>
        <w:tc>
          <w:tcPr>
            <w:tcW w:type="dxa" w:w="1701"/>
          </w:tcPr>
          <w:p>
            <w:pPr>
              <w:spacing w:after="40" w:before="40"/>
              <w:jc w:val="left"/>
            </w:pPr>
            <w:r>
              <w:rPr>
                <w:b/>
                <w:i w:val="0"/>
                <w:sz w:val="14"/>
              </w:rPr>
              <w:t>Histórico acumulado</w:t>
            </w:r>
          </w:p>
        </w:tc>
      </w:tr>
    </w:tbl>
    <w:p>
      <w:pPr/>
      <w:r>
        <w:rPr>
          <w:b w:val="0"/>
          <w:i/>
          <w:sz w:val="15"/>
        </w:rPr>
        <w:t>Nota. Elaboración propia a partir de la vista metrics_mensuales de db/schema.sql y del componente dashboard-client.tsx. La diferencia de alcance temporal entre el indicador «Leads» (mes en curso) y el embudo por estado (histórico acumulado) explica que ambos valores no coincidan en la Figura 6: el indicador declara 4 y la suma del embudo, 14. No se trata de una inconsistencia de datos sino de dos criterios de agregación distintos, que hasta esta revisión no estaban documentados.</w:t>
      </w:r>
    </w:p>
    <w:p w:rsidR="00D60FC7" w:rsidRDefault="00000000">
      <w:r>
        <w:t xml:space="preserve">La columna </w:t>
      </w:r>
      <w:proofErr w:type="spellStart"/>
      <w:r>
        <w:rPr>
          <w:rFonts w:ascii="Consolas" w:hAnsi="Consolas" w:cs="Consolas"/>
        </w:rPr>
        <w:t>estado_pago</w:t>
      </w:r>
      <w:proofErr w:type="spellEnd"/>
      <w:r>
        <w:t xml:space="preserve"> de </w:t>
      </w:r>
      <w:r>
        <w:rPr>
          <w:rFonts w:ascii="Consolas" w:hAnsi="Consolas" w:cs="Consolas"/>
        </w:rPr>
        <w:t>facturas</w:t>
      </w:r>
      <w:r>
        <w:t xml:space="preserve"> transita por cuatro estados: </w:t>
      </w:r>
      <w:r>
        <w:rPr>
          <w:rFonts w:ascii="Consolas" w:hAnsi="Consolas" w:cs="Consolas"/>
        </w:rPr>
        <w:t>PENDIENTE</w:t>
      </w:r>
      <w:r>
        <w:t xml:space="preserve"> (factura emitida, aún sin cobrar), </w:t>
      </w:r>
      <w:r>
        <w:rPr>
          <w:rFonts w:ascii="Consolas" w:hAnsi="Consolas" w:cs="Consolas"/>
        </w:rPr>
        <w:t>COBRADO</w:t>
      </w:r>
      <w:r>
        <w:t xml:space="preserve"> (pago registrado), </w:t>
      </w:r>
      <w:r>
        <w:rPr>
          <w:rFonts w:ascii="Consolas" w:hAnsi="Consolas" w:cs="Consolas"/>
        </w:rPr>
        <w:t>VENCIDA</w:t>
      </w:r>
      <w:r>
        <w:t xml:space="preserve"> (se superó la fecha de vencimiento sin cobro) y </w:t>
      </w:r>
      <w:r>
        <w:rPr>
          <w:rFonts w:ascii="Consolas" w:hAnsi="Consolas" w:cs="Consolas"/>
        </w:rPr>
        <w:t>ANULADA</w:t>
      </w:r>
      <w:r>
        <w:t xml:space="preserve"> (factura anulada o cancelada).</w:t>
      </w:r>
    </w:p>
    <w:p>
      <w:pPr>
        <w:jc w:val="center"/>
        <w:keepNext/>
      </w:pPr>
      <w:r>
        <w:drawing>
          <wp:inline xmlns:a="http://schemas.openxmlformats.org/drawingml/2006/main" xmlns:pic="http://schemas.openxmlformats.org/drawingml/2006/picture">
            <wp:extent cx="5472000" cy="3484672"/>
            <wp:docPr id="22" name="Picture 22"/>
            <wp:cNvGraphicFramePr>
              <a:graphicFrameLocks noChangeAspect="1"/>
            </wp:cNvGraphicFramePr>
            <a:graphic>
              <a:graphicData uri="http://schemas.openxmlformats.org/drawingml/2006/picture">
                <pic:pic>
                  <pic:nvPicPr>
                    <pic:cNvPr id="0" name="fig03_estados.png"/>
                    <pic:cNvPicPr/>
                  </pic:nvPicPr>
                  <pic:blipFill>
                    <a:blip r:embed="rId31"/>
                    <a:stretch>
                      <a:fillRect/>
                    </a:stretch>
                  </pic:blipFill>
                  <pic:spPr>
                    <a:xfrm>
                      <a:off x="0" y="0"/>
                      <a:ext cx="5472000" cy="3484672"/>
                    </a:xfrm>
                    <a:prstGeom prst="rect"/>
                  </pic:spPr>
                </pic:pic>
              </a:graphicData>
            </a:graphic>
          </wp:inline>
        </w:drawing>
      </w:r>
    </w:p>
    <w:p>
      <w:pPr>
        <w:keepLines/>
      </w:pPr>
      <w:r>
        <w:rPr>
          <w:b/>
          <w:i w:val="0"/>
          <w:sz w:val="17"/>
        </w:rPr>
        <w:t>Figura 3.</w:t>
      </w:r>
      <w:r>
        <w:rPr>
          <w:b w:val="0"/>
          <w:i w:val="0"/>
          <w:sz w:val="17"/>
        </w:rPr>
        <w:t xml:space="preserve"> Máquinas de estados del sistema: ciclo comercial del lead (A) y ciclo de ejecución del trabajo (B). </w:t>
      </w:r>
      <w:r>
        <w:rPr>
          <w:b w:val="0"/>
          <w:i/>
          <w:sz w:val="17"/>
        </w:rPr>
        <w:t>Nota.</w:t>
      </w:r>
      <w:r>
        <w:rPr>
          <w:b w:val="0"/>
          <w:i w:val="0"/>
          <w:sz w:val="17"/>
        </w:rPr>
        <w:t xml:space="preserve"> Elaboración propia a partir de </w:t>
      </w:r>
      <w:r>
        <w:rPr>
          <w:rFonts w:ascii="Consolas" w:hAnsi="Consolas" w:cs="Consolas"/>
          <w:b w:val="0"/>
          <w:i w:val="0"/>
          <w:sz w:val="17"/>
        </w:rPr>
        <w:t>db/schema.sql</w:t>
      </w:r>
      <w:r>
        <w:rPr>
          <w:b w:val="0"/>
          <w:i w:val="0"/>
          <w:sz w:val="17"/>
        </w:rPr>
        <w:t xml:space="preserve"> y del flujo exportado.</w:t>
      </w:r>
    </w:p>
    <w:p w:rsidR="00D60FC7" w:rsidRDefault="00000000">
      <w:pPr>
        <w:spacing w:after="120" w:line="240" w:lineRule="auto"/>
        <w:jc w:val="center"/>
      </w:pPr>
      <w:r>
        <w:rPr>
          <w:b w:val="0"/>
          <w:i w:val="0"/>
          <w:sz w:val="20"/>
        </w:rPr>
        <w:t>Tabla 9. Estados del ciclo de vida del lead y del trabajo</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5000" w:type="pct"/>
      </w:tblPr>
      <w:tblGrid>
        <w:gridCol w:w="2197"/>
        <w:gridCol w:w="2197"/>
        <w:gridCol w:w="2197"/>
        <w:gridCol w:w="2197"/>
      </w:tblGrid>
      <w:tr>
        <w:trPr>
          <w:tblHeader/>
        </w:trPr>
        <w:tc>
          <w:tcPr>
            <w:tcW w:type="dxa" w:w="1701"/>
            <w:shd w:val="clear" w:color="auto" w:fill="1F2937"/>
          </w:tcPr>
          <w:p>
            <w:pPr>
              <w:spacing w:after="40" w:before="40"/>
              <w:jc w:val="left"/>
            </w:pPr>
            <w:r>
              <w:rPr>
                <w:b/>
                <w:i w:val="0"/>
                <w:color w:val="FFFFFF"/>
                <w:sz w:val="14"/>
              </w:rPr>
              <w:t>Máquina</w:t>
            </w:r>
          </w:p>
        </w:tc>
        <w:tc>
          <w:tcPr>
            <w:tcW w:type="dxa" w:w="1871"/>
            <w:shd w:val="clear" w:color="auto" w:fill="1F2937"/>
          </w:tcPr>
          <w:p>
            <w:pPr>
              <w:spacing w:after="40" w:before="40"/>
              <w:jc w:val="left"/>
            </w:pPr>
            <w:r>
              <w:rPr>
                <w:b/>
                <w:i w:val="0"/>
                <w:color w:val="FFFFFF"/>
                <w:sz w:val="14"/>
              </w:rPr>
              <w:t>Estado</w:t>
            </w:r>
          </w:p>
        </w:tc>
        <w:tc>
          <w:tcPr>
            <w:tcW w:type="dxa" w:w="3175"/>
            <w:shd w:val="clear" w:color="auto" w:fill="1F2937"/>
          </w:tcPr>
          <w:p>
            <w:pPr>
              <w:spacing w:after="40" w:before="40"/>
              <w:jc w:val="left"/>
            </w:pPr>
            <w:r>
              <w:rPr>
                <w:b/>
                <w:i w:val="0"/>
                <w:color w:val="FFFFFF"/>
                <w:sz w:val="14"/>
              </w:rPr>
              <w:t>Significado</w:t>
            </w:r>
          </w:p>
        </w:tc>
        <w:tc>
          <w:tcPr>
            <w:tcW w:type="dxa" w:w="2041"/>
            <w:shd w:val="clear" w:color="auto" w:fill="1F2937"/>
          </w:tcPr>
          <w:p>
            <w:pPr>
              <w:spacing w:after="40" w:before="40"/>
              <w:jc w:val="left"/>
            </w:pPr>
            <w:r>
              <w:rPr>
                <w:b/>
                <w:i w:val="0"/>
                <w:color w:val="FFFFFF"/>
                <w:sz w:val="14"/>
              </w:rPr>
              <w:t>Transición de entrada</w:t>
            </w:r>
          </w:p>
        </w:tc>
      </w:tr>
      <w:tr>
        <w:tc>
          <w:tcPr>
            <w:tcW w:type="dxa" w:w="1701"/>
          </w:tcPr>
          <w:p>
            <w:pPr>
              <w:spacing w:after="40" w:before="40"/>
              <w:jc w:val="left"/>
            </w:pPr>
            <w:r>
              <w:rPr>
                <w:b w:val="0"/>
                <w:i w:val="0"/>
                <w:sz w:val="14"/>
              </w:rPr>
              <w:t>Comercial</w:t>
            </w:r>
          </w:p>
          <w:p>
            <w:pPr>
              <w:spacing w:after="40" w:before="0"/>
            </w:pPr>
            <w:r>
              <w:rPr>
                <w:b w:val="0"/>
                <w:i w:val="0"/>
                <w:sz w:val="14"/>
              </w:rPr>
              <w:t>(</w:t>
            </w:r>
            <w:r>
              <w:rPr>
                <w:b w:val="0"/>
                <w:i w:val="0"/>
                <w:sz w:val="14"/>
                <w:rFonts w:ascii="Consolas" w:hAnsi="Consolas" w:cs="Consolas"/>
              </w:rPr>
              <w:t>leads.estado</w:t>
            </w:r>
            <w:r>
              <w:rPr>
                <w:b w:val="0"/>
                <w:i w:val="0"/>
                <w:sz w:val="14"/>
              </w:rPr>
              <w:t>)</w:t>
            </w:r>
          </w:p>
        </w:tc>
        <w:tc>
          <w:tcPr>
            <w:tcW w:type="dxa" w:w="1871"/>
          </w:tcPr>
          <w:p>
            <w:pPr>
              <w:spacing w:after="40" w:before="40"/>
              <w:jc w:val="left"/>
            </w:pPr>
            <w:r>
              <w:rPr>
                <w:b w:val="0"/>
                <w:i w:val="0"/>
                <w:sz w:val="14"/>
              </w:rPr>
              <w:t>NUEVO</w:t>
            </w:r>
          </w:p>
        </w:tc>
        <w:tc>
          <w:tcPr>
            <w:tcW w:type="dxa" w:w="3175"/>
          </w:tcPr>
          <w:p>
            <w:pPr>
              <w:spacing w:after="40" w:before="40"/>
              <w:jc w:val="left"/>
            </w:pPr>
            <w:r>
              <w:rPr>
                <w:b w:val="0"/>
                <w:i w:val="0"/>
                <w:sz w:val="14"/>
              </w:rPr>
              <w:t>Lead recién ingresado y normalizado, con score cero.</w:t>
            </w:r>
          </w:p>
        </w:tc>
        <w:tc>
          <w:tcPr>
            <w:tcW w:type="dxa" w:w="2041"/>
          </w:tcPr>
          <w:p>
            <w:pPr>
              <w:spacing w:after="40" w:before="40"/>
              <w:jc w:val="left"/>
            </w:pPr>
            <w:r>
              <w:rPr>
                <w:b w:val="0"/>
                <w:i w:val="0"/>
                <w:sz w:val="14"/>
              </w:rPr>
              <w:t xml:space="preserve">Alta por </w:t>
            </w:r>
            <w:r>
              <w:rPr>
                <w:b w:val="0"/>
                <w:i w:val="0"/>
                <w:sz w:val="14"/>
                <w:rFonts w:ascii="Consolas" w:hAnsi="Consolas" w:cs="Consolas"/>
              </w:rPr>
              <w:t>POST /lead/nuevo</w:t>
            </w:r>
            <w:r>
              <w:rPr>
                <w:b w:val="0"/>
                <w:i w:val="0"/>
                <w:sz w:val="14"/>
              </w:rPr>
              <w:t>.</w:t>
            </w:r>
          </w:p>
        </w:tc>
      </w:tr>
      <w:tr>
        <w:tc>
          <w:tcPr>
            <w:tcW w:type="dxa" w:w="1701"/>
          </w:tcPr>
          <w:p>
            <w:pPr>
              <w:spacing w:after="40" w:before="40"/>
              <w:jc w:val="left"/>
            </w:pPr>
            <w:r>
              <w:rPr>
                <w:b w:val="0"/>
                <w:i w:val="0"/>
                <w:sz w:val="14"/>
              </w:rPr>
            </w:r>
          </w:p>
        </w:tc>
        <w:tc>
          <w:tcPr>
            <w:tcW w:type="dxa" w:w="1871"/>
          </w:tcPr>
          <w:p>
            <w:pPr>
              <w:spacing w:after="40" w:before="40"/>
              <w:jc w:val="left"/>
            </w:pPr>
            <w:r>
              <w:rPr>
                <w:b w:val="0"/>
                <w:i w:val="0"/>
                <w:sz w:val="14"/>
              </w:rPr>
              <w:t>PROPUESTA_ENVIADA</w:t>
            </w:r>
          </w:p>
        </w:tc>
        <w:tc>
          <w:tcPr>
            <w:tcW w:type="dxa" w:w="3175"/>
          </w:tcPr>
          <w:p>
            <w:pPr>
              <w:spacing w:after="40" w:before="40"/>
              <w:jc w:val="left"/>
            </w:pPr>
            <w:r>
              <w:rPr>
                <w:b w:val="0"/>
                <w:i w:val="0"/>
                <w:sz w:val="14"/>
              </w:rPr>
              <w:t>Se generó y envió la propuesta al cliente.</w:t>
            </w:r>
          </w:p>
        </w:tc>
        <w:tc>
          <w:tcPr>
            <w:tcW w:type="dxa" w:w="2041"/>
          </w:tcPr>
          <w:p>
            <w:pPr>
              <w:spacing w:after="40" w:before="40"/>
              <w:jc w:val="left"/>
            </w:pPr>
            <w:r>
              <w:rPr>
                <w:b w:val="0"/>
                <w:i w:val="0"/>
                <w:sz w:val="14"/>
              </w:rPr>
              <w:t>Score ≥ 40 (niveles HOT y WARM) tras el cálculo del puntaje.</w:t>
            </w:r>
          </w:p>
        </w:tc>
      </w:tr>
      <w:tr>
        <w:tc>
          <w:tcPr>
            <w:tcW w:type="dxa" w:w="1701"/>
          </w:tcPr>
          <w:p>
            <w:pPr>
              <w:spacing w:after="40" w:before="40"/>
              <w:jc w:val="left"/>
            </w:pPr>
            <w:r>
              <w:rPr>
                <w:b w:val="0"/>
                <w:i w:val="0"/>
                <w:sz w:val="14"/>
              </w:rPr>
            </w:r>
          </w:p>
        </w:tc>
        <w:tc>
          <w:tcPr>
            <w:tcW w:type="dxa" w:w="1871"/>
          </w:tcPr>
          <w:p>
            <w:pPr>
              <w:spacing w:after="40" w:before="40"/>
              <w:jc w:val="left"/>
            </w:pPr>
            <w:r>
              <w:rPr>
                <w:b w:val="0"/>
                <w:i w:val="0"/>
                <w:sz w:val="14"/>
              </w:rPr>
              <w:t>EN_SEGUIMIENTO</w:t>
            </w:r>
          </w:p>
        </w:tc>
        <w:tc>
          <w:tcPr>
            <w:tcW w:type="dxa" w:w="3175"/>
          </w:tcPr>
          <w:p>
            <w:pPr>
              <w:spacing w:after="40" w:before="40"/>
              <w:jc w:val="left"/>
            </w:pPr>
            <w:r>
              <w:rPr>
                <w:b w:val="0"/>
                <w:i w:val="0"/>
                <w:sz w:val="14"/>
              </w:rPr>
              <w:t>Se realizó al menos un seguimiento sin respuesta, o el cliente pidió cambios.</w:t>
            </w:r>
          </w:p>
        </w:tc>
        <w:tc>
          <w:tcPr>
            <w:tcW w:type="dxa" w:w="2041"/>
          </w:tcPr>
          <w:p>
            <w:pPr>
              <w:spacing w:after="40" w:before="40"/>
              <w:jc w:val="left"/>
            </w:pPr>
            <w:r>
              <w:rPr>
                <w:b w:val="0"/>
                <w:i w:val="0"/>
                <w:sz w:val="14"/>
              </w:rPr>
              <w:t xml:space="preserve">Proceso programado de seguimiento; </w:t>
            </w:r>
            <w:r>
              <w:rPr>
                <w:b w:val="0"/>
                <w:i w:val="0"/>
                <w:sz w:val="14"/>
                <w:rFonts w:ascii="Consolas" w:hAnsi="Consolas" w:cs="Consolas"/>
              </w:rPr>
              <w:t>POST /lead-modifica</w:t>
            </w:r>
            <w:r>
              <w:rPr>
                <w:b w:val="0"/>
                <w:i w:val="0"/>
                <w:sz w:val="14"/>
              </w:rPr>
              <w:t>.</w:t>
            </w:r>
          </w:p>
        </w:tc>
      </w:tr>
      <w:tr>
        <w:tc>
          <w:tcPr>
            <w:tcW w:type="dxa" w:w="1701"/>
          </w:tcPr>
          <w:p>
            <w:pPr>
              <w:spacing w:after="40" w:before="40"/>
              <w:jc w:val="left"/>
            </w:pPr>
            <w:r>
              <w:rPr>
                <w:b w:val="0"/>
                <w:i w:val="0"/>
                <w:sz w:val="14"/>
              </w:rPr>
            </w:r>
          </w:p>
        </w:tc>
        <w:tc>
          <w:tcPr>
            <w:tcW w:type="dxa" w:w="1871"/>
          </w:tcPr>
          <w:p>
            <w:pPr>
              <w:spacing w:after="40" w:before="40"/>
              <w:jc w:val="left"/>
            </w:pPr>
            <w:r>
              <w:rPr>
                <w:b w:val="0"/>
                <w:i w:val="0"/>
                <w:sz w:val="14"/>
              </w:rPr>
              <w:t>ACEPTADO</w:t>
            </w:r>
          </w:p>
        </w:tc>
        <w:tc>
          <w:tcPr>
            <w:tcW w:type="dxa" w:w="3175"/>
          </w:tcPr>
          <w:p>
            <w:pPr>
              <w:spacing w:after="40" w:before="40"/>
              <w:jc w:val="left"/>
            </w:pPr>
            <w:r>
              <w:rPr>
                <w:b w:val="0"/>
                <w:i w:val="0"/>
                <w:sz w:val="14"/>
              </w:rPr>
              <w:t>El cliente aceptó la propuesta mediante el enlace con token.</w:t>
            </w:r>
          </w:p>
        </w:tc>
        <w:tc>
          <w:tcPr>
            <w:tcW w:type="dxa" w:w="2041"/>
          </w:tcPr>
          <w:p>
            <w:pPr>
              <w:spacing w:after="40" w:before="40"/>
              <w:jc w:val="left"/>
            </w:pPr>
            <w:r>
              <w:rPr>
                <w:b w:val="0"/>
                <w:i w:val="0"/>
                <w:sz w:val="14"/>
                <w:rFonts w:ascii="Consolas" w:hAnsi="Consolas" w:cs="Consolas"/>
              </w:rPr>
              <w:t>POST /lead-acepta</w:t>
            </w:r>
            <w:r>
              <w:rPr>
                <w:b w:val="0"/>
                <w:i w:val="0"/>
                <w:sz w:val="14"/>
              </w:rPr>
              <w:t xml:space="preserve"> con actualización condicional atómica.</w:t>
            </w:r>
          </w:p>
        </w:tc>
      </w:tr>
      <w:tr>
        <w:tc>
          <w:tcPr>
            <w:tcW w:type="dxa" w:w="1701"/>
          </w:tcPr>
          <w:p>
            <w:pPr>
              <w:spacing w:after="40" w:before="40"/>
              <w:jc w:val="left"/>
            </w:pPr>
            <w:r>
              <w:rPr>
                <w:b w:val="0"/>
                <w:i w:val="0"/>
                <w:sz w:val="14"/>
              </w:rPr>
            </w:r>
          </w:p>
        </w:tc>
        <w:tc>
          <w:tcPr>
            <w:tcW w:type="dxa" w:w="1871"/>
          </w:tcPr>
          <w:p>
            <w:pPr>
              <w:spacing w:after="40" w:before="40"/>
              <w:jc w:val="left"/>
            </w:pPr>
            <w:r>
              <w:rPr>
                <w:b w:val="0"/>
                <w:i w:val="0"/>
                <w:sz w:val="14"/>
              </w:rPr>
              <w:t>FACTURADO</w:t>
            </w:r>
          </w:p>
        </w:tc>
        <w:tc>
          <w:tcPr>
            <w:tcW w:type="dxa" w:w="3175"/>
          </w:tcPr>
          <w:p>
            <w:pPr>
              <w:spacing w:after="40" w:before="40"/>
              <w:jc w:val="left"/>
            </w:pPr>
            <w:r>
              <w:rPr>
                <w:b w:val="0"/>
                <w:i w:val="0"/>
                <w:sz w:val="14"/>
              </w:rPr>
              <w:t>Se generó, envió y persistió la factura.</w:t>
            </w:r>
          </w:p>
        </w:tc>
        <w:tc>
          <w:tcPr>
            <w:tcW w:type="dxa" w:w="2041"/>
          </w:tcPr>
          <w:p>
            <w:pPr>
              <w:spacing w:after="40" w:before="40"/>
              <w:jc w:val="left"/>
            </w:pPr>
            <w:r>
              <w:rPr>
                <w:b w:val="0"/>
                <w:i w:val="0"/>
                <w:sz w:val="14"/>
              </w:rPr>
              <w:t>Continuación del flujo de aceptación.</w:t>
            </w:r>
          </w:p>
        </w:tc>
      </w:tr>
      <w:tr>
        <w:tc>
          <w:tcPr>
            <w:tcW w:type="dxa" w:w="1701"/>
          </w:tcPr>
          <w:p>
            <w:pPr>
              <w:spacing w:after="40" w:before="40"/>
              <w:jc w:val="left"/>
            </w:pPr>
            <w:r>
              <w:rPr>
                <w:b w:val="0"/>
                <w:i w:val="0"/>
                <w:sz w:val="14"/>
              </w:rPr>
            </w:r>
          </w:p>
        </w:tc>
        <w:tc>
          <w:tcPr>
            <w:tcW w:type="dxa" w:w="1871"/>
          </w:tcPr>
          <w:p>
            <w:pPr>
              <w:spacing w:after="40" w:before="40"/>
              <w:jc w:val="left"/>
            </w:pPr>
            <w:r>
              <w:rPr>
                <w:b w:val="0"/>
                <w:i w:val="0"/>
                <w:sz w:val="14"/>
              </w:rPr>
              <w:t>CERRADO</w:t>
            </w:r>
          </w:p>
        </w:tc>
        <w:tc>
          <w:tcPr>
            <w:tcW w:type="dxa" w:w="3175"/>
          </w:tcPr>
          <w:p>
            <w:pPr>
              <w:spacing w:after="40" w:before="40"/>
              <w:jc w:val="left"/>
            </w:pPr>
            <w:r>
              <w:rPr>
                <w:b w:val="0"/>
                <w:i w:val="0"/>
                <w:sz w:val="14"/>
              </w:rPr>
              <w:t>El proyecto se cerró y se registró la duración del ciclo.</w:t>
            </w:r>
          </w:p>
        </w:tc>
        <w:tc>
          <w:tcPr>
            <w:tcW w:type="dxa" w:w="2041"/>
          </w:tcPr>
          <w:p>
            <w:pPr>
              <w:spacing w:after="40" w:before="40"/>
              <w:jc w:val="left"/>
            </w:pPr>
            <w:r>
              <w:rPr>
                <w:b w:val="0"/>
                <w:i w:val="0"/>
                <w:sz w:val="14"/>
                <w:rFonts w:ascii="Consolas" w:hAnsi="Consolas" w:cs="Consolas"/>
              </w:rPr>
              <w:t>POST /proyecto-cerrado</w:t>
            </w:r>
            <w:r>
              <w:rPr>
                <w:b w:val="0"/>
                <w:i w:val="0"/>
                <w:sz w:val="14"/>
              </w:rPr>
              <w:t>.</w:t>
            </w:r>
          </w:p>
        </w:tc>
      </w:tr>
      <w:tr>
        <w:tc>
          <w:tcPr>
            <w:tcW w:type="dxa" w:w="1701"/>
          </w:tcPr>
          <w:p>
            <w:pPr>
              <w:spacing w:after="40" w:before="40"/>
              <w:jc w:val="left"/>
            </w:pPr>
            <w:r>
              <w:rPr>
                <w:b w:val="0"/>
                <w:i w:val="0"/>
                <w:sz w:val="14"/>
              </w:rPr>
            </w:r>
          </w:p>
        </w:tc>
        <w:tc>
          <w:tcPr>
            <w:tcW w:type="dxa" w:w="1871"/>
          </w:tcPr>
          <w:p>
            <w:pPr>
              <w:spacing w:after="40" w:before="40"/>
              <w:jc w:val="left"/>
            </w:pPr>
            <w:r>
              <w:rPr>
                <w:b w:val="0"/>
                <w:i w:val="0"/>
                <w:sz w:val="14"/>
              </w:rPr>
              <w:t>PERDIDO</w:t>
            </w:r>
          </w:p>
        </w:tc>
        <w:tc>
          <w:tcPr>
            <w:tcW w:type="dxa" w:w="3175"/>
          </w:tcPr>
          <w:p>
            <w:pPr>
              <w:spacing w:after="40" w:before="40"/>
              <w:jc w:val="left"/>
            </w:pPr>
            <w:r>
              <w:rPr>
                <w:b w:val="0"/>
                <w:i w:val="0"/>
                <w:sz w:val="14"/>
              </w:rPr>
              <w:t xml:space="preserve">Oportunidad descartada. Agrupa tres causas distintas: rechazo del cliente, agotamiento de los tres seguimientos sin respuesta y </w:t>
            </w:r>
            <w:r>
              <w:rPr>
                <w:b/>
                <w:i w:val="0"/>
                <w:sz w:val="14"/>
              </w:rPr>
              <w:t>cancelación desde el tablero interno</w:t>
            </w:r>
            <w:r>
              <w:rPr>
                <w:b w:val="0"/>
                <w:i w:val="0"/>
                <w:sz w:val="14"/>
              </w:rPr>
              <w:t>.</w:t>
            </w:r>
          </w:p>
        </w:tc>
        <w:tc>
          <w:tcPr>
            <w:tcW w:type="dxa" w:w="2041"/>
          </w:tcPr>
          <w:p>
            <w:pPr>
              <w:spacing w:after="40" w:before="40"/>
              <w:jc w:val="left"/>
            </w:pPr>
            <w:r>
              <w:rPr>
                <w:b w:val="0"/>
                <w:i w:val="0"/>
                <w:sz w:val="14"/>
                <w:rFonts w:ascii="Consolas" w:hAnsi="Consolas" w:cs="Consolas"/>
              </w:rPr>
              <w:t>POST /lead-rechaza</w:t>
            </w:r>
            <w:r>
              <w:rPr>
                <w:b w:val="0"/>
                <w:i w:val="0"/>
                <w:sz w:val="14"/>
              </w:rPr>
              <w:t xml:space="preserve">; tercer seguimiento sin respuesta; </w:t>
            </w:r>
            <w:r>
              <w:rPr>
                <w:b w:val="0"/>
                <w:i w:val="0"/>
                <w:sz w:val="14"/>
                <w:rFonts w:ascii="Consolas" w:hAnsi="Consolas" w:cs="Consolas"/>
              </w:rPr>
              <w:t>POST /lead-cancelar</w:t>
            </w:r>
            <w:r>
              <w:rPr>
                <w:b w:val="0"/>
                <w:i w:val="0"/>
                <w:sz w:val="14"/>
              </w:rPr>
              <w:t>.</w:t>
            </w:r>
          </w:p>
        </w:tc>
      </w:tr>
      <w:tr>
        <w:tc>
          <w:tcPr>
            <w:tcW w:type="dxa" w:w="1701"/>
          </w:tcPr>
          <w:p>
            <w:pPr>
              <w:spacing w:after="40" w:before="40"/>
              <w:jc w:val="left"/>
            </w:pPr>
            <w:r>
              <w:rPr>
                <w:b w:val="0"/>
                <w:i w:val="0"/>
                <w:sz w:val="14"/>
              </w:rPr>
              <w:t>Ejecución</w:t>
            </w:r>
          </w:p>
          <w:p>
            <w:pPr>
              <w:spacing w:after="40" w:before="0"/>
            </w:pPr>
            <w:r>
              <w:rPr>
                <w:b w:val="0"/>
                <w:i w:val="0"/>
                <w:sz w:val="14"/>
              </w:rPr>
              <w:t>(</w:t>
            </w:r>
            <w:r>
              <w:rPr>
                <w:b w:val="0"/>
                <w:i w:val="0"/>
                <w:sz w:val="14"/>
                <w:rFonts w:ascii="Consolas" w:hAnsi="Consolas" w:cs="Consolas"/>
              </w:rPr>
              <w:t>leads.estado_trabajo</w:t>
            </w:r>
            <w:r>
              <w:rPr>
                <w:b w:val="0"/>
                <w:i w:val="0"/>
                <w:sz w:val="14"/>
              </w:rPr>
              <w:t>)</w:t>
            </w:r>
          </w:p>
        </w:tc>
        <w:tc>
          <w:tcPr>
            <w:tcW w:type="dxa" w:w="1871"/>
          </w:tcPr>
          <w:p>
            <w:pPr>
              <w:spacing w:after="40" w:before="40"/>
              <w:jc w:val="left"/>
            </w:pPr>
            <w:r>
              <w:rPr>
                <w:b w:val="0"/>
                <w:i w:val="0"/>
                <w:sz w:val="14"/>
              </w:rPr>
              <w:t>PENDIENTE</w:t>
            </w:r>
          </w:p>
        </w:tc>
        <w:tc>
          <w:tcPr>
            <w:tcW w:type="dxa" w:w="3175"/>
          </w:tcPr>
          <w:p>
            <w:pPr>
              <w:spacing w:after="40" w:before="40"/>
              <w:jc w:val="left"/>
            </w:pPr>
            <w:r>
              <w:rPr>
                <w:b w:val="0"/>
                <w:i w:val="0"/>
                <w:sz w:val="14"/>
              </w:rPr>
              <w:t>Trabajo aceptado y aún no iniciado.</w:t>
            </w:r>
          </w:p>
        </w:tc>
        <w:tc>
          <w:tcPr>
            <w:tcW w:type="dxa" w:w="2041"/>
          </w:tcPr>
          <w:p>
            <w:pPr>
              <w:spacing w:after="40" w:before="40"/>
              <w:jc w:val="left"/>
            </w:pPr>
            <w:r>
              <w:rPr>
                <w:b w:val="0"/>
                <w:i w:val="0"/>
                <w:sz w:val="14"/>
              </w:rPr>
              <w:t>Valor por omisión de la columna.</w:t>
            </w:r>
          </w:p>
        </w:tc>
      </w:tr>
      <w:tr>
        <w:tc>
          <w:tcPr>
            <w:tcW w:type="dxa" w:w="1701"/>
          </w:tcPr>
          <w:p>
            <w:pPr>
              <w:spacing w:after="40" w:before="40"/>
              <w:jc w:val="left"/>
            </w:pPr>
            <w:r>
              <w:rPr>
                <w:b w:val="0"/>
                <w:i w:val="0"/>
                <w:sz w:val="14"/>
              </w:rPr>
            </w:r>
          </w:p>
        </w:tc>
        <w:tc>
          <w:tcPr>
            <w:tcW w:type="dxa" w:w="1871"/>
          </w:tcPr>
          <w:p>
            <w:pPr>
              <w:spacing w:after="40" w:before="40"/>
              <w:jc w:val="left"/>
            </w:pPr>
            <w:r>
              <w:rPr>
                <w:b w:val="0"/>
                <w:i w:val="0"/>
                <w:sz w:val="14"/>
              </w:rPr>
              <w:t>EN_PROGRESO</w:t>
            </w:r>
          </w:p>
        </w:tc>
        <w:tc>
          <w:tcPr>
            <w:tcW w:type="dxa" w:w="3175"/>
          </w:tcPr>
          <w:p>
            <w:pPr>
              <w:spacing w:after="40" w:before="40"/>
              <w:jc w:val="left"/>
            </w:pPr>
            <w:r>
              <w:rPr>
                <w:b w:val="0"/>
                <w:i w:val="0"/>
                <w:sz w:val="14"/>
              </w:rPr>
              <w:t>Trabajo en ejecución.</w:t>
            </w:r>
          </w:p>
        </w:tc>
        <w:tc>
          <w:tcPr>
            <w:tcW w:type="dxa" w:w="2041"/>
          </w:tcPr>
          <w:p>
            <w:pPr>
              <w:spacing w:after="40" w:before="40"/>
              <w:jc w:val="left"/>
            </w:pPr>
            <w:r>
              <w:rPr>
                <w:b w:val="0"/>
                <w:i w:val="0"/>
                <w:sz w:val="14"/>
                <w:rFonts w:ascii="Consolas" w:hAnsi="Consolas" w:cs="Consolas"/>
              </w:rPr>
              <w:t>POST /trabajo-estado</w:t>
            </w:r>
            <w:r>
              <w:rPr>
                <w:b w:val="0"/>
                <w:i w:val="0"/>
                <w:sz w:val="14"/>
              </w:rPr>
              <w:t xml:space="preserve"> desde el tablero interno.</w:t>
            </w:r>
          </w:p>
        </w:tc>
      </w:tr>
      <w:tr>
        <w:tc>
          <w:tcPr>
            <w:tcW w:type="dxa" w:w="1701"/>
          </w:tcPr>
          <w:p>
            <w:pPr>
              <w:spacing w:after="40" w:before="40"/>
              <w:jc w:val="left"/>
            </w:pPr>
            <w:r>
              <w:rPr>
                <w:b w:val="0"/>
                <w:i w:val="0"/>
                <w:sz w:val="14"/>
              </w:rPr>
            </w:r>
          </w:p>
        </w:tc>
        <w:tc>
          <w:tcPr>
            <w:tcW w:type="dxa" w:w="1871"/>
          </w:tcPr>
          <w:p>
            <w:pPr>
              <w:spacing w:after="40" w:before="40"/>
              <w:jc w:val="left"/>
            </w:pPr>
            <w:r>
              <w:rPr>
                <w:b w:val="0"/>
                <w:i w:val="0"/>
                <w:sz w:val="14"/>
              </w:rPr>
              <w:t>EN_REVISION</w:t>
            </w:r>
          </w:p>
        </w:tc>
        <w:tc>
          <w:tcPr>
            <w:tcW w:type="dxa" w:w="3175"/>
          </w:tcPr>
          <w:p>
            <w:pPr>
              <w:spacing w:after="40" w:before="40"/>
              <w:jc w:val="left"/>
            </w:pPr>
            <w:r>
              <w:rPr>
                <w:b w:val="0"/>
                <w:i w:val="0"/>
                <w:sz w:val="14"/>
              </w:rPr>
              <w:t>Entregable en revisión del cliente.</w:t>
            </w:r>
          </w:p>
        </w:tc>
        <w:tc>
          <w:tcPr>
            <w:tcW w:type="dxa" w:w="2041"/>
          </w:tcPr>
          <w:p>
            <w:pPr>
              <w:spacing w:after="40" w:before="40"/>
              <w:jc w:val="left"/>
            </w:pPr>
            <w:r>
              <w:rPr>
                <w:b w:val="0"/>
                <w:i w:val="0"/>
                <w:sz w:val="14"/>
                <w:rFonts w:ascii="Consolas" w:hAnsi="Consolas" w:cs="Consolas"/>
              </w:rPr>
              <w:t>POST /trabajo-estado</w:t>
            </w:r>
            <w:r>
              <w:rPr>
                <w:b w:val="0"/>
                <w:i w:val="0"/>
                <w:sz w:val="14"/>
              </w:rPr>
              <w:t>.</w:t>
            </w:r>
          </w:p>
        </w:tc>
      </w:tr>
      <w:tr>
        <w:tc>
          <w:tcPr>
            <w:tcW w:type="dxa" w:w="1701"/>
          </w:tcPr>
          <w:p>
            <w:pPr>
              <w:spacing w:after="40" w:before="40"/>
              <w:jc w:val="left"/>
            </w:pPr>
            <w:r>
              <w:rPr>
                <w:b w:val="0"/>
                <w:i w:val="0"/>
                <w:sz w:val="14"/>
              </w:rPr>
            </w:r>
          </w:p>
        </w:tc>
        <w:tc>
          <w:tcPr>
            <w:tcW w:type="dxa" w:w="1871"/>
          </w:tcPr>
          <w:p>
            <w:pPr>
              <w:spacing w:after="40" w:before="40"/>
              <w:jc w:val="left"/>
            </w:pPr>
            <w:r>
              <w:rPr>
                <w:b w:val="0"/>
                <w:i w:val="0"/>
                <w:sz w:val="14"/>
              </w:rPr>
              <w:t>ENTREGADO</w:t>
            </w:r>
          </w:p>
        </w:tc>
        <w:tc>
          <w:tcPr>
            <w:tcW w:type="dxa" w:w="3175"/>
          </w:tcPr>
          <w:p>
            <w:pPr>
              <w:spacing w:after="40" w:before="40"/>
              <w:jc w:val="left"/>
            </w:pPr>
            <w:r>
              <w:rPr>
                <w:b w:val="0"/>
                <w:i w:val="0"/>
                <w:sz w:val="14"/>
              </w:rPr>
              <w:t>Trabajo entregado y aceptado.</w:t>
            </w:r>
          </w:p>
        </w:tc>
        <w:tc>
          <w:tcPr>
            <w:tcW w:type="dxa" w:w="2041"/>
          </w:tcPr>
          <w:p>
            <w:pPr>
              <w:spacing w:after="40" w:before="40"/>
              <w:jc w:val="left"/>
            </w:pPr>
            <w:r>
              <w:rPr>
                <w:b w:val="0"/>
                <w:i w:val="0"/>
                <w:sz w:val="14"/>
                <w:rFonts w:ascii="Consolas" w:hAnsi="Consolas" w:cs="Consolas"/>
              </w:rPr>
              <w:t>POST /trabajo-estado</w:t>
            </w:r>
            <w:r>
              <w:rPr>
                <w:b w:val="0"/>
                <w:i w:val="0"/>
                <w:sz w:val="14"/>
              </w:rPr>
              <w:t>.</w:t>
            </w:r>
          </w:p>
        </w:tc>
      </w:tr>
    </w:tbl>
    <w:p>
      <w:pPr/>
      <w:r>
        <w:rPr>
          <w:b w:val="0"/>
          <w:i/>
          <w:sz w:val="15"/>
        </w:rPr>
        <w:t>Nota. Elaboración propia a partir de los tipos enumerados lead_estado y trabajo_estado de db/schema.sql. Precisión sobre la cancelación: el webhook /lead-cancelar no introduce un estado propio, sino que ejecuta UPDATE leads SET estado = 'PERDIDO' … WHERE estado NOT IN ('CERRADO','PERDIDO'); la distinción entre «perdido» y «cancelado» solo existe en el tablero externo de Notion, no en la base de datos. Se documenta como limitación del modelo de estados. Invariante entre ambas máquinas: estado_trabajo solo avanza más allá de PENDIENTE cuando estado es ACEPTADO, FACTURADO o CERRADO; el esquema no lo impone mediante una restricción y depende hoy de la lógica del flujo.</w:t>
      </w:r>
    </w:p>
    <w:p w:rsidR="00D60FC7" w:rsidRDefault="00D60FC7"/>
    <w:p w:rsidR="00D60FC7" w:rsidRDefault="00000000">
      <w:pPr>
        <w:pStyle w:val="Ttulo2"/>
      </w:pPr>
      <w:bookmarkStart w:id="45" w:name="_Toc233808451"/>
      <w:r>
        <w:t>4.5 Contratos de integración</w:t>
      </w:r>
      <w:bookmarkEnd w:id="45"/>
    </w:p>
    <w:p w:rsidR="00D60FC7" w:rsidRDefault="00000000">
      <w:proofErr w:type="spellStart"/>
      <w:proofErr w:type="spellEnd"/>
      <w:proofErr w:type="spellStart"/>
      <w:proofErr w:type="spellEnd"/>
      <w:proofErr w:type="spellStart"/>
      <w:proofErr w:type="spellEnd"/>
      <w:r>
        <w:rPr>
          <w:b w:val="0"/>
          <w:i w:val="0"/>
        </w:rPr>
        <w:t>La comunicación entre el frontend y n8n se realiza mediante los doce webhooks de la Tabla 10. El frontend envía el lead como un objeto JSON con los campos del formulario más metadatos de origen y marca temporal, y consume la respuesta de la aceptación para informar el desenlace al cliente. El contrato completo —objeto de ejemplo, tipos, restricciones y códigos de respuesta— se reproduce en el Anexo D. La tabla incorpora dos columnas que versiones anteriores de este apartado no consignaban: el origen real de cada invocación y el control de origen aplicado. La segunda de ellas hace visible la principal deuda de seguridad del sistema, que se analiza en §4.6.</w:t>
      </w:r>
    </w:p>
    <w:p>
      <w:pPr/>
      <w:r>
        <w:rPr>
          <w:b w:val="0"/>
          <w:i w:val="0"/>
        </w:rPr>
        <w:t>Se observa además una inconsistencia de nomenclatura que conviene declarar: la ruta de captación emplea barra como separador (</w:t>
      </w:r>
      <w:r>
        <w:rPr>
          <w:rFonts w:ascii="Consolas" w:hAnsi="Consolas" w:cs="Consolas"/>
          <w:b w:val="0"/>
          <w:i w:val="0"/>
        </w:rPr>
        <w:t>/lead/nuevo</w:t>
      </w:r>
      <w:r>
        <w:rPr>
          <w:b w:val="0"/>
          <w:i w:val="0"/>
        </w:rPr>
        <w:t>) mientras que las diez restantes emplean guion (</w:t>
      </w:r>
      <w:r>
        <w:rPr>
          <w:rFonts w:ascii="Consolas" w:hAnsi="Consolas" w:cs="Consolas"/>
          <w:b w:val="0"/>
          <w:i w:val="0"/>
        </w:rPr>
        <w:t>/lead-acepta</w:t>
      </w:r>
      <w:r>
        <w:rPr>
          <w:b w:val="0"/>
          <w:i w:val="0"/>
        </w:rPr>
        <w:t xml:space="preserve">, </w:t>
      </w:r>
      <w:r>
        <w:rPr>
          <w:rFonts w:ascii="Consolas" w:hAnsi="Consolas" w:cs="Consolas"/>
          <w:b w:val="0"/>
          <w:i w:val="0"/>
        </w:rPr>
        <w:t>/lead-rechaza</w:t>
      </w:r>
      <w:r>
        <w:rPr>
          <w:b w:val="0"/>
          <w:i w:val="0"/>
        </w:rPr>
        <w:t>, etc.). La divergencia es histórica —la ruta de captación fue la primera en construirse— y no tiene efecto funcional, pero rompe la uniformidad del contrato de integración. Unificar el criterio exige actualizar la variable de entorno del frontend y el nodo correspondiente del flujo; se registra en el Capítulo 8.</w:t>
      </w:r>
    </w:p>
    <w:p w:rsidR="00D60FC7" w:rsidRDefault="00000000">
      <w:pPr>
        <w:spacing w:after="120" w:line="240" w:lineRule="auto"/>
        <w:jc w:val="center"/>
      </w:pPr>
      <w:r>
        <w:rPr>
          <w:sz w:val="20"/>
          <w:szCs w:val="20"/>
        </w:rPr>
        <w:t>Tabla 10. Contratos de integración (</w:t>
      </w:r>
      <w:proofErr w:type="spellStart"/>
      <w:r>
        <w:rPr>
          <w:sz w:val="20"/>
          <w:szCs w:val="20"/>
        </w:rPr>
        <w:t>webhooks</w:t>
      </w:r>
      <w:proofErr w:type="spellEnd"/>
      <w:r>
        <w:rPr>
          <w:sz w:val="20"/>
          <w:szCs w:val="20"/>
        </w:rPr>
        <w:t xml:space="preserve"> de n8n)</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5000" w:type="pct"/>
      </w:tblPr>
      <w:tblGrid>
        <w:gridCol w:w="1758"/>
        <w:gridCol w:w="1758"/>
        <w:gridCol w:w="1758"/>
        <w:gridCol w:w="1758"/>
        <w:gridCol w:w="1758"/>
      </w:tblGrid>
      <w:tr>
        <w:trPr>
          <w:tblHeader/>
        </w:trPr>
        <w:tc>
          <w:tcPr>
            <w:tcW w:type="dxa" w:w="1531"/>
            <w:shd w:val="clear" w:color="auto" w:fill="1F2937"/>
          </w:tcPr>
          <w:p>
            <w:pPr>
              <w:spacing w:after="40" w:before="40"/>
              <w:jc w:val="left"/>
            </w:pPr>
            <w:r>
              <w:rPr>
                <w:b/>
                <w:i w:val="0"/>
                <w:color w:val="FFFFFF"/>
                <w:sz w:val="13"/>
                <w:rFonts w:ascii="Consolas" w:hAnsi="Consolas" w:cs="Consolas"/>
              </w:rPr>
              <w:t>Webhook</w:t>
            </w:r>
          </w:p>
        </w:tc>
        <w:tc>
          <w:tcPr>
            <w:tcW w:type="dxa" w:w="794"/>
            <w:shd w:val="clear" w:color="auto" w:fill="1F2937"/>
          </w:tcPr>
          <w:p>
            <w:pPr>
              <w:spacing w:after="40" w:before="40"/>
              <w:jc w:val="left"/>
            </w:pPr>
            <w:r>
              <w:rPr>
                <w:b/>
                <w:i w:val="0"/>
                <w:color w:val="FFFFFF"/>
                <w:sz w:val="13"/>
              </w:rPr>
              <w:t>Método</w:t>
            </w:r>
          </w:p>
        </w:tc>
        <w:tc>
          <w:tcPr>
            <w:tcW w:type="dxa" w:w="1928"/>
            <w:shd w:val="clear" w:color="auto" w:fill="1F2937"/>
          </w:tcPr>
          <w:p>
            <w:pPr>
              <w:spacing w:after="40" w:before="40"/>
              <w:jc w:val="left"/>
            </w:pPr>
            <w:r>
              <w:rPr>
                <w:b/>
                <w:i w:val="0"/>
                <w:color w:val="FFFFFF"/>
                <w:sz w:val="13"/>
              </w:rPr>
              <w:t>Origen de la invocación</w:t>
            </w:r>
          </w:p>
        </w:tc>
        <w:tc>
          <w:tcPr>
            <w:tcW w:type="dxa" w:w="2608"/>
            <w:shd w:val="clear" w:color="auto" w:fill="1F2937"/>
          </w:tcPr>
          <w:p>
            <w:pPr>
              <w:spacing w:after="40" w:before="40"/>
              <w:jc w:val="left"/>
            </w:pPr>
            <w:r>
              <w:rPr>
                <w:b/>
                <w:i w:val="0"/>
                <w:color w:val="FFFFFF"/>
                <w:sz w:val="13"/>
              </w:rPr>
              <w:t>Control de origen y autenticación</w:t>
            </w:r>
          </w:p>
        </w:tc>
        <w:tc>
          <w:tcPr>
            <w:tcW w:type="dxa" w:w="1928"/>
            <w:shd w:val="clear" w:color="auto" w:fill="1F2937"/>
          </w:tcPr>
          <w:p>
            <w:pPr>
              <w:spacing w:after="40" w:before="40"/>
              <w:jc w:val="left"/>
            </w:pPr>
            <w:r>
              <w:rPr>
                <w:b/>
                <w:i w:val="0"/>
                <w:color w:val="FFFFFF"/>
                <w:sz w:val="13"/>
              </w:rPr>
              <w:t>Propósito</w:t>
            </w:r>
          </w:p>
        </w:tc>
      </w:tr>
      <w:tr>
        <w:tc>
          <w:tcPr>
            <w:tcW w:type="dxa" w:w="1531"/>
          </w:tcPr>
          <w:p>
            <w:pPr>
              <w:spacing w:after="40" w:before="40"/>
              <w:jc w:val="left"/>
            </w:pPr>
            <w:r>
              <w:rPr>
                <w:b w:val="0"/>
                <w:i w:val="0"/>
                <w:sz w:val="13"/>
                <w:rFonts w:ascii="Consolas" w:hAnsi="Consolas" w:cs="Consolas"/>
              </w:rPr>
              <w:t>/lead/nuevo</w:t>
            </w:r>
          </w:p>
        </w:tc>
        <w:tc>
          <w:tcPr>
            <w:tcW w:type="dxa" w:w="794"/>
          </w:tcPr>
          <w:p>
            <w:pPr>
              <w:spacing w:after="40" w:before="40"/>
              <w:jc w:val="left"/>
            </w:pPr>
            <w:r>
              <w:rPr>
                <w:b w:val="0"/>
                <w:i w:val="0"/>
                <w:sz w:val="13"/>
              </w:rPr>
              <w:t>POST</w:t>
            </w:r>
          </w:p>
        </w:tc>
        <w:tc>
          <w:tcPr>
            <w:tcW w:type="dxa" w:w="1928"/>
          </w:tcPr>
          <w:p>
            <w:pPr>
              <w:spacing w:after="40" w:before="40"/>
              <w:jc w:val="left"/>
            </w:pPr>
            <w:r>
              <w:rPr>
                <w:b w:val="0"/>
                <w:i w:val="0"/>
                <w:sz w:val="13"/>
              </w:rPr>
              <w:t>Formulario público (</w:t>
            </w:r>
            <w:r>
              <w:rPr>
                <w:b w:val="0"/>
                <w:i w:val="0"/>
                <w:sz w:val="13"/>
                <w:rFonts w:ascii="Consolas" w:hAnsi="Consolas" w:cs="Consolas"/>
              </w:rPr>
              <w:t>lead-form.tsx</w:t>
            </w:r>
            <w:r>
              <w:rPr>
                <w:b w:val="0"/>
                <w:i w:val="0"/>
                <w:sz w:val="13"/>
              </w:rPr>
              <w:t>)</w:t>
            </w:r>
          </w:p>
        </w:tc>
        <w:tc>
          <w:tcPr>
            <w:tcW w:type="dxa" w:w="2608"/>
          </w:tcPr>
          <w:p>
            <w:pPr>
              <w:spacing w:after="40" w:before="40"/>
              <w:jc w:val="left"/>
            </w:pPr>
            <w:r>
              <w:rPr>
                <w:b w:val="0"/>
                <w:i w:val="0"/>
                <w:sz w:val="13"/>
              </w:rPr>
              <w:t xml:space="preserve">Lista blanca de orígenes (CORS). </w:t>
            </w:r>
            <w:r>
              <w:rPr>
                <w:b/>
                <w:i w:val="0"/>
                <w:sz w:val="13"/>
              </w:rPr>
              <w:t>Sin autenticación.</w:t>
            </w:r>
            <w:r>
              <w:rPr>
                <w:b w:val="0"/>
                <w:i w:val="0"/>
                <w:sz w:val="13"/>
              </w:rPr>
              <w:t xml:space="preserve"> Sin clave de idempotencia.</w:t>
            </w:r>
          </w:p>
        </w:tc>
        <w:tc>
          <w:tcPr>
            <w:tcW w:type="dxa" w:w="1928"/>
          </w:tcPr>
          <w:p>
            <w:pPr>
              <w:spacing w:after="40" w:before="40"/>
              <w:jc w:val="left"/>
            </w:pPr>
            <w:r>
              <w:rPr>
                <w:b w:val="0"/>
                <w:i w:val="0"/>
                <w:sz w:val="13"/>
              </w:rPr>
              <w:t>Ingreso de un nuevo lead.</w:t>
            </w:r>
          </w:p>
        </w:tc>
      </w:tr>
      <w:tr>
        <w:tc>
          <w:tcPr>
            <w:tcW w:type="dxa" w:w="1531"/>
          </w:tcPr>
          <w:p>
            <w:pPr>
              <w:spacing w:after="40" w:before="40"/>
              <w:jc w:val="left"/>
            </w:pPr>
            <w:r>
              <w:rPr>
                <w:b w:val="0"/>
                <w:i w:val="0"/>
                <w:sz w:val="13"/>
                <w:rFonts w:ascii="Consolas" w:hAnsi="Consolas" w:cs="Consolas"/>
              </w:rPr>
              <w:t>/lead-propuesta</w:t>
            </w:r>
          </w:p>
        </w:tc>
        <w:tc>
          <w:tcPr>
            <w:tcW w:type="dxa" w:w="794"/>
          </w:tcPr>
          <w:p>
            <w:pPr>
              <w:spacing w:after="40" w:before="40"/>
              <w:jc w:val="left"/>
            </w:pPr>
            <w:r>
              <w:rPr>
                <w:b w:val="0"/>
                <w:i w:val="0"/>
                <w:sz w:val="13"/>
              </w:rPr>
              <w:t>GET</w:t>
            </w:r>
          </w:p>
        </w:tc>
        <w:tc>
          <w:tcPr>
            <w:tcW w:type="dxa" w:w="1928"/>
          </w:tcPr>
          <w:p>
            <w:pPr>
              <w:spacing w:after="40" w:before="40"/>
              <w:jc w:val="left"/>
            </w:pPr>
            <w:r>
              <w:rPr>
                <w:b w:val="0"/>
                <w:i w:val="0"/>
                <w:sz w:val="13"/>
              </w:rPr>
              <w:t xml:space="preserve">Página </w:t>
            </w:r>
            <w:r>
              <w:rPr>
                <w:b w:val="0"/>
                <w:i w:val="0"/>
                <w:sz w:val="13"/>
                <w:rFonts w:ascii="Consolas" w:hAnsi="Consolas" w:cs="Consolas"/>
              </w:rPr>
              <w:t>/aceptar/[leadId]</w:t>
            </w:r>
            <w:r>
              <w:rPr>
                <w:b w:val="0"/>
                <w:i w:val="0"/>
                <w:sz w:val="13"/>
              </w:rPr>
              <w:t xml:space="preserve"> al cargar</w:t>
            </w:r>
          </w:p>
        </w:tc>
        <w:tc>
          <w:tcPr>
            <w:tcW w:type="dxa" w:w="2608"/>
          </w:tcPr>
          <w:p>
            <w:pPr>
              <w:spacing w:after="40" w:before="40"/>
              <w:jc w:val="left"/>
            </w:pPr>
            <w:r>
              <w:rPr>
                <w:b w:val="0"/>
                <w:i w:val="0"/>
                <w:sz w:val="13"/>
              </w:rPr>
              <w:t>Token en la cadena de consulta. Solo lectura.</w:t>
            </w:r>
          </w:p>
        </w:tc>
        <w:tc>
          <w:tcPr>
            <w:tcW w:type="dxa" w:w="1928"/>
          </w:tcPr>
          <w:p>
            <w:pPr>
              <w:spacing w:after="40" w:before="40"/>
              <w:jc w:val="left"/>
            </w:pPr>
            <w:r>
              <w:rPr>
                <w:b w:val="0"/>
                <w:i w:val="0"/>
                <w:sz w:val="13"/>
              </w:rPr>
              <w:t>Lectura de la propuesta para la página de aceptación.</w:t>
            </w:r>
          </w:p>
        </w:tc>
      </w:tr>
      <w:tr>
        <w:tc>
          <w:tcPr>
            <w:tcW w:type="dxa" w:w="1531"/>
          </w:tcPr>
          <w:p>
            <w:pPr>
              <w:spacing w:after="40" w:before="40"/>
              <w:jc w:val="left"/>
            </w:pPr>
            <w:r>
              <w:rPr>
                <w:b w:val="0"/>
                <w:i w:val="0"/>
                <w:sz w:val="13"/>
                <w:rFonts w:ascii="Consolas" w:hAnsi="Consolas" w:cs="Consolas"/>
              </w:rPr>
              <w:t>/lead-acepta</w:t>
            </w:r>
          </w:p>
        </w:tc>
        <w:tc>
          <w:tcPr>
            <w:tcW w:type="dxa" w:w="794"/>
          </w:tcPr>
          <w:p>
            <w:pPr>
              <w:spacing w:after="40" w:before="40"/>
              <w:jc w:val="left"/>
            </w:pPr>
            <w:r>
              <w:rPr>
                <w:b w:val="0"/>
                <w:i w:val="0"/>
                <w:sz w:val="13"/>
              </w:rPr>
              <w:t>POST</w:t>
            </w:r>
          </w:p>
        </w:tc>
        <w:tc>
          <w:tcPr>
            <w:tcW w:type="dxa" w:w="1928"/>
          </w:tcPr>
          <w:p>
            <w:pPr>
              <w:spacing w:after="40" w:before="40"/>
              <w:jc w:val="left"/>
            </w:pPr>
            <w:r>
              <w:rPr>
                <w:b w:val="0"/>
                <w:i w:val="0"/>
                <w:sz w:val="13"/>
              </w:rPr>
              <w:t xml:space="preserve">Página </w:t>
            </w:r>
            <w:r>
              <w:rPr>
                <w:b w:val="0"/>
                <w:i w:val="0"/>
                <w:sz w:val="13"/>
                <w:rFonts w:ascii="Consolas" w:hAnsi="Consolas" w:cs="Consolas"/>
              </w:rPr>
              <w:t>/aceptar/[leadId]</w:t>
            </w:r>
          </w:p>
        </w:tc>
        <w:tc>
          <w:tcPr>
            <w:tcW w:type="dxa" w:w="2608"/>
          </w:tcPr>
          <w:p>
            <w:pPr>
              <w:spacing w:after="40" w:before="40"/>
              <w:jc w:val="left"/>
            </w:pPr>
            <w:r>
              <w:rPr>
                <w:b w:val="0"/>
                <w:i w:val="0"/>
                <w:sz w:val="13"/>
              </w:rPr>
              <w:t xml:space="preserve">Token de un solo uso en el cuerpo, validado contra </w:t>
            </w:r>
            <w:r>
              <w:rPr>
                <w:b w:val="0"/>
                <w:i w:val="0"/>
                <w:sz w:val="13"/>
                <w:rFonts w:ascii="Consolas" w:hAnsi="Consolas" w:cs="Consolas"/>
              </w:rPr>
              <w:t>accept_token</w:t>
            </w:r>
            <w:r>
              <w:rPr>
                <w:b w:val="0"/>
                <w:i w:val="0"/>
                <w:sz w:val="13"/>
              </w:rPr>
              <w:t>.</w:t>
            </w:r>
          </w:p>
        </w:tc>
        <w:tc>
          <w:tcPr>
            <w:tcW w:type="dxa" w:w="1928"/>
          </w:tcPr>
          <w:p>
            <w:pPr>
              <w:spacing w:after="40" w:before="40"/>
              <w:jc w:val="left"/>
            </w:pPr>
            <w:r>
              <w:rPr>
                <w:b w:val="0"/>
                <w:i w:val="0"/>
                <w:sz w:val="13"/>
              </w:rPr>
              <w:t>Aceptación de la propuesta y disparo de la facturación.</w:t>
            </w:r>
          </w:p>
        </w:tc>
      </w:tr>
      <w:tr>
        <w:tc>
          <w:tcPr>
            <w:tcW w:type="dxa" w:w="1531"/>
          </w:tcPr>
          <w:p>
            <w:pPr>
              <w:spacing w:after="40" w:before="40"/>
              <w:jc w:val="left"/>
            </w:pPr>
            <w:r>
              <w:rPr>
                <w:b w:val="0"/>
                <w:i w:val="0"/>
                <w:sz w:val="13"/>
                <w:rFonts w:ascii="Consolas" w:hAnsi="Consolas" w:cs="Consolas"/>
              </w:rPr>
              <w:t>/lead-rechaza</w:t>
            </w:r>
          </w:p>
        </w:tc>
        <w:tc>
          <w:tcPr>
            <w:tcW w:type="dxa" w:w="794"/>
          </w:tcPr>
          <w:p>
            <w:pPr>
              <w:spacing w:after="40" w:before="40"/>
              <w:jc w:val="left"/>
            </w:pPr>
            <w:r>
              <w:rPr>
                <w:b w:val="0"/>
                <w:i w:val="0"/>
                <w:sz w:val="13"/>
              </w:rPr>
              <w:t>POST</w:t>
            </w:r>
          </w:p>
        </w:tc>
        <w:tc>
          <w:tcPr>
            <w:tcW w:type="dxa" w:w="1928"/>
          </w:tcPr>
          <w:p>
            <w:pPr>
              <w:spacing w:after="40" w:before="40"/>
              <w:jc w:val="left"/>
            </w:pPr>
            <w:r>
              <w:rPr>
                <w:b w:val="0"/>
                <w:i w:val="0"/>
                <w:sz w:val="13"/>
              </w:rPr>
              <w:t xml:space="preserve">Página </w:t>
            </w:r>
            <w:r>
              <w:rPr>
                <w:b w:val="0"/>
                <w:i w:val="0"/>
                <w:sz w:val="13"/>
                <w:rFonts w:ascii="Consolas" w:hAnsi="Consolas" w:cs="Consolas"/>
              </w:rPr>
              <w:t>/aceptar/[leadId]</w:t>
            </w:r>
          </w:p>
        </w:tc>
        <w:tc>
          <w:tcPr>
            <w:tcW w:type="dxa" w:w="2608"/>
          </w:tcPr>
          <w:p>
            <w:pPr>
              <w:spacing w:after="40" w:before="40"/>
              <w:jc w:val="left"/>
            </w:pPr>
            <w:r>
              <w:rPr>
                <w:b w:val="0"/>
                <w:i w:val="0"/>
                <w:sz w:val="13"/>
              </w:rPr>
              <w:t>Token de un solo uso.</w:t>
            </w:r>
          </w:p>
        </w:tc>
        <w:tc>
          <w:tcPr>
            <w:tcW w:type="dxa" w:w="1928"/>
          </w:tcPr>
          <w:p>
            <w:pPr>
              <w:spacing w:after="40" w:before="40"/>
              <w:jc w:val="left"/>
            </w:pPr>
            <w:r>
              <w:rPr>
                <w:b w:val="0"/>
                <w:i w:val="0"/>
                <w:sz w:val="13"/>
              </w:rPr>
              <w:t>Rechazo de la propuesta (el lead pasa a PERDIDO).</w:t>
            </w:r>
          </w:p>
        </w:tc>
      </w:tr>
      <w:tr>
        <w:tc>
          <w:tcPr>
            <w:tcW w:type="dxa" w:w="1531"/>
          </w:tcPr>
          <w:p>
            <w:pPr>
              <w:spacing w:after="40" w:before="40"/>
              <w:jc w:val="left"/>
            </w:pPr>
            <w:r>
              <w:rPr>
                <w:b w:val="0"/>
                <w:i w:val="0"/>
                <w:sz w:val="13"/>
                <w:rFonts w:ascii="Consolas" w:hAnsi="Consolas" w:cs="Consolas"/>
              </w:rPr>
              <w:t>/lead-modifica</w:t>
            </w:r>
          </w:p>
        </w:tc>
        <w:tc>
          <w:tcPr>
            <w:tcW w:type="dxa" w:w="794"/>
          </w:tcPr>
          <w:p>
            <w:pPr>
              <w:spacing w:after="40" w:before="40"/>
              <w:jc w:val="left"/>
            </w:pPr>
            <w:r>
              <w:rPr>
                <w:b w:val="0"/>
                <w:i w:val="0"/>
                <w:sz w:val="13"/>
              </w:rPr>
              <w:t>POST</w:t>
            </w:r>
          </w:p>
        </w:tc>
        <w:tc>
          <w:tcPr>
            <w:tcW w:type="dxa" w:w="1928"/>
          </w:tcPr>
          <w:p>
            <w:pPr>
              <w:spacing w:after="40" w:before="40"/>
              <w:jc w:val="left"/>
            </w:pPr>
            <w:r>
              <w:rPr>
                <w:b w:val="0"/>
                <w:i w:val="0"/>
                <w:sz w:val="13"/>
              </w:rPr>
              <w:t xml:space="preserve">Página </w:t>
            </w:r>
            <w:r>
              <w:rPr>
                <w:b w:val="0"/>
                <w:i w:val="0"/>
                <w:sz w:val="13"/>
                <w:rFonts w:ascii="Consolas" w:hAnsi="Consolas" w:cs="Consolas"/>
              </w:rPr>
              <w:t>/aceptar/[leadId]</w:t>
            </w:r>
          </w:p>
        </w:tc>
        <w:tc>
          <w:tcPr>
            <w:tcW w:type="dxa" w:w="2608"/>
          </w:tcPr>
          <w:p>
            <w:pPr>
              <w:spacing w:after="40" w:before="40"/>
              <w:jc w:val="left"/>
            </w:pPr>
            <w:r>
              <w:rPr>
                <w:b w:val="0"/>
                <w:i w:val="0"/>
                <w:sz w:val="13"/>
              </w:rPr>
              <w:t>Token de un solo uso.</w:t>
            </w:r>
          </w:p>
        </w:tc>
        <w:tc>
          <w:tcPr>
            <w:tcW w:type="dxa" w:w="1928"/>
          </w:tcPr>
          <w:p>
            <w:pPr>
              <w:spacing w:after="40" w:before="40"/>
              <w:jc w:val="left"/>
            </w:pPr>
            <w:r>
              <w:rPr>
                <w:b w:val="0"/>
                <w:i w:val="0"/>
                <w:sz w:val="13"/>
              </w:rPr>
              <w:t>Pedido de cambios (vuelve a EN_SEGUIMIENTO y guarda el mensaje).</w:t>
            </w:r>
          </w:p>
        </w:tc>
      </w:tr>
      <w:tr>
        <w:tc>
          <w:tcPr>
            <w:tcW w:type="dxa" w:w="1531"/>
          </w:tcPr>
          <w:p>
            <w:pPr>
              <w:spacing w:after="40" w:before="40"/>
              <w:jc w:val="left"/>
            </w:pPr>
            <w:r>
              <w:rPr>
                <w:b w:val="0"/>
                <w:i w:val="0"/>
                <w:sz w:val="13"/>
                <w:rFonts w:ascii="Consolas" w:hAnsi="Consolas" w:cs="Consolas"/>
              </w:rPr>
              <w:t>/pago-confirmado</w:t>
            </w:r>
          </w:p>
        </w:tc>
        <w:tc>
          <w:tcPr>
            <w:tcW w:type="dxa" w:w="794"/>
          </w:tcPr>
          <w:p>
            <w:pPr>
              <w:spacing w:after="40" w:before="40"/>
              <w:jc w:val="left"/>
            </w:pPr>
            <w:r>
              <w:rPr>
                <w:b w:val="0"/>
                <w:i w:val="0"/>
                <w:sz w:val="13"/>
              </w:rPr>
              <w:t>GET</w:t>
            </w:r>
          </w:p>
        </w:tc>
        <w:tc>
          <w:tcPr>
            <w:tcW w:type="dxa" w:w="1928"/>
          </w:tcPr>
          <w:p>
            <w:pPr>
              <w:spacing w:after="40" w:before="40"/>
              <w:jc w:val="left"/>
            </w:pPr>
            <w:r>
              <w:rPr>
                <w:b w:val="0"/>
                <w:i w:val="0"/>
                <w:sz w:val="13"/>
              </w:rPr>
              <w:t xml:space="preserve">Botón «Pagar ahora» del PDF de la factura, en poder del </w:t>
            </w:r>
            <w:r>
              <w:rPr>
                <w:b/>
                <w:i w:val="0"/>
                <w:sz w:val="13"/>
              </w:rPr>
              <w:t>cliente deudor</w:t>
            </w:r>
          </w:p>
        </w:tc>
        <w:tc>
          <w:tcPr>
            <w:tcW w:type="dxa" w:w="2608"/>
          </w:tcPr>
          <w:p>
            <w:pPr>
              <w:spacing w:after="40" w:before="40"/>
              <w:jc w:val="left"/>
            </w:pPr>
            <w:r>
              <w:rPr>
                <w:b/>
                <w:i w:val="0"/>
                <w:sz w:val="13"/>
              </w:rPr>
              <w:t>Ninguna.</w:t>
            </w:r>
            <w:r>
              <w:rPr>
                <w:b w:val="0"/>
                <w:i w:val="0"/>
                <w:sz w:val="13"/>
              </w:rPr>
              <w:t xml:space="preserve"> Solo el identificador de factura en la cadena de consulta (§4.3.3).</w:t>
            </w:r>
          </w:p>
        </w:tc>
        <w:tc>
          <w:tcPr>
            <w:tcW w:type="dxa" w:w="1928"/>
          </w:tcPr>
          <w:p>
            <w:pPr>
              <w:spacing w:after="40" w:before="40"/>
              <w:jc w:val="left"/>
            </w:pPr>
            <w:r>
              <w:rPr>
                <w:b w:val="0"/>
                <w:i w:val="0"/>
                <w:sz w:val="13"/>
              </w:rPr>
              <w:t>Confirmación de pago — modo de desarrollo (sin MercadoPago).</w:t>
            </w:r>
          </w:p>
        </w:tc>
      </w:tr>
      <w:tr>
        <w:tc>
          <w:tcPr>
            <w:tcW w:type="dxa" w:w="1531"/>
          </w:tcPr>
          <w:p>
            <w:pPr>
              <w:spacing w:after="40" w:before="40"/>
              <w:jc w:val="left"/>
            </w:pPr>
            <w:r>
              <w:rPr>
                <w:b w:val="0"/>
                <w:i w:val="0"/>
                <w:sz w:val="13"/>
                <w:rFonts w:ascii="Consolas" w:hAnsi="Consolas" w:cs="Consolas"/>
              </w:rPr>
              <w:t>/mp/notificacion</w:t>
            </w:r>
          </w:p>
        </w:tc>
        <w:tc>
          <w:tcPr>
            <w:tcW w:type="dxa" w:w="794"/>
          </w:tcPr>
          <w:p>
            <w:pPr>
              <w:spacing w:after="40" w:before="40"/>
              <w:jc w:val="left"/>
            </w:pPr>
            <w:r>
              <w:rPr>
                <w:b w:val="0"/>
                <w:i w:val="0"/>
                <w:sz w:val="13"/>
              </w:rPr>
              <w:t>POST</w:t>
            </w:r>
          </w:p>
        </w:tc>
        <w:tc>
          <w:tcPr>
            <w:tcW w:type="dxa" w:w="1928"/>
          </w:tcPr>
          <w:p>
            <w:pPr>
              <w:spacing w:after="40" w:before="40"/>
              <w:jc w:val="left"/>
            </w:pPr>
            <w:r>
              <w:rPr>
                <w:b w:val="0"/>
                <w:i w:val="0"/>
                <w:sz w:val="13"/>
              </w:rPr>
              <w:t>Notificación de MercadoPago (servidor a servidor), cuando cambia el estado de un pago.</w:t>
            </w:r>
            <w:r>
              <w:rPr>
                <w:b/>
                <w:i w:val="0"/>
                <w:sz w:val="13"/>
              </w:rPr>
            </w:r>
          </w:p>
        </w:tc>
        <w:tc>
          <w:tcPr>
            <w:tcW w:type="dxa" w:w="2608"/>
          </w:tcPr>
          <w:p>
            <w:pPr>
              <w:spacing w:after="40" w:before="40"/>
              <w:jc w:val="left"/>
            </w:pPr>
            <w:r>
              <w:rPr>
                <w:b/>
                <w:i w:val="0"/>
                <w:sz w:val="13"/>
              </w:rPr>
              <w:t>Firma opcional.</w:t>
            </w:r>
            <w:r>
              <w:rPr>
                <w:b w:val="0"/>
                <w:i w:val="0"/>
                <w:sz w:val="13"/>
              </w:rPr>
              <w:t xml:space="preserve"> Valida HMAC sobre x-signature con MP_WEBHOOK_SECRET; sin ese secreto configurado, no se valida, pero el pago igual se reconfirma contra la API de MercadoPago antes de aplicar cualquier efecto.</w:t>
            </w:r>
          </w:p>
        </w:tc>
        <w:tc>
          <w:tcPr>
            <w:tcW w:type="dxa" w:w="1928"/>
          </w:tcPr>
          <w:p>
            <w:pPr>
              <w:spacing w:after="40" w:before="40"/>
              <w:jc w:val="left"/>
            </w:pPr>
            <w:r>
              <w:rPr>
                <w:b w:val="0"/>
                <w:i w:val="0"/>
                <w:sz w:val="13"/>
              </w:rPr>
              <w:t>Confirmación de pago real, verificada contra la API de MercadoPago antes de marcar la factura COBRADO.</w:t>
            </w:r>
          </w:p>
        </w:tc>
      </w:tr>
      <w:tr>
        <w:tc>
          <w:tcPr>
            <w:tcW w:type="dxa" w:w="1531"/>
          </w:tcPr>
          <w:p>
            <w:pPr>
              <w:spacing w:after="40" w:before="40"/>
              <w:jc w:val="left"/>
            </w:pPr>
            <w:r>
              <w:rPr>
                <w:b w:val="0"/>
                <w:i w:val="0"/>
                <w:sz w:val="13"/>
                <w:rFonts w:ascii="Consolas" w:hAnsi="Consolas" w:cs="Consolas"/>
              </w:rPr>
              <w:t>/proyecto-cerrado</w:t>
            </w:r>
          </w:p>
        </w:tc>
        <w:tc>
          <w:tcPr>
            <w:tcW w:type="dxa" w:w="794"/>
          </w:tcPr>
          <w:p>
            <w:pPr>
              <w:spacing w:after="40" w:before="40"/>
              <w:jc w:val="left"/>
            </w:pPr>
            <w:r>
              <w:rPr>
                <w:b w:val="0"/>
                <w:i w:val="0"/>
                <w:sz w:val="13"/>
              </w:rPr>
              <w:t>POST</w:t>
            </w:r>
          </w:p>
        </w:tc>
        <w:tc>
          <w:tcPr>
            <w:tcW w:type="dxa" w:w="1928"/>
          </w:tcPr>
          <w:p>
            <w:pPr>
              <w:spacing w:after="40" w:before="40"/>
              <w:jc w:val="left"/>
            </w:pPr>
            <w:r>
              <w:rPr>
                <w:b/>
                <w:i w:val="0"/>
                <w:sz w:val="13"/>
              </w:rPr>
              <w:t>No se invoca desde el frontend</w:t>
            </w:r>
            <w:r>
              <w:rPr>
                <w:b w:val="0"/>
                <w:i w:val="0"/>
                <w:sz w:val="13"/>
              </w:rPr>
              <w:t>: petición manual del profesional (§4.3.4)</w:t>
            </w:r>
          </w:p>
        </w:tc>
        <w:tc>
          <w:tcPr>
            <w:tcW w:type="dxa" w:w="2608"/>
          </w:tcPr>
          <w:p>
            <w:pPr>
              <w:spacing w:after="40" w:before="40"/>
              <w:jc w:val="left"/>
            </w:pPr>
            <w:r>
              <w:rPr>
                <w:b/>
                <w:i w:val="0"/>
                <w:sz w:val="13"/>
              </w:rPr>
              <w:t>Ninguna.</w:t>
            </w:r>
          </w:p>
        </w:tc>
        <w:tc>
          <w:tcPr>
            <w:tcW w:type="dxa" w:w="1928"/>
          </w:tcPr>
          <w:p>
            <w:pPr>
              <w:spacing w:after="40" w:before="40"/>
              <w:jc w:val="left"/>
            </w:pPr>
            <w:r>
              <w:rPr>
                <w:b w:val="0"/>
                <w:i w:val="0"/>
                <w:sz w:val="13"/>
              </w:rPr>
              <w:t>Cierre del proyecto y solicitud de testimonio.</w:t>
            </w:r>
          </w:p>
        </w:tc>
      </w:tr>
      <w:tr>
        <w:tc>
          <w:tcPr>
            <w:tcW w:type="dxa" w:w="1531"/>
          </w:tcPr>
          <w:p>
            <w:pPr>
              <w:spacing w:after="40" w:before="40"/>
              <w:jc w:val="left"/>
            </w:pPr>
            <w:r>
              <w:rPr>
                <w:b w:val="0"/>
                <w:i w:val="0"/>
                <w:sz w:val="13"/>
                <w:rFonts w:ascii="Consolas" w:hAnsi="Consolas" w:cs="Consolas"/>
              </w:rPr>
              <w:t>/trabajo-estado</w:t>
            </w:r>
          </w:p>
        </w:tc>
        <w:tc>
          <w:tcPr>
            <w:tcW w:type="dxa" w:w="794"/>
          </w:tcPr>
          <w:p>
            <w:pPr>
              <w:spacing w:after="40" w:before="40"/>
              <w:jc w:val="left"/>
            </w:pPr>
            <w:r>
              <w:rPr>
                <w:b w:val="0"/>
                <w:i w:val="0"/>
                <w:sz w:val="13"/>
              </w:rPr>
              <w:t>POST</w:t>
            </w:r>
          </w:p>
        </w:tc>
        <w:tc>
          <w:tcPr>
            <w:tcW w:type="dxa" w:w="1928"/>
          </w:tcPr>
          <w:p>
            <w:pPr>
              <w:spacing w:after="40" w:before="40"/>
              <w:jc w:val="left"/>
            </w:pPr>
            <w:r>
              <w:rPr>
                <w:b w:val="0"/>
                <w:i w:val="0"/>
                <w:sz w:val="13"/>
              </w:rPr>
              <w:t>Tablero interno, vía el route handler /api/crm/[accion] (trabajo-estado-select.tsx)</w:t>
            </w:r>
            <w:r>
              <w:rPr>
                <w:b w:val="0"/>
                <w:i w:val="0"/>
                <w:sz w:val="13"/>
                <w:rFonts w:ascii="Consolas" w:hAnsi="Consolas" w:cs="Consolas"/>
              </w:rPr>
            </w:r>
            <w:r>
              <w:rPr>
                <w:b w:val="0"/>
                <w:i w:val="0"/>
                <w:sz w:val="13"/>
              </w:rPr>
            </w:r>
          </w:p>
        </w:tc>
        <w:tc>
          <w:tcPr>
            <w:tcW w:type="dxa" w:w="2608"/>
          </w:tcPr>
          <w:p>
            <w:pPr>
              <w:spacing w:after="40" w:before="40"/>
              <w:jc w:val="left"/>
            </w:pPr>
            <w:r>
              <w:rPr>
                <w:b w:val="0"/>
                <w:i w:val="0"/>
                <w:sz w:val="13"/>
              </w:rPr>
              <w:t>Header Auth verificado por el webhook; el route handler revalida sesión y rol admin del lado del servidor antes de reenviar la petición y agregar el header.</w:t>
            </w:r>
            <w:r>
              <w:rPr>
                <w:b/>
                <w:i w:val="0"/>
                <w:sz w:val="13"/>
              </w:rPr>
            </w:r>
            <w:r>
              <w:rPr>
                <w:b w:val="0"/>
                <w:i w:val="0"/>
                <w:sz w:val="13"/>
              </w:rPr>
            </w:r>
          </w:p>
        </w:tc>
        <w:tc>
          <w:tcPr>
            <w:tcW w:type="dxa" w:w="1928"/>
          </w:tcPr>
          <w:p>
            <w:pPr>
              <w:spacing w:after="40" w:before="40"/>
              <w:jc w:val="left"/>
            </w:pPr>
            <w:r>
              <w:rPr>
                <w:b w:val="0"/>
                <w:i w:val="0"/>
                <w:sz w:val="13"/>
              </w:rPr>
              <w:t xml:space="preserve">Actualización de </w:t>
            </w:r>
            <w:r>
              <w:rPr>
                <w:b w:val="0"/>
                <w:i w:val="0"/>
                <w:sz w:val="13"/>
                <w:rFonts w:ascii="Consolas" w:hAnsi="Consolas" w:cs="Consolas"/>
              </w:rPr>
              <w:t>estado_trabajo</w:t>
            </w:r>
            <w:r>
              <w:rPr>
                <w:b w:val="0"/>
                <w:i w:val="0"/>
                <w:sz w:val="13"/>
              </w:rPr>
              <w:t>, con sincronización a Notion.</w:t>
            </w:r>
          </w:p>
        </w:tc>
      </w:tr>
      <w:tr>
        <w:tc>
          <w:tcPr>
            <w:tcW w:type="dxa" w:w="1531"/>
          </w:tcPr>
          <w:p>
            <w:pPr>
              <w:spacing w:after="40" w:before="40"/>
              <w:jc w:val="left"/>
            </w:pPr>
            <w:r>
              <w:rPr>
                <w:b w:val="0"/>
                <w:i w:val="0"/>
                <w:sz w:val="13"/>
                <w:rFonts w:ascii="Consolas" w:hAnsi="Consolas" w:cs="Consolas"/>
              </w:rPr>
              <w:t>/lead-cancelar</w:t>
            </w:r>
          </w:p>
        </w:tc>
        <w:tc>
          <w:tcPr>
            <w:tcW w:type="dxa" w:w="794"/>
          </w:tcPr>
          <w:p>
            <w:pPr>
              <w:spacing w:after="40" w:before="40"/>
              <w:jc w:val="left"/>
            </w:pPr>
            <w:r>
              <w:rPr>
                <w:b w:val="0"/>
                <w:i w:val="0"/>
                <w:sz w:val="13"/>
              </w:rPr>
              <w:t>POST</w:t>
            </w:r>
          </w:p>
        </w:tc>
        <w:tc>
          <w:tcPr>
            <w:tcW w:type="dxa" w:w="1928"/>
          </w:tcPr>
          <w:p>
            <w:pPr>
              <w:spacing w:after="40" w:before="40"/>
              <w:jc w:val="left"/>
            </w:pPr>
            <w:r>
              <w:rPr>
                <w:b w:val="0"/>
                <w:i w:val="0"/>
                <w:sz w:val="13"/>
              </w:rPr>
              <w:t>Tablero interno, vía /api/crm/[accion] (dashboard-client.tsx)</w:t>
            </w:r>
            <w:r>
              <w:rPr>
                <w:b w:val="0"/>
                <w:i w:val="0"/>
                <w:sz w:val="13"/>
                <w:rFonts w:ascii="Consolas" w:hAnsi="Consolas" w:cs="Consolas"/>
              </w:rPr>
            </w:r>
            <w:r>
              <w:rPr>
                <w:b w:val="0"/>
                <w:i w:val="0"/>
                <w:sz w:val="13"/>
              </w:rPr>
            </w:r>
          </w:p>
        </w:tc>
        <w:tc>
          <w:tcPr>
            <w:tcW w:type="dxa" w:w="2608"/>
          </w:tcPr>
          <w:p>
            <w:pPr>
              <w:spacing w:after="40" w:before="40"/>
              <w:jc w:val="left"/>
            </w:pPr>
            <w:r>
              <w:rPr>
                <w:b w:val="0"/>
                <w:i w:val="0"/>
                <w:sz w:val="13"/>
              </w:rPr>
              <w:t>Header Auth verificado por el webhook; el route handler revalida sesión y rol admin antes de reenviar.</w:t>
            </w:r>
          </w:p>
        </w:tc>
        <w:tc>
          <w:tcPr>
            <w:tcW w:type="dxa" w:w="1928"/>
          </w:tcPr>
          <w:p>
            <w:pPr>
              <w:spacing w:after="40" w:before="40"/>
              <w:jc w:val="left"/>
            </w:pPr>
            <w:r>
              <w:rPr>
                <w:b w:val="0"/>
                <w:i w:val="0"/>
                <w:sz w:val="13"/>
              </w:rPr>
              <w:t>Cancelación del lead (lo marca como PERDIDO).</w:t>
            </w:r>
          </w:p>
        </w:tc>
      </w:tr>
      <w:tr>
        <w:tc>
          <w:tcPr>
            <w:tcW w:type="dxa" w:w="1531"/>
          </w:tcPr>
          <w:p>
            <w:pPr>
              <w:spacing w:after="40" w:before="40"/>
              <w:jc w:val="left"/>
            </w:pPr>
            <w:r>
              <w:rPr>
                <w:b w:val="0"/>
                <w:i w:val="0"/>
                <w:sz w:val="13"/>
                <w:rFonts w:ascii="Consolas" w:hAnsi="Consolas" w:cs="Consolas"/>
              </w:rPr>
              <w:t>/cambio-aceptar</w:t>
            </w:r>
          </w:p>
        </w:tc>
        <w:tc>
          <w:tcPr>
            <w:tcW w:type="dxa" w:w="794"/>
          </w:tcPr>
          <w:p>
            <w:pPr>
              <w:spacing w:after="40" w:before="40"/>
              <w:jc w:val="left"/>
            </w:pPr>
            <w:r>
              <w:rPr>
                <w:b w:val="0"/>
                <w:i w:val="0"/>
                <w:sz w:val="13"/>
              </w:rPr>
              <w:t>POST</w:t>
            </w:r>
          </w:p>
        </w:tc>
        <w:tc>
          <w:tcPr>
            <w:tcW w:type="dxa" w:w="1928"/>
          </w:tcPr>
          <w:p>
            <w:pPr>
              <w:spacing w:after="40" w:before="40"/>
              <w:jc w:val="left"/>
            </w:pPr>
            <w:r>
              <w:rPr>
                <w:b w:val="0"/>
                <w:i w:val="0"/>
                <w:sz w:val="13"/>
              </w:rPr>
              <w:t>Tablero interno, vía /api/crm/[accion]</w:t>
            </w:r>
          </w:p>
        </w:tc>
        <w:tc>
          <w:tcPr>
            <w:tcW w:type="dxa" w:w="2608"/>
          </w:tcPr>
          <w:p>
            <w:pPr>
              <w:spacing w:after="40" w:before="40"/>
              <w:jc w:val="left"/>
            </w:pPr>
            <w:r>
              <w:rPr>
                <w:b w:val="0"/>
                <w:i w:val="0"/>
                <w:sz w:val="13"/>
              </w:rPr>
              <w:t>Header Auth verificado por el webhook; el route handler revalida sesión y rol admin antes de reenviar.</w:t>
            </w:r>
          </w:p>
        </w:tc>
        <w:tc>
          <w:tcPr>
            <w:tcW w:type="dxa" w:w="1928"/>
          </w:tcPr>
          <w:p>
            <w:pPr>
              <w:spacing w:after="40" w:before="40"/>
              <w:jc w:val="left"/>
            </w:pPr>
            <w:r>
              <w:rPr>
                <w:b w:val="0"/>
                <w:i w:val="0"/>
                <w:sz w:val="13"/>
              </w:rPr>
              <w:t>Aceptación de un pedido de cambios (reenvía la propuesta).</w:t>
            </w:r>
          </w:p>
        </w:tc>
      </w:tr>
      <w:tr>
        <w:tc>
          <w:tcPr>
            <w:tcW w:type="dxa" w:w="1531"/>
          </w:tcPr>
          <w:p>
            <w:pPr>
              <w:spacing w:after="40" w:before="40"/>
              <w:jc w:val="left"/>
            </w:pPr>
            <w:r>
              <w:rPr>
                <w:b w:val="0"/>
                <w:i w:val="0"/>
                <w:sz w:val="13"/>
                <w:rFonts w:ascii="Consolas" w:hAnsi="Consolas" w:cs="Consolas"/>
              </w:rPr>
              <w:t>/cambio-rechazar</w:t>
            </w:r>
          </w:p>
        </w:tc>
        <w:tc>
          <w:tcPr>
            <w:tcW w:type="dxa" w:w="794"/>
          </w:tcPr>
          <w:p>
            <w:pPr>
              <w:spacing w:after="40" w:before="40"/>
              <w:jc w:val="left"/>
            </w:pPr>
            <w:r>
              <w:rPr>
                <w:b w:val="0"/>
                <w:i w:val="0"/>
                <w:sz w:val="13"/>
              </w:rPr>
              <w:t>POST</w:t>
            </w:r>
          </w:p>
        </w:tc>
        <w:tc>
          <w:tcPr>
            <w:tcW w:type="dxa" w:w="1928"/>
          </w:tcPr>
          <w:p>
            <w:pPr>
              <w:spacing w:after="40" w:before="40"/>
              <w:jc w:val="left"/>
            </w:pPr>
            <w:r>
              <w:rPr>
                <w:b w:val="0"/>
                <w:i w:val="0"/>
                <w:sz w:val="13"/>
              </w:rPr>
              <w:t>Tablero interno, vía /api/crm/[accion]</w:t>
            </w:r>
          </w:p>
        </w:tc>
        <w:tc>
          <w:tcPr>
            <w:tcW w:type="dxa" w:w="2608"/>
          </w:tcPr>
          <w:p>
            <w:pPr>
              <w:spacing w:after="40" w:before="40"/>
              <w:jc w:val="left"/>
            </w:pPr>
            <w:r>
              <w:rPr>
                <w:b w:val="0"/>
                <w:i w:val="0"/>
                <w:sz w:val="13"/>
              </w:rPr>
              <w:t>Header Auth verificado por el webhook; el route handler revalida sesión y rol admin antes de reenviar.</w:t>
            </w:r>
          </w:p>
        </w:tc>
        <w:tc>
          <w:tcPr>
            <w:tcW w:type="dxa" w:w="1928"/>
          </w:tcPr>
          <w:p>
            <w:pPr>
              <w:spacing w:after="40" w:before="40"/>
              <w:jc w:val="left"/>
            </w:pPr>
            <w:r>
              <w:rPr>
                <w:b w:val="0"/>
                <w:i w:val="0"/>
                <w:sz w:val="13"/>
              </w:rPr>
              <w:t>Rechazo de un pedido de cambios (mantiene la propuesta original).</w:t>
            </w:r>
          </w:p>
        </w:tc>
      </w:tr>
    </w:tbl>
    <w:p>
      <w:pPr/>
      <w:r>
        <w:rPr>
          <w:b w:val="0"/>
          <w:i/>
          <w:sz w:val="15"/>
        </w:rPr>
        <w:t>Nota. Elaboración propia a partir de los nodos de tipo Webhook del flujo exportado y de las llamadas fetch del frontend. La lista blanca de orígenes es un control del navegador (CORS) y no una autenticación: no impide la invocación desde un cliente que no sea un navegador. Sobre la inconsistencia de nomenclatura entre /lead/nuevo (con barra) y el resto de las rutas (con guion), véase §4.5.</w:t>
      </w:r>
    </w:p>
    <w:p w:rsidR="00D60FC7" w:rsidRDefault="00D60FC7"/>
    <w:p w:rsidR="00D60FC7" w:rsidRDefault="00000000">
      <w:pPr>
        <w:pStyle w:val="Ttulo2"/>
      </w:pPr>
      <w:bookmarkStart w:id="46" w:name="_Toc233808452"/>
      <w:r>
        <w:t>4.6 Seguridad</w:t>
      </w:r>
      <w:bookmarkEnd w:id="46"/>
    </w:p>
    <w:p w:rsidR="00D60FC7" w:rsidRDefault="00000000">
      <w:proofErr w:type="spellStart"/>
      <w:proofErr w:type="spellEnd"/>
      <w:proofErr w:type="spellStart"/>
      <w:proofErr w:type="spellEnd"/>
      <w:proofErr w:type="spellStart"/>
      <w:proofErr w:type="spellEnd"/>
      <w:proofErr w:type="spellStart"/>
      <w:proofErr w:type="spellEnd"/>
      <w:proofErr w:type="spellStart"/>
      <w:proofErr w:type="spellEnd"/>
      <w:r>
        <w:rPr>
          <w:b w:val="0"/>
          <w:i w:val="0"/>
        </w:rPr>
        <w:t>El acceso al tablero requiere autenticación con Supabase Auth y, además, rol de aplicación admin. Sobre las cinco tablas se habilita la seguridad a nivel de fila. Además, las políticas de lectura de leads, facturas y seguimientos no se conforman con que el usuario esté autenticado: exigen que exista una fila en profiles con role = 'admin' para el identificador de la sesión. La tabla profiles admite que cada usuario lea únicamente su propia fila, y la tabla logs queda sin política alguna, de modo que el registro de auditoría no es accesible desde el tablero. Las vistas se declaran con la opción security_invoker para que respeten las políticas de las tablas subyacentes, y se revocan explícitamente los privilegios del rol público sobre tablas y vistas. La escritura la realiza exclusivamente n8n con una clave de servicio que, por diseño, evade la RLS. La aceptación de propuestas se protege con el token de un solo uso, sin exigir cuenta. Este conjunto de mecanismos materializa los RNF1 y RNF2; el detalle de las políticas se reproduce en el Anexo C.</w:t>
      </w:r>
      <w:r>
        <w:rPr>
          <w:rFonts w:ascii="Consolas" w:hAnsi="Consolas" w:cs="Consolas"/>
          <w:b w:val="0"/>
          <w:i w:val="0"/>
        </w:rPr>
      </w:r>
      <w:r>
        <w:rPr>
          <w:b w:val="0"/>
          <w:i w:val="0"/>
        </w:rPr>
      </w:r>
      <w:r>
        <w:rPr>
          <w:rFonts w:ascii="Consolas" w:hAnsi="Consolas" w:cs="Consolas"/>
          <w:b w:val="0"/>
          <w:i w:val="0"/>
        </w:rPr>
      </w:r>
      <w:r>
        <w:rPr>
          <w:b w:val="0"/>
          <w:i w:val="0"/>
        </w:rPr>
      </w:r>
      <w:r>
        <w:rPr>
          <w:rFonts w:ascii="Consolas" w:hAnsi="Consolas" w:cs="Consolas"/>
          <w:b w:val="0"/>
          <w:i w:val="0"/>
        </w:rPr>
      </w:r>
      <w:r>
        <w:rPr>
          <w:b w:val="0"/>
          <w:i w:val="0"/>
        </w:rPr>
      </w:r>
      <w:r>
        <w:rPr>
          <w:rFonts w:ascii="Consolas" w:hAnsi="Consolas" w:cs="Consolas"/>
          <w:b w:val="0"/>
          <w:i w:val="0"/>
        </w:rPr>
      </w:r>
      <w:r>
        <w:rPr>
          <w:b w:val="0"/>
          <w:i w:val="0"/>
        </w:rPr>
      </w:r>
      <w:r>
        <w:rPr>
          <w:rFonts w:ascii="Consolas" w:hAnsi="Consolas" w:cs="Consolas"/>
          <w:b w:val="0"/>
          <w:i w:val="0"/>
        </w:rPr>
      </w:r>
      <w:r>
        <w:rPr>
          <w:b w:val="0"/>
          <w:i w:val="0"/>
        </w:rPr>
      </w:r>
      <w:r>
        <w:rPr>
          <w:rFonts w:ascii="Consolas" w:hAnsi="Consolas" w:cs="Consolas"/>
          <w:b w:val="0"/>
          <w:i w:val="0"/>
        </w:rPr>
      </w:r>
      <w:r>
        <w:rPr>
          <w:b w:val="0"/>
          <w:i w:val="0"/>
        </w:rPr>
      </w:r>
      <w:r>
        <w:rPr>
          <w:rFonts w:ascii="Consolas" w:hAnsi="Consolas" w:cs="Consolas"/>
          <w:b w:val="0"/>
          <w:i w:val="0"/>
        </w:rPr>
      </w:r>
      <w:r>
        <w:rPr>
          <w:b w:val="0"/>
          <w:i w:val="0"/>
        </w:rPr>
      </w:r>
      <w:r>
        <w:rPr>
          <w:rFonts w:ascii="Consolas" w:hAnsi="Consolas" w:cs="Consolas"/>
          <w:b w:val="0"/>
          <w:i w:val="0"/>
        </w:rPr>
      </w:r>
      <w:r>
        <w:rPr>
          <w:b w:val="0"/>
          <w:i w:val="0"/>
        </w:rPr>
      </w:r>
      <w:r>
        <w:rPr>
          <w:rFonts w:ascii="Consolas" w:hAnsi="Consolas" w:cs="Consolas"/>
          <w:b w:val="0"/>
          <w:i w:val="0"/>
        </w:rPr>
      </w:r>
      <w:r>
        <w:rPr>
          <w:b w:val="0"/>
          <w:i w:val="0"/>
        </w:rPr>
      </w:r>
    </w:p>
    <w:p>
      <w:pPr/>
      <w:r>
        <w:rPr>
          <w:b w:val="0"/>
          <w:i w:val="0"/>
        </w:rPr>
        <w:t>De esa descripción se sigue una consecuencia que corresponde explicitar: la seguridad a nivel de fila protege la lectura, no la integridad de los datos. Como no existen políticas de escritura y toda inserción o actualización se realiza con la clave de servicio, la totalidad de la protección de escritura descansa en la custodia de esa clave. En consecuencia, cualquiera que la obtenga puede escribir sin restricción sobre las cinco tablas. Este punto se agrava por el incidente de credenciales descrito en el Capítulo 6.</w:t>
      </w:r>
      <w:r>
        <w:rPr>
          <w:b/>
          <w:i w:val="0"/>
        </w:rPr>
      </w:r>
      <w:r>
        <w:rPr>
          <w:b w:val="0"/>
          <w:i w:val="0"/>
        </w:rPr>
      </w:r>
    </w:p>
    <w:p>
      <w:pPr/>
      <w:r>
        <w:rPr>
          <w:b/>
          <w:i w:val="0"/>
        </w:rPr>
        <w:t>Deudas de seguridad declaradas. El apartado quedaría incompleto si se limitara a describir los mecanismos implementados y omitiera los que faltan. La Tabla 11 las enumera. La más relevante es que siete de los doce webhooks no verifican la identidad de quien los invoca: no hay firma HMAC, ni secreto compartido, ni lista blanca de direcciones, ni mTLS. Los cuatro invocados desde el tablero interno ya exigen Header Auth con revalidación de sesión y rol, y el webhook de confirmación de pago con MercadoPago contrasta cada notificación contra la API del proveedor, aunque la validación de su propia firma sea opcional (Tabla 11, S8). La lista de orígenes permitidos que declaran algunos webhooks es un control del navegador —CORS— y no una autenticación: no impide que un cliente que no sea un navegador invoque el endpoint. En consecuencia, cualquiera que conozca las URL puede inyectar leads, cerrar proyectos, alterar el estado de un trabajo o cancelar oportunidades. Que un producto mínimo viable tenga deudas de seguridad es admisible; no declararlas no lo es, y por eso se consignan aquí antes que en el capítulo de trabajos futuros.</w:t>
      </w:r>
      <w:r>
        <w:rPr>
          <w:b w:val="0"/>
          <w:i w:val="0"/>
        </w:rPr>
      </w:r>
    </w:p>
    <w:p>
      <w:pPr>
        <w:keepNext/>
      </w:pPr>
      <w:r>
        <w:rPr>
          <w:b w:val="0"/>
          <w:i w:val="0"/>
        </w:rPr>
        <w:t>Tabla 11. Deudas de seguridad identificadas y no resueltas</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5000" w:type="pct"/>
      </w:tblPr>
      <w:tblGrid>
        <w:gridCol w:w="1758"/>
        <w:gridCol w:w="1758"/>
        <w:gridCol w:w="1758"/>
        <w:gridCol w:w="1758"/>
        <w:gridCol w:w="1758"/>
      </w:tblGrid>
      <w:tr>
        <w:trPr>
          <w:tblHeader/>
        </w:trPr>
        <w:tc>
          <w:tcPr>
            <w:tcW w:type="dxa" w:w="510"/>
            <w:shd w:val="clear" w:color="auto" w:fill="1F2937"/>
          </w:tcPr>
          <w:p>
            <w:pPr>
              <w:spacing w:after="40" w:before="40"/>
              <w:jc w:val="left"/>
            </w:pPr>
            <w:r>
              <w:rPr>
                <w:b/>
                <w:i w:val="0"/>
                <w:color w:val="FFFFFF"/>
                <w:sz w:val="13"/>
              </w:rPr>
              <w:t>#</w:t>
            </w:r>
          </w:p>
        </w:tc>
        <w:tc>
          <w:tcPr>
            <w:tcW w:type="dxa" w:w="2268"/>
            <w:shd w:val="clear" w:color="auto" w:fill="1F2937"/>
          </w:tcPr>
          <w:p>
            <w:pPr>
              <w:spacing w:after="40" w:before="40"/>
              <w:jc w:val="left"/>
            </w:pPr>
            <w:r>
              <w:rPr>
                <w:b/>
                <w:i w:val="0"/>
                <w:color w:val="FFFFFF"/>
                <w:sz w:val="13"/>
              </w:rPr>
              <w:t>Deuda de seguridad</w:t>
            </w:r>
          </w:p>
        </w:tc>
        <w:tc>
          <w:tcPr>
            <w:tcW w:type="dxa" w:w="2324"/>
            <w:shd w:val="clear" w:color="auto" w:fill="1F2937"/>
          </w:tcPr>
          <w:p>
            <w:pPr>
              <w:spacing w:after="40" w:before="40"/>
              <w:jc w:val="left"/>
            </w:pPr>
            <w:r>
              <w:rPr>
                <w:b/>
                <w:i w:val="0"/>
                <w:color w:val="FFFFFF"/>
                <w:sz w:val="13"/>
              </w:rPr>
              <w:t>Consecuencia</w:t>
            </w:r>
          </w:p>
        </w:tc>
        <w:tc>
          <w:tcPr>
            <w:tcW w:type="dxa" w:w="2494"/>
            <w:shd w:val="clear" w:color="auto" w:fill="1F2937"/>
          </w:tcPr>
          <w:p>
            <w:pPr>
              <w:spacing w:after="40" w:before="40"/>
              <w:jc w:val="left"/>
            </w:pPr>
            <w:r>
              <w:rPr>
                <w:b/>
                <w:i w:val="0"/>
                <w:color w:val="FFFFFF"/>
                <w:sz w:val="13"/>
              </w:rPr>
              <w:t>Mitigación propuesta</w:t>
            </w:r>
          </w:p>
        </w:tc>
        <w:tc>
          <w:tcPr>
            <w:tcW w:type="dxa" w:w="1191"/>
            <w:shd w:val="clear" w:color="auto" w:fill="1F2937"/>
          </w:tcPr>
          <w:p>
            <w:pPr>
              <w:spacing w:after="40" w:before="40"/>
              <w:jc w:val="left"/>
            </w:pPr>
            <w:r>
              <w:rPr>
                <w:b/>
                <w:i w:val="0"/>
                <w:color w:val="FFFFFF"/>
                <w:sz w:val="13"/>
              </w:rPr>
              <w:t>Estado</w:t>
            </w:r>
          </w:p>
        </w:tc>
      </w:tr>
      <w:tr>
        <w:tc>
          <w:tcPr>
            <w:tcW w:type="dxa" w:w="510"/>
          </w:tcPr>
          <w:p>
            <w:pPr>
              <w:spacing w:after="40" w:before="40"/>
              <w:jc w:val="left"/>
            </w:pPr>
            <w:r>
              <w:rPr>
                <w:b w:val="0"/>
                <w:i w:val="0"/>
                <w:sz w:val="13"/>
              </w:rPr>
              <w:t>S1</w:t>
            </w:r>
          </w:p>
        </w:tc>
        <w:tc>
          <w:tcPr>
            <w:tcW w:type="dxa" w:w="2268"/>
          </w:tcPr>
          <w:p>
            <w:pPr>
              <w:spacing w:after="40" w:before="40"/>
              <w:jc w:val="left"/>
            </w:pPr>
            <w:r>
              <w:rPr>
                <w:b w:val="0"/>
                <w:i w:val="0"/>
                <w:sz w:val="13"/>
              </w:rPr>
              <w:t>Siete de los doce webhooks no autentican el origen de la invocación (§4.5): lead/nuevo, lead-acepta, pago-confirmado (modo desarrollo), proyecto-cerrado, lead-propuesta, lead-rechaza y lead-modifica. Los cuatro invocados desde el tablero interno (trabajo-estado, lead-cancelar, cambio-aceptar, cambio-rechazar) ya exigen Header Auth, con revalidación de sesión y de rol admin del lado del servidor en /api/crm/[accion]. El de MercadoPago (mp/notificacion) se trata aparte en S8.</w:t>
            </w:r>
          </w:p>
        </w:tc>
        <w:tc>
          <w:tcPr>
            <w:tcW w:type="dxa" w:w="2324"/>
          </w:tcPr>
          <w:p>
            <w:pPr>
              <w:spacing w:after="40" w:before="40"/>
              <w:jc w:val="left"/>
            </w:pPr>
            <w:r>
              <w:rPr>
                <w:b w:val="0"/>
                <w:i w:val="0"/>
                <w:sz w:val="13"/>
              </w:rPr>
              <w:t>Cualquiera que conozca una de las siete URL sin protección puede inyectar leads, marcar un pago o cerrar un proyecto sin autorización.</w:t>
            </w:r>
          </w:p>
        </w:tc>
        <w:tc>
          <w:tcPr>
            <w:tcW w:type="dxa" w:w="2494"/>
          </w:tcPr>
          <w:p>
            <w:pPr>
              <w:spacing w:after="40" w:before="40"/>
              <w:jc w:val="left"/>
            </w:pPr>
            <w:r>
              <w:rPr>
                <w:b w:val="0"/>
                <w:i w:val="0"/>
                <w:sz w:val="13"/>
              </w:rPr>
              <w:t>Secreto compartido en cabecera o firma HMAC del cuerpo para los siete webhooks restantes, verificada en el primer nodo de cada flujo.</w:t>
            </w:r>
          </w:p>
        </w:tc>
        <w:tc>
          <w:tcPr>
            <w:tcW w:type="dxa" w:w="1191"/>
          </w:tcPr>
          <w:p>
            <w:pPr>
              <w:spacing w:after="40" w:before="40"/>
              <w:jc w:val="left"/>
            </w:pPr>
            <w:r>
              <w:rPr>
                <w:b w:val="0"/>
                <w:i w:val="0"/>
                <w:sz w:val="13"/>
              </w:rPr>
              <w:t>Parcial</w:t>
            </w:r>
          </w:p>
        </w:tc>
      </w:tr>
      <w:tr>
        <w:tc>
          <w:tcPr>
            <w:tcW w:type="dxa" w:w="510"/>
          </w:tcPr>
          <w:p>
            <w:pPr>
              <w:spacing w:after="40" w:before="40"/>
              <w:jc w:val="left"/>
            </w:pPr>
            <w:r>
              <w:rPr>
                <w:b w:val="0"/>
                <w:i w:val="0"/>
                <w:sz w:val="13"/>
              </w:rPr>
              <w:t>S2</w:t>
            </w:r>
          </w:p>
        </w:tc>
        <w:tc>
          <w:tcPr>
            <w:tcW w:type="dxa" w:w="2268"/>
          </w:tcPr>
          <w:p>
            <w:pPr>
              <w:spacing w:after="40" w:before="40"/>
              <w:jc w:val="left"/>
            </w:pPr>
            <w:r>
              <w:rPr>
                <w:b w:val="0"/>
                <w:i w:val="0"/>
                <w:sz w:val="13"/>
              </w:rPr>
              <w:t>El webhook de pago es un GET cuyo enlace viaja en el PDF que recibe el deudor (§4.3.3).</w:t>
            </w:r>
          </w:p>
        </w:tc>
        <w:tc>
          <w:tcPr>
            <w:tcW w:type="dxa" w:w="2324"/>
          </w:tcPr>
          <w:p>
            <w:pPr>
              <w:spacing w:after="40" w:before="40"/>
              <w:jc w:val="left"/>
            </w:pPr>
            <w:r>
              <w:rPr>
                <w:b w:val="0"/>
                <w:i w:val="0"/>
                <w:sz w:val="13"/>
              </w:rPr>
              <w:t>Mientras no había ese control, el propio cliente —o cualquier reenvío, registro intermedio o rastreador de enlaces— podía marcar una factura como COBRADO sin haber pagado, incluso con MercadoPago real activo. En el modo de desarrollo (sin credenciales), confirmar así sigue siendo el comportamiento esperado: no hay una pasarela real de la que depender.</w:t>
            </w:r>
          </w:p>
        </w:tc>
        <w:tc>
          <w:tcPr>
            <w:tcW w:type="dxa" w:w="2494"/>
          </w:tcPr>
          <w:p>
            <w:pPr>
              <w:spacing w:after="40" w:before="40"/>
              <w:jc w:val="left"/>
            </w:pPr>
            <w:r>
              <w:rPr>
                <w:b w:val="0"/>
                <w:i w:val="0"/>
                <w:sz w:val="13"/>
              </w:rPr>
              <w:t>Implementada el 23-ago-2026: el nodo Code - Validar Pago rechaza la petición si MP_ACCESS_TOKEN ya está configurado, de modo que con MercadoPago real activo el estado COBRADO solo puede originarse en la notificación del proveedor (mp/notificacion).</w:t>
            </w:r>
          </w:p>
        </w:tc>
        <w:tc>
          <w:tcPr>
            <w:tcW w:type="dxa" w:w="1191"/>
          </w:tcPr>
          <w:p>
            <w:pPr>
              <w:spacing w:after="40" w:before="40"/>
              <w:jc w:val="left"/>
            </w:pPr>
            <w:r>
              <w:rPr>
                <w:b w:val="0"/>
                <w:i w:val="0"/>
                <w:sz w:val="13"/>
              </w:rPr>
              <w:t>Parcial — cerrada para el cobro real; el modo de desarrollo sigue alcanzable por diseño</w:t>
            </w:r>
          </w:p>
        </w:tc>
      </w:tr>
      <w:tr>
        <w:tc>
          <w:tcPr>
            <w:tcW w:type="dxa" w:w="510"/>
          </w:tcPr>
          <w:p>
            <w:pPr>
              <w:spacing w:after="40" w:before="40"/>
              <w:jc w:val="left"/>
            </w:pPr>
            <w:r>
              <w:rPr>
                <w:b w:val="0"/>
                <w:i w:val="0"/>
                <w:sz w:val="13"/>
              </w:rPr>
              <w:t>S3</w:t>
            </w:r>
          </w:p>
        </w:tc>
        <w:tc>
          <w:tcPr>
            <w:tcW w:type="dxa" w:w="2268"/>
          </w:tcPr>
          <w:p>
            <w:pPr>
              <w:spacing w:after="40" w:before="40"/>
              <w:jc w:val="left"/>
            </w:pPr>
            <w:r>
              <w:rPr>
                <w:b w:val="0"/>
                <w:i w:val="0"/>
                <w:sz w:val="13"/>
              </w:rPr>
              <w:t>El token de aceptación ya tiene vencimiento (columna token_expira_en, revalidada en las cuatro consultas que lo aceptan; TOKEN_VIGENCIA_DIAS=14 por defecto), pero sigue almacenándose en claro y viaja en la cadena de consulta (§4.3.2).</w:t>
            </w:r>
          </w:p>
        </w:tc>
        <w:tc>
          <w:tcPr>
            <w:tcW w:type="dxa" w:w="2324"/>
          </w:tcPr>
          <w:p>
            <w:pPr>
              <w:spacing w:after="40" w:before="40"/>
              <w:jc w:val="left"/>
            </w:pPr>
            <w:r>
              <w:rPr>
                <w:b w:val="0"/>
                <w:i w:val="0"/>
                <w:sz w:val="13"/>
              </w:rPr>
              <w:t>Posible registro del token en historiales y logs mientras esté vigente; la ventana ya no es indefinida, queda acotada por el vencimiento.</w:t>
            </w:r>
          </w:p>
        </w:tc>
        <w:tc>
          <w:tcPr>
            <w:tcW w:type="dxa" w:w="2494"/>
          </w:tcPr>
          <w:p>
            <w:pPr>
              <w:spacing w:after="40" w:before="40"/>
              <w:jc w:val="left"/>
            </w:pPr>
            <w:r>
              <w:rPr>
                <w:b w:val="0"/>
                <w:i w:val="0"/>
                <w:sz w:val="13"/>
              </w:rPr>
              <w:t>Almacenar un resumen criptográfico del token en vez del valor en claro, y evitar registrar la cadena de consulta completa.</w:t>
            </w:r>
          </w:p>
        </w:tc>
        <w:tc>
          <w:tcPr>
            <w:tcW w:type="dxa" w:w="1191"/>
          </w:tcPr>
          <w:p>
            <w:pPr>
              <w:spacing w:after="40" w:before="40"/>
              <w:jc w:val="left"/>
            </w:pPr>
            <w:r>
              <w:rPr>
                <w:b w:val="0"/>
                <w:i w:val="0"/>
                <w:sz w:val="13"/>
              </w:rPr>
              <w:t>Parcial</w:t>
            </w:r>
          </w:p>
        </w:tc>
      </w:tr>
      <w:tr>
        <w:tc>
          <w:tcPr>
            <w:tcW w:type="dxa" w:w="510"/>
          </w:tcPr>
          <w:p>
            <w:pPr>
              <w:spacing w:after="40" w:before="40"/>
              <w:jc w:val="left"/>
            </w:pPr>
            <w:r>
              <w:rPr>
                <w:b w:val="0"/>
                <w:i w:val="0"/>
                <w:sz w:val="13"/>
              </w:rPr>
              <w:t>S4</w:t>
            </w:r>
          </w:p>
        </w:tc>
        <w:tc>
          <w:tcPr>
            <w:tcW w:type="dxa" w:w="2268"/>
          </w:tcPr>
          <w:p>
            <w:pPr>
              <w:spacing w:after="40" w:before="40"/>
              <w:jc w:val="left"/>
            </w:pPr>
            <w:r>
              <w:rPr>
                <w:b w:val="0"/>
                <w:i w:val="0"/>
                <w:sz w:val="13"/>
              </w:rPr>
              <w:t>Toda la escritura se ampara en una clave de servicio que evade la RLS.</w:t>
            </w:r>
          </w:p>
        </w:tc>
        <w:tc>
          <w:tcPr>
            <w:tcW w:type="dxa" w:w="2324"/>
          </w:tcPr>
          <w:p>
            <w:pPr>
              <w:spacing w:after="40" w:before="40"/>
              <w:jc w:val="left"/>
            </w:pPr>
            <w:r>
              <w:rPr>
                <w:b w:val="0"/>
                <w:i w:val="0"/>
                <w:sz w:val="13"/>
              </w:rPr>
              <w:t>La RLS no protege la integridad: la protección de escritura depende por completo de la custodia de esa clave.</w:t>
            </w:r>
          </w:p>
        </w:tc>
        <w:tc>
          <w:tcPr>
            <w:tcW w:type="dxa" w:w="2494"/>
          </w:tcPr>
          <w:p>
            <w:pPr>
              <w:spacing w:after="40" w:before="40"/>
              <w:jc w:val="left"/>
            </w:pPr>
            <w:r>
              <w:rPr>
                <w:b w:val="0"/>
                <w:i w:val="0"/>
                <w:sz w:val="13"/>
              </w:rPr>
              <w:t>Rotación periódica, almacenamiento en gestor de secretos y políticas de escritura acotadas por rol donde sea posible.</w:t>
            </w:r>
          </w:p>
        </w:tc>
        <w:tc>
          <w:tcPr>
            <w:tcW w:type="dxa" w:w="1191"/>
          </w:tcPr>
          <w:p>
            <w:pPr>
              <w:spacing w:after="40" w:before="40"/>
              <w:jc w:val="left"/>
            </w:pPr>
            <w:r>
              <w:rPr>
                <w:b w:val="0"/>
                <w:i w:val="0"/>
                <w:sz w:val="13"/>
              </w:rPr>
              <w:t>Abierta</w:t>
            </w:r>
          </w:p>
        </w:tc>
      </w:tr>
      <w:tr>
        <w:tc>
          <w:tcPr>
            <w:tcW w:type="dxa" w:w="510"/>
          </w:tcPr>
          <w:p>
            <w:pPr>
              <w:spacing w:after="40" w:before="40"/>
              <w:jc w:val="left"/>
            </w:pPr>
            <w:r>
              <w:rPr>
                <w:b w:val="0"/>
                <w:i w:val="0"/>
                <w:sz w:val="13"/>
              </w:rPr>
              <w:t>S5</w:t>
            </w:r>
          </w:p>
        </w:tc>
        <w:tc>
          <w:tcPr>
            <w:tcW w:type="dxa" w:w="2268"/>
          </w:tcPr>
          <w:p>
            <w:pPr>
              <w:spacing w:after="40" w:before="40"/>
              <w:jc w:val="left"/>
            </w:pPr>
            <w:r>
              <w:rPr>
                <w:b w:val="0"/>
                <w:i w:val="0"/>
                <w:sz w:val="13"/>
              </w:rPr>
              <w:t>Ausencia de frontera transaccional entre la aceptación y la facturación (§4.3.2).</w:t>
            </w:r>
          </w:p>
        </w:tc>
        <w:tc>
          <w:tcPr>
            <w:tcW w:type="dxa" w:w="2324"/>
          </w:tcPr>
          <w:p>
            <w:pPr>
              <w:spacing w:after="40" w:before="40"/>
              <w:jc w:val="left"/>
            </w:pPr>
            <w:r>
              <w:rPr>
                <w:b w:val="0"/>
                <w:i w:val="0"/>
                <w:sz w:val="13"/>
              </w:rPr>
              <w:t>Una falla intermedia produce una factura perdida sin recuperación automática.</w:t>
            </w:r>
          </w:p>
        </w:tc>
        <w:tc>
          <w:tcPr>
            <w:tcW w:type="dxa" w:w="2494"/>
          </w:tcPr>
          <w:p>
            <w:pPr>
              <w:spacing w:after="40" w:before="40"/>
              <w:jc w:val="left"/>
            </w:pPr>
            <w:r>
              <w:rPr>
                <w:b w:val="0"/>
                <w:i w:val="0"/>
                <w:sz w:val="13"/>
              </w:rPr>
              <w:t>Proceso de reconciliación que detecte leads en ACEPTADO sin factura y reintente de forma idempotente.</w:t>
            </w:r>
          </w:p>
        </w:tc>
        <w:tc>
          <w:tcPr>
            <w:tcW w:type="dxa" w:w="1191"/>
          </w:tcPr>
          <w:p>
            <w:pPr>
              <w:spacing w:after="40" w:before="40"/>
              <w:jc w:val="left"/>
            </w:pPr>
            <w:r>
              <w:rPr>
                <w:b w:val="0"/>
                <w:i w:val="0"/>
                <w:sz w:val="13"/>
              </w:rPr>
              <w:t>Abierta</w:t>
            </w:r>
          </w:p>
        </w:tc>
      </w:tr>
      <w:tr>
        <w:tc>
          <w:tcPr>
            <w:tcW w:type="dxa" w:w="510"/>
          </w:tcPr>
          <w:p>
            <w:pPr>
              <w:spacing w:after="40" w:before="40"/>
              <w:jc w:val="left"/>
            </w:pPr>
            <w:r>
              <w:rPr>
                <w:b w:val="0"/>
                <w:i w:val="0"/>
                <w:sz w:val="13"/>
              </w:rPr>
              <w:t>S6</w:t>
            </w:r>
          </w:p>
        </w:tc>
        <w:tc>
          <w:tcPr>
            <w:tcW w:type="dxa" w:w="2268"/>
          </w:tcPr>
          <w:p>
            <w:pPr>
              <w:spacing w:after="40" w:before="40"/>
              <w:jc w:val="left"/>
            </w:pPr>
            <w:r>
              <w:rPr>
                <w:b w:val="0"/>
                <w:i w:val="0"/>
                <w:sz w:val="13"/>
              </w:rPr>
              <w:t>Ausencia de idempotencia en la captación (§4.3.1).</w:t>
            </w:r>
          </w:p>
        </w:tc>
        <w:tc>
          <w:tcPr>
            <w:tcW w:type="dxa" w:w="2324"/>
          </w:tcPr>
          <w:p>
            <w:pPr>
              <w:spacing w:after="40" w:before="40"/>
              <w:jc w:val="left"/>
            </w:pPr>
            <w:r>
              <w:rPr>
                <w:b w:val="0"/>
                <w:i w:val="0"/>
                <w:sz w:val="13"/>
              </w:rPr>
              <w:t>Un doble envío genera dos leads, dos cálculos de score y dos propuestas al mismo destinatario.</w:t>
            </w:r>
          </w:p>
        </w:tc>
        <w:tc>
          <w:tcPr>
            <w:tcW w:type="dxa" w:w="2494"/>
          </w:tcPr>
          <w:p>
            <w:pPr>
              <w:spacing w:after="40" w:before="40"/>
              <w:jc w:val="left"/>
            </w:pPr>
            <w:r>
              <w:rPr>
                <w:b w:val="0"/>
                <w:i w:val="0"/>
                <w:sz w:val="13"/>
              </w:rPr>
              <w:t>Deduplicación por correo dentro de una ventana temporal y bloqueo del botón de envío.</w:t>
            </w:r>
          </w:p>
        </w:tc>
        <w:tc>
          <w:tcPr>
            <w:tcW w:type="dxa" w:w="1191"/>
          </w:tcPr>
          <w:p>
            <w:pPr>
              <w:spacing w:after="40" w:before="40"/>
              <w:jc w:val="left"/>
            </w:pPr>
            <w:r>
              <w:rPr>
                <w:b w:val="0"/>
                <w:i w:val="0"/>
                <w:sz w:val="13"/>
              </w:rPr>
              <w:t>Abierta</w:t>
            </w:r>
          </w:p>
        </w:tc>
      </w:tr>
      <w:tr>
        <w:tc>
          <w:tcPr>
            <w:tcW w:type="dxa" w:w="510"/>
          </w:tcPr>
          <w:p>
            <w:pPr>
              <w:spacing w:after="40" w:before="40"/>
              <w:jc w:val="left"/>
            </w:pPr>
            <w:r>
              <w:rPr>
                <w:b w:val="0"/>
                <w:i w:val="0"/>
                <w:sz w:val="13"/>
              </w:rPr>
              <w:t>S7</w:t>
            </w:r>
          </w:p>
        </w:tc>
        <w:tc>
          <w:tcPr>
            <w:tcW w:type="dxa" w:w="2268"/>
          </w:tcPr>
          <w:p>
            <w:pPr>
              <w:spacing w:after="40" w:before="40"/>
              <w:jc w:val="left"/>
            </w:pPr>
            <w:r>
              <w:rPr>
                <w:b w:val="0"/>
                <w:i w:val="0"/>
                <w:sz w:val="13"/>
              </w:rPr>
              <w:t>Credenciales sensibles del proyecto de Supabase compartidas por un canal no seguro durante la configuración inicial.</w:t>
            </w:r>
          </w:p>
        </w:tc>
        <w:tc>
          <w:tcPr>
            <w:tcW w:type="dxa" w:w="2324"/>
          </w:tcPr>
          <w:p>
            <w:pPr>
              <w:spacing w:after="40" w:before="40"/>
              <w:jc w:val="left"/>
            </w:pPr>
            <w:r>
              <w:rPr>
                <w:b w:val="0"/>
                <w:i w:val="0"/>
                <w:sz w:val="13"/>
              </w:rPr>
              <w:t>La confidencialidad y la integridad de los datos no están garantizadas mientras las claves no se roten.</w:t>
            </w:r>
          </w:p>
        </w:tc>
        <w:tc>
          <w:tcPr>
            <w:tcW w:type="dxa" w:w="2494"/>
          </w:tcPr>
          <w:p>
            <w:pPr>
              <w:spacing w:after="40" w:before="40"/>
              <w:jc w:val="left"/>
            </w:pPr>
            <w:r>
              <w:rPr>
                <w:b w:val="0"/>
                <w:i w:val="0"/>
                <w:sz w:val="13"/>
              </w:rPr>
              <w:t xml:space="preserve">Rotación de la </w:t>
            </w:r>
            <w:r>
              <w:rPr>
                <w:b w:val="0"/>
                <w:i w:val="0"/>
                <w:sz w:val="13"/>
                <w:rFonts w:ascii="Consolas" w:hAnsi="Consolas" w:cs="Consolas"/>
              </w:rPr>
              <w:t>secret key</w:t>
            </w:r>
            <w:r>
              <w:rPr>
                <w:b w:val="0"/>
                <w:i w:val="0"/>
                <w:sz w:val="13"/>
              </w:rPr>
              <w:t xml:space="preserve"> y de la </w:t>
            </w:r>
            <w:r>
              <w:rPr>
                <w:b w:val="0"/>
                <w:i w:val="0"/>
                <w:sz w:val="13"/>
                <w:rFonts w:ascii="Consolas" w:hAnsi="Consolas" w:cs="Consolas"/>
              </w:rPr>
              <w:t>service_role key</w:t>
            </w:r>
            <w:r>
              <w:rPr>
                <w:b w:val="0"/>
                <w:i w:val="0"/>
                <w:sz w:val="13"/>
              </w:rPr>
              <w:t>, o migración a un proyecto propio. Véase el Capítulo 6.</w:t>
            </w:r>
          </w:p>
        </w:tc>
        <w:tc>
          <w:tcPr>
            <w:tcW w:type="dxa" w:w="1191"/>
          </w:tcPr>
          <w:p>
            <w:pPr>
              <w:spacing w:after="40" w:before="40"/>
              <w:jc w:val="left"/>
            </w:pPr>
            <w:r>
              <w:rPr>
                <w:b/>
                <w:i w:val="0"/>
                <w:sz w:val="13"/>
              </w:rPr>
              <w:t>Incidente abierto</w:t>
            </w:r>
          </w:p>
        </w:tc>
      </w:tr>
      <w:tr>
        <w:tc>
          <w:tcPr>
            <w:tcW w:type="dxa" w:w="510"/>
          </w:tcPr>
          <w:p>
            <w:pPr>
              <w:spacing w:after="40" w:before="40"/>
              <w:jc w:val="left"/>
            </w:pPr>
            <w:r>
              <w:rPr>
                <w:b w:val="0"/>
                <w:i w:val="0"/>
                <w:sz w:val="13"/>
              </w:rPr>
              <w:t>S8</w:t>
            </w:r>
          </w:p>
        </w:tc>
        <w:tc>
          <w:tcPr>
            <w:tcW w:type="dxa" w:w="2268"/>
          </w:tcPr>
          <w:p>
            <w:pPr>
              <w:spacing w:after="40" w:before="40"/>
              <w:jc w:val="left"/>
            </w:pPr>
            <w:r>
              <w:rPr>
                <w:b w:val="0"/>
                <w:i w:val="0"/>
                <w:sz w:val="13"/>
              </w:rPr>
              <w:t>La validación de firma del webhook de MercadoPago (x-signature, MP_WEBHOOK_SECRET) es opcional y está deshabilitada por defecto (§4.3.3).</w:t>
            </w:r>
          </w:p>
        </w:tc>
        <w:tc>
          <w:tcPr>
            <w:tcW w:type="dxa" w:w="2324"/>
          </w:tcPr>
          <w:p>
            <w:pPr>
              <w:spacing w:after="40" w:before="40"/>
              <w:jc w:val="left"/>
            </w:pPr>
            <w:r>
              <w:rPr>
                <w:b w:val="0"/>
                <w:i w:val="0"/>
                <w:sz w:val="13"/>
              </w:rPr>
              <w:t>Sin el secreto configurado, el endpoint acepta notificaciones sin verificar que provengan de MercadoPago; el nodo Obtener Pago MP mitiga el impacto porque igual contrasta el pago contra la API antes de aplicar cualquier cambio, pero la superficie de ataque queda abierta a notificaciones falsas que fuercen consultas innecesarias.</w:t>
            </w:r>
          </w:p>
        </w:tc>
        <w:tc>
          <w:tcPr>
            <w:tcW w:type="dxa" w:w="2494"/>
          </w:tcPr>
          <w:p>
            <w:pPr>
              <w:spacing w:after="40" w:before="40"/>
              <w:jc w:val="left"/>
            </w:pPr>
            <w:r>
              <w:rPr>
                <w:b w:val="0"/>
                <w:i w:val="0"/>
                <w:sz w:val="13"/>
              </w:rPr>
              <w:t>Configurar MP_WEBHOOK_SECRET en todo entorno de producción; considerar exigirlo por defecto en vez de dejarlo opcional.</w:t>
            </w:r>
            <w:r>
              <w:rPr>
                <w:b w:val="0"/>
                <w:i w:val="0"/>
                <w:sz w:val="13"/>
                <w:rFonts w:ascii="Consolas" w:hAnsi="Consolas" w:cs="Consolas"/>
              </w:rPr>
            </w:r>
            <w:r>
              <w:rPr>
                <w:b w:val="0"/>
                <w:i w:val="0"/>
                <w:sz w:val="13"/>
              </w:rPr>
            </w:r>
            <w:r>
              <w:rPr>
                <w:b w:val="0"/>
                <w:i w:val="0"/>
                <w:sz w:val="13"/>
                <w:rFonts w:ascii="Consolas" w:hAnsi="Consolas" w:cs="Consolas"/>
              </w:rPr>
            </w:r>
            <w:r>
              <w:rPr>
                <w:b w:val="0"/>
                <w:i w:val="0"/>
                <w:sz w:val="13"/>
              </w:rPr>
            </w:r>
          </w:p>
        </w:tc>
        <w:tc>
          <w:tcPr>
            <w:tcW w:type="dxa" w:w="1191"/>
          </w:tcPr>
          <w:p>
            <w:pPr>
              <w:spacing w:after="40" w:before="40"/>
              <w:jc w:val="left"/>
            </w:pPr>
            <w:r>
              <w:rPr>
                <w:b/>
                <w:i w:val="0"/>
                <w:sz w:val="13"/>
              </w:rPr>
              <w:t>Abierta</w:t>
            </w:r>
          </w:p>
        </w:tc>
      </w:tr>
    </w:tbl>
    <w:p>
      <w:pPr/>
      <w:r>
        <w:rPr>
          <w:b w:val="0"/>
          <w:i/>
          <w:sz w:val="15"/>
        </w:rPr>
        <w:t>Nota. Elaboración propia.</w:t>
      </w:r>
    </w:p>
    <w:p w:rsidR="00D60FC7" w:rsidRDefault="00000000">
      <w:pPr>
        <w:pStyle w:val="Ttulo2"/>
      </w:pPr>
      <w:bookmarkStart w:id="47" w:name="_Toc233808453"/>
      <w:r>
        <w:t>4.7 Decisiones de diseño</w:t>
      </w:r>
      <w:bookmarkEnd w:id="47"/>
    </w:p>
    <w:p w:rsidR="00D60FC7" w:rsidRDefault="00000000">
      <w:r>
        <w:t xml:space="preserve">Se destacan tres decisiones. Primera, el </w:t>
      </w:r>
      <w:r>
        <w:rPr>
          <w:b/>
        </w:rPr>
        <w:t xml:space="preserve">patrón de tres clientes de </w:t>
      </w:r>
      <w:proofErr w:type="spellStart"/>
      <w:r>
        <w:rPr>
          <w:b/>
        </w:rPr>
        <w:t>Supabase</w:t>
      </w:r>
      <w:proofErr w:type="spellEnd"/>
      <w:r>
        <w:t xml:space="preserve">, que separa las responsabilidades de navegador, servidor y borde, en línea con el modelo de renderizado híbrido de Next.js. Segunda, la </w:t>
      </w:r>
      <w:r>
        <w:rPr>
          <w:b/>
        </w:rPr>
        <w:t>degradación defensiva</w:t>
      </w:r>
      <w:r>
        <w:t xml:space="preserve"> ante la ausencia de variables de entorno, que privilegia la resiliencia del despliegue. Tercera, la elección de </w:t>
      </w:r>
      <w:r>
        <w:rPr>
          <w:b/>
        </w:rPr>
        <w:t>tiempo real por suscripción</w:t>
      </w:r>
      <w:r>
        <w:t xml:space="preserve"> frente al sondeo periódico para el tablero, que reduce la latencia de actualización y el consumo innecesario de recursos.</w:t>
      </w:r>
    </w:p>
    <w:p w:rsidR="00D60FC7" w:rsidRDefault="00000000">
      <w:pPr>
        <w:pStyle w:val="Ttulo2"/>
      </w:pPr>
      <w:bookmarkStart w:id="48" w:name="_Toc233808454"/>
      <w:r>
        <w:t>4.8 Reglas de negocio</w:t>
      </w:r>
      <w:bookmarkEnd w:id="48"/>
    </w:p>
    <w:p w:rsidR="00D60FC7" w:rsidRDefault="00000000">
      <w:r>
        <w:rPr>
          <w:b w:val="0"/>
          <w:i w:val="0"/>
        </w:rPr>
        <w:t>El sistema aplica, de forma consistente, las siguientes reglas de negocio:</w:t>
      </w:r>
    </w:p>
    <w:p>
      <w:pPr>
        <w:pStyle w:val="Prrafodelista"/>
      </w:pPr>
      <w:r>
        <w:rPr>
          <w:b w:val="0"/>
          <w:i w:val="0"/>
        </w:rPr>
        <w:t>Solo se procesan los leads que superan la validación mínima: correo con arroba, nombre de al menos dos caracteres y presupuesto mayor que cero.</w:t>
      </w:r>
    </w:p>
    <w:p>
      <w:pPr>
        <w:pStyle w:val="Prrafodelista"/>
      </w:pPr>
      <w:r>
        <w:rPr>
          <w:b w:val="0"/>
          <w:i w:val="0"/>
        </w:rPr>
        <w:t>Todo lead inicia en estado NUEVO con score cero hasta su calificación. La inserción precede al cálculo del puntaje, de modo que existe una ventana en la que un fallo del nodo de scoring deja el lead sin propuesta (§4.3.1).</w:t>
      </w:r>
    </w:p>
    <w:p>
      <w:pPr>
        <w:pStyle w:val="Prrafodelista"/>
      </w:pPr>
      <w:r>
        <w:rPr>
          <w:b w:val="0"/>
          <w:i w:val="0"/>
        </w:rPr>
        <w:t>Solo los leads clasificados como HOT o WARM reciben propuesta; los COLD generan únicamente una notificación interna.</w:t>
      </w:r>
    </w:p>
    <w:p>
      <w:pPr>
        <w:pStyle w:val="Prrafodelista"/>
      </w:pPr>
      <w:r>
        <w:rPr>
          <w:b w:val="0"/>
          <w:i w:val="0"/>
        </w:rPr>
        <w:t>La aceptación es idempotente respecto del token: la actualización condicional atómica descrita en §4.3.2 impide que una segunda solicitud —secuencial o concurrente— produzca una segunda factura.</w:t>
      </w:r>
    </w:p>
    <w:p>
      <w:pPr>
        <w:pStyle w:val="Prrafodelista"/>
      </w:pPr>
      <w:r>
        <w:rPr>
          <w:b w:val="0"/>
          <w:i w:val="0"/>
        </w:rPr>
        <w:t>Los seguimientos se espacian de forma creciente —3×(seguimientos+1) días— y se limitan a tres; agotado el tercero sin respuesta, el lead pasa a PERDIDO.</w:t>
      </w:r>
    </w:p>
    <w:p>
      <w:pPr>
        <w:pStyle w:val="Prrafodelista"/>
      </w:pPr>
      <w:r>
        <w:rPr>
          <w:b w:val="0"/>
          <w:i w:val="0"/>
        </w:rPr>
        <w:t>Una factura solo puede pasar a COBRADO desde el estado PENDIENTE.</w:t>
      </w:r>
    </w:p>
    <w:p>
      <w:pPr>
        <w:pStyle w:val="Prrafodelista"/>
      </w:pPr>
      <w:r>
        <w:rPr>
          <w:b w:val="0"/>
          <w:i w:val="0"/>
        </w:rPr>
        <w:t>Una factura PENDIENTE pasa a VENCIDA cuando supera su fecha de vencimiento sin registro de cobro, y a ANULADA si se cancela.</w:t>
      </w:r>
    </w:p>
    <w:p>
      <w:pPr>
        <w:pStyle w:val="Prrafodelista"/>
      </w:pPr>
      <w:r>
        <w:rPr>
          <w:b w:val="0"/>
          <w:i w:val="0"/>
        </w:rPr>
        <w:t>La cancelación de un lead desde el tablero interno lo lleva a PERDIDO y solo se aplica si el lead no está ya en CERRADO o PERDIDO (véase la nota de la Tabla 9).</w:t>
      </w:r>
    </w:p>
    <w:p>
      <w:pPr>
        <w:pStyle w:val="Ttulo2"/>
      </w:pPr>
      <w:r>
        <w:rPr>
          <w:b w:val="0"/>
          <w:i w:val="0"/>
        </w:rPr>
        <w:t>4.9 Síntesis de los riesgos de diseño identificados</w:t>
      </w:r>
    </w:p>
    <w:p>
      <w:pPr/>
      <w:r>
        <w:rPr>
          <w:b w:val="0"/>
          <w:i w:val="0"/>
        </w:rPr>
        <w:t>El desarrollo de este capítulo identificó siete riesgos de diseño que el sistema no resuelve en su estado actual y que conviene reunir para que la discusión (Capítulo 6) y los trabajos futuros (Capítulo 8) los retomen sin dispersión. Cinco son de seguridad y están consignados en la Tabla 11 (S1 a S5, más S7 como incidente abierto). Los dos restantes son de consistencia funcional: la ausencia de idempotencia en la captación (S6) y la ventana de inconsistencia entre la inserción del lead y el cálculo de su puntaje.</w:t>
      </w:r>
    </w:p>
    <w:p>
      <w:pPr/>
      <w:r>
        <w:rPr>
          <w:b w:val="0"/>
          <w:i w:val="0"/>
        </w:rPr>
        <w:t>Corresponde señalar que ninguno de estos riesgos invalida la demostración de viabilidad técnica que persigue el objetivo general: todos los flujos ejecutan correctamente su camino principal, y el análisis de concurrencia de §4.3.2 resuelve con precisión el problema más difícil del ciclo. Lo que los riesgos delimitan es la distancia entre un producto mínimo viable que funciona en un entorno controlado y un sistema apto para operar con clientes reales. Esa distancia se cuantifica, en términos de trabajo pendiente, en el Capítulo 8.</w:t>
      </w:r>
    </w:p>
    <w:p w:rsidR="00D60FC7" w:rsidRDefault="00000000">
      <w:r>
        <w:br w:type="page"/>
      </w:r>
    </w:p>
    <w:p w:rsidR="00D60FC7" w:rsidRDefault="00000000">
      <w:pPr>
        <w:pStyle w:val="Ttulo1"/>
      </w:pPr>
      <w:bookmarkStart w:id="49" w:name="_Toc233808455"/>
      <w:r>
        <w:t>Capítulo 5: Resultados y Validación</w:t>
      </w:r>
      <w:bookmarkEnd w:id="49"/>
    </w:p>
    <w:p w:rsidR="00D60FC7" w:rsidRDefault="00000000">
      <w:r>
        <w:rPr>
          <w:b w:val="0"/>
          <w:i w:val="0"/>
        </w:rPr>
        <w:t>Los resultados de este capítulo corresponden a la ejecución de escenarios de prueba controlados, concebidos para verificar el comportamiento del sistema, y no a métricas de operación en producción, que exceden el alcance del trabajo (§1.7). Los escenarios se ejecutaron conforme al protocolo de la Tabla 4, que fija el entorno, las repeticiones, el conjunto de datos de prueba y el procedimiento de registro de la evidencia.</w:t>
      </w:r>
    </w:p>
    <w:p>
      <w:pPr/>
      <w:r>
        <w:rPr>
          <w:b w:val="0"/>
          <w:i w:val="0"/>
        </w:rPr>
        <w:t>Corresponde una precisión sobre el origen de los datos de este capítulo. La columna «Resultado esperado» de la Tabla 12 consigna valores derivados aritméticamente de las reglas declaradas en la Tabla 5, de modo que puede verificarse sin ejecutar el sistema. La columna «Resultado observado» recoge, en cambio, lo que produjo una corrida real del sistema levantado: los escenarios E1 a E6 y E8 a E10 se ejecutan de forma automatizada con tests/escenarios.mjs, que dispara los webhooks reales de n8n y consulta el estado resultante en la base. Cada corrida escribe docs/evidencia-validacion.md con la tabla de resultados y los tiempos medidos, de manera que cualquiera con el entorno levantado obtiene la misma evidencia y no hace falta creer en la palabra de los autores. Las entradas de la suite son exactamente las declaradas en la Tabla 12, y las aserciones verifican el desglose del score y no sólo su total: un resultado observado que reformulara al esperado no constituiría evidencia. Los escenarios E11 a E13 se dispararon manualmente el 23 de agosto de 2026 desde el editor de n8n —el protocolo ya contempla esa vía para los procesos programados, véase la columna «Escenario y entrada» de la Tabla 12—; E7 y E14 siguen sin ejecutar y su celda lo dice; el motivo se detalla más abajo.</w:t>
      </w:r>
    </w:p>
    <w:p>
      <w:pPr/>
      <w:r>
        <w:rPr>
          <w:b w:val="0"/>
          <w:i w:val="0"/>
        </w:rPr>
        <w:t>Alcance de la cobertura: los escenarios E1 a E4 verifican la normalización, la validación y el scoring (OE1 y OE2); E5 y E6, la aceptación, la facturación y la protección por token (OE3); E7, la actualización en tiempo real del tablero (OE4); E8 a E10, los caminos alternativos de la gestión posterior a la propuesta (OE3); y E11 a E13, los tres procesos programados (OE5). Los trece escenarios se trazan en la matriz del Anexo E, que en versiones anteriores omitía E8, E9 y E10.</w:t>
      </w:r>
    </w:p>
    <w:p w:rsidR="00D60FC7" w:rsidRDefault="00000000">
      <w:pPr>
        <w:spacing w:after="120" w:line="240" w:lineRule="auto"/>
        <w:jc w:val="center"/>
      </w:pPr>
      <w:r>
        <w:rPr>
          <w:b w:val="0"/>
          <w:i w:val="0"/>
          <w:sz w:val="20"/>
        </w:rPr>
        <w:t>Tabla 12. Escenarios de validación, resultado esperado y evidencia</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5000" w:type="pct"/>
      </w:tblPr>
      <w:tblGrid>
        <w:gridCol w:w="1758"/>
        <w:gridCol w:w="1758"/>
        <w:gridCol w:w="1758"/>
        <w:gridCol w:w="1758"/>
        <w:gridCol w:w="1758"/>
      </w:tblGrid>
      <w:tr>
        <w:trPr>
          <w:tblHeader/>
        </w:trPr>
        <w:tc>
          <w:tcPr>
            <w:tcW w:type="dxa" w:w="510"/>
            <w:shd w:val="clear" w:color="auto" w:fill="1F2937"/>
          </w:tcPr>
          <w:p>
            <w:pPr>
              <w:spacing w:after="40" w:before="40"/>
              <w:jc w:val="left"/>
            </w:pPr>
            <w:r>
              <w:rPr>
                <w:b/>
                <w:i w:val="0"/>
                <w:color w:val="FFFFFF"/>
                <w:sz w:val="13"/>
              </w:rPr>
              <w:t>#</w:t>
            </w:r>
          </w:p>
        </w:tc>
        <w:tc>
          <w:tcPr>
            <w:tcW w:type="dxa" w:w="2041"/>
            <w:shd w:val="clear" w:color="auto" w:fill="1F2937"/>
          </w:tcPr>
          <w:p>
            <w:pPr>
              <w:spacing w:after="40" w:before="40"/>
              <w:jc w:val="left"/>
            </w:pPr>
            <w:r>
              <w:rPr>
                <w:b/>
                <w:i w:val="0"/>
                <w:color w:val="FFFFFF"/>
                <w:sz w:val="13"/>
              </w:rPr>
              <w:t>Escenario y entrada</w:t>
            </w:r>
          </w:p>
        </w:tc>
        <w:tc>
          <w:tcPr>
            <w:tcW w:type="dxa" w:w="2268"/>
            <w:shd w:val="clear" w:color="auto" w:fill="1F2937"/>
          </w:tcPr>
          <w:p>
            <w:pPr>
              <w:spacing w:after="40" w:before="40"/>
              <w:jc w:val="left"/>
            </w:pPr>
            <w:r>
              <w:rPr>
                <w:b/>
                <w:i w:val="0"/>
                <w:color w:val="FFFFFF"/>
                <w:sz w:val="13"/>
              </w:rPr>
              <w:t>Resultado esperado (derivado de la Tabla 5)</w:t>
            </w:r>
          </w:p>
        </w:tc>
        <w:tc>
          <w:tcPr>
            <w:tcW w:type="dxa" w:w="2041"/>
            <w:shd w:val="clear" w:color="auto" w:fill="1F2937"/>
          </w:tcPr>
          <w:p>
            <w:pPr>
              <w:spacing w:after="40" w:before="40"/>
              <w:jc w:val="left"/>
            </w:pPr>
            <w:r>
              <w:rPr>
                <w:b/>
                <w:i w:val="0"/>
                <w:color w:val="FFFFFF"/>
                <w:sz w:val="13"/>
              </w:rPr>
              <w:t>Resultado observado (valores de la corrida)</w:t>
            </w:r>
          </w:p>
        </w:tc>
        <w:tc>
          <w:tcPr>
            <w:tcW w:type="dxa" w:w="1928"/>
            <w:shd w:val="clear" w:color="auto" w:fill="1F2937"/>
          </w:tcPr>
          <w:p>
            <w:pPr>
              <w:spacing w:after="40" w:before="40"/>
              <w:jc w:val="left"/>
            </w:pPr>
            <w:r>
              <w:rPr>
                <w:b/>
                <w:i w:val="0"/>
                <w:color w:val="FFFFFF"/>
                <w:sz w:val="13"/>
              </w:rPr>
              <w:t>Evidencia</w:t>
            </w:r>
          </w:p>
        </w:tc>
      </w:tr>
      <w:tr>
        <w:tc>
          <w:tcPr>
            <w:tcW w:type="dxa" w:w="510"/>
          </w:tcPr>
          <w:p>
            <w:pPr>
              <w:spacing w:after="40" w:before="40"/>
              <w:jc w:val="left"/>
            </w:pPr>
            <w:r>
              <w:rPr>
                <w:b w:val="0"/>
                <w:i w:val="0"/>
                <w:sz w:val="13"/>
              </w:rPr>
              <w:t>E1</w:t>
            </w:r>
          </w:p>
        </w:tc>
        <w:tc>
          <w:tcPr>
            <w:tcW w:type="dxa" w:w="2041"/>
          </w:tcPr>
          <w:p>
            <w:pPr>
              <w:spacing w:after="40" w:before="40"/>
              <w:jc w:val="left"/>
            </w:pPr>
            <w:r>
              <w:rPr>
                <w:b w:val="0"/>
                <w:i w:val="0"/>
                <w:sz w:val="13"/>
              </w:rPr>
              <w:t xml:space="preserve">Lead válido de alto valor: </w:t>
            </w:r>
            <w:r>
              <w:rPr>
                <w:b w:val="0"/>
                <w:i w:val="0"/>
                <w:sz w:val="13"/>
                <w:rFonts w:ascii="Consolas" w:hAnsi="Consolas" w:cs="Consolas"/>
              </w:rPr>
              <w:t>desarrollo_web</w:t>
            </w:r>
            <w:r>
              <w:rPr>
                <w:b w:val="0"/>
                <w:i w:val="0"/>
                <w:sz w:val="13"/>
              </w:rPr>
              <w:t>, USD 5000, urgencia alta, con teléfono de más de 6 caracteres y descripción de más de 50.</w:t>
            </w:r>
          </w:p>
        </w:tc>
        <w:tc>
          <w:tcPr>
            <w:tcW w:type="dxa" w:w="2268"/>
          </w:tcPr>
          <w:p>
            <w:pPr>
              <w:spacing w:after="40" w:before="40"/>
              <w:jc w:val="left"/>
            </w:pPr>
            <w:r>
              <w:rPr>
                <w:b w:val="0"/>
                <w:i w:val="0"/>
                <w:sz w:val="13"/>
              </w:rPr>
              <w:t xml:space="preserve">score = 40 + 30 + 20 + 5 + 5 = </w:t>
            </w:r>
            <w:r>
              <w:rPr>
                <w:b/>
                <w:i w:val="0"/>
                <w:sz w:val="13"/>
              </w:rPr>
              <w:t>100</w:t>
            </w:r>
            <w:r>
              <w:rPr>
                <w:b w:val="0"/>
                <w:i w:val="0"/>
                <w:sz w:val="13"/>
              </w:rPr>
              <w:t xml:space="preserve">; nivel HOT; propuesta generada y enviada; estado PROPUESTA_ENVIADA; una fila en </w:t>
            </w:r>
            <w:r>
              <w:rPr>
                <w:b w:val="0"/>
                <w:i w:val="0"/>
                <w:sz w:val="13"/>
                <w:rFonts w:ascii="Consolas" w:hAnsi="Consolas" w:cs="Consolas"/>
              </w:rPr>
              <w:t>leads</w:t>
            </w:r>
            <w:r>
              <w:rPr>
                <w:b w:val="0"/>
                <w:i w:val="0"/>
                <w:sz w:val="13"/>
              </w:rPr>
              <w:t>.</w:t>
            </w:r>
          </w:p>
        </w:tc>
        <w:tc>
          <w:tcPr>
            <w:tcW w:type="dxa" w:w="2041"/>
          </w:tcPr>
          <w:p>
            <w:pPr>
              <w:spacing w:after="40" w:before="40"/>
              <w:jc w:val="left"/>
            </w:pPr>
            <w:r>
              <w:rPr>
                <w:b w:val="0"/>
                <w:i w:val="0"/>
                <w:sz w:val="13"/>
              </w:rPr>
              <w:t>score = 100 (40 + 30 + 20 + 5 + 5) · tier = HOT · estado = PROPUESTA_ENVIADA · token de aceptación generado y con fecha de vencimiento · 1 fila en leads.</w:t>
            </w:r>
          </w:p>
        </w:tc>
        <w:tc>
          <w:tcPr>
            <w:tcW w:type="dxa" w:w="1928"/>
          </w:tcPr>
          <w:p>
            <w:pPr>
              <w:spacing w:after="40" w:before="40"/>
              <w:jc w:val="left"/>
            </w:pPr>
            <w:r>
              <w:rPr>
                <w:b w:val="0"/>
                <w:i w:val="0"/>
                <w:sz w:val="13"/>
              </w:rPr>
              <w:t>Figura 16 (clasificación por score y nivel) y Figura 8 (flujo de captación).</w:t>
            </w:r>
          </w:p>
        </w:tc>
      </w:tr>
      <w:tr>
        <w:tc>
          <w:tcPr>
            <w:tcW w:type="dxa" w:w="510"/>
          </w:tcPr>
          <w:p>
            <w:pPr>
              <w:spacing w:after="40" w:before="40"/>
              <w:jc w:val="left"/>
            </w:pPr>
            <w:r>
              <w:rPr>
                <w:b w:val="0"/>
                <w:i w:val="0"/>
                <w:sz w:val="13"/>
              </w:rPr>
              <w:t>E2</w:t>
            </w:r>
          </w:p>
        </w:tc>
        <w:tc>
          <w:tcPr>
            <w:tcW w:type="dxa" w:w="2041"/>
          </w:tcPr>
          <w:p>
            <w:pPr>
              <w:spacing w:after="40" w:before="40"/>
              <w:jc w:val="left"/>
            </w:pPr>
            <w:r>
              <w:rPr>
                <w:b w:val="0"/>
                <w:i w:val="0"/>
                <w:sz w:val="13"/>
              </w:rPr>
              <w:t xml:space="preserve">Lead válido de valor medio: </w:t>
            </w:r>
            <w:r>
              <w:rPr>
                <w:b w:val="0"/>
                <w:i w:val="0"/>
                <w:sz w:val="13"/>
                <w:rFonts w:ascii="Consolas" w:hAnsi="Consolas" w:cs="Consolas"/>
              </w:rPr>
              <w:t>consultoria</w:t>
            </w:r>
            <w:r>
              <w:rPr>
                <w:b w:val="0"/>
                <w:i w:val="0"/>
                <w:sz w:val="13"/>
              </w:rPr>
              <w:t>, USD 1000, urgencia media, sin teléfono y descripción de menos de 50 caracteres.</w:t>
            </w:r>
          </w:p>
        </w:tc>
        <w:tc>
          <w:tcPr>
            <w:tcW w:type="dxa" w:w="2268"/>
          </w:tcPr>
          <w:p>
            <w:pPr>
              <w:spacing w:after="40" w:before="40"/>
              <w:jc w:val="left"/>
            </w:pPr>
            <w:r>
              <w:rPr>
                <w:b w:val="0"/>
                <w:i w:val="0"/>
                <w:sz w:val="13"/>
              </w:rPr>
              <w:t xml:space="preserve">score = 20 + 15 + 12 + 0 + 0 = </w:t>
            </w:r>
            <w:r>
              <w:rPr>
                <w:b/>
                <w:i w:val="0"/>
                <w:sz w:val="13"/>
              </w:rPr>
              <w:t>47</w:t>
            </w:r>
            <w:r>
              <w:rPr>
                <w:b w:val="0"/>
                <w:i w:val="0"/>
                <w:sz w:val="13"/>
              </w:rPr>
              <w:t>; nivel WARM; propuesta enviada; estado PROPUESTA_ENVIADA.</w:t>
            </w:r>
          </w:p>
        </w:tc>
        <w:tc>
          <w:tcPr>
            <w:tcW w:type="dxa" w:w="2041"/>
          </w:tcPr>
          <w:p>
            <w:pPr>
              <w:spacing w:after="40" w:before="40"/>
              <w:jc w:val="left"/>
            </w:pPr>
            <w:r>
              <w:rPr>
                <w:b w:val="0"/>
                <w:i w:val="0"/>
                <w:sz w:val="13"/>
              </w:rPr>
              <w:t>score = 47 (20 + 15 + 12 + 0 + 0) · tier = WARM · estado = PROPUESTA_ENVIADA.</w:t>
            </w:r>
          </w:p>
        </w:tc>
        <w:tc>
          <w:tcPr>
            <w:tcW w:type="dxa" w:w="1928"/>
          </w:tcPr>
          <w:p>
            <w:pPr>
              <w:spacing w:after="40" w:before="40"/>
              <w:jc w:val="left"/>
            </w:pPr>
            <w:r>
              <w:rPr>
                <w:b/>
                <w:i w:val="0"/>
                <w:sz w:val="13"/>
              </w:rPr>
              <w:t>Corrida automatizada de tests/escenarios.mjs (docs/evidencia-validacion.md). La Figura 16 documenta otro caso y no se cita para este escenario.</w:t>
            </w:r>
          </w:p>
        </w:tc>
      </w:tr>
      <w:tr>
        <w:tc>
          <w:tcPr>
            <w:tcW w:type="dxa" w:w="510"/>
          </w:tcPr>
          <w:p>
            <w:pPr>
              <w:spacing w:after="40" w:before="40"/>
              <w:jc w:val="left"/>
            </w:pPr>
            <w:r>
              <w:rPr>
                <w:b w:val="0"/>
                <w:i w:val="0"/>
                <w:sz w:val="13"/>
              </w:rPr>
              <w:t>E3</w:t>
            </w:r>
          </w:p>
        </w:tc>
        <w:tc>
          <w:tcPr>
            <w:tcW w:type="dxa" w:w="2041"/>
          </w:tcPr>
          <w:p>
            <w:pPr>
              <w:spacing w:after="40" w:before="40"/>
              <w:jc w:val="left"/>
            </w:pPr>
            <w:r>
              <w:rPr>
                <w:b w:val="0"/>
                <w:i w:val="0"/>
                <w:sz w:val="13"/>
              </w:rPr>
              <w:t xml:space="preserve">Lead válido de bajo valor: </w:t>
            </w:r>
            <w:r>
              <w:rPr>
                <w:b w:val="0"/>
                <w:i w:val="0"/>
                <w:sz w:val="13"/>
                <w:rFonts w:ascii="Consolas" w:hAnsi="Consolas" w:cs="Consolas"/>
              </w:rPr>
              <w:t>soporte</w:t>
            </w:r>
            <w:r>
              <w:rPr>
                <w:b w:val="0"/>
                <w:i w:val="0"/>
                <w:sz w:val="13"/>
              </w:rPr>
              <w:t>, USD 300, urgencia baja, sin teléfono y descripción breve.</w:t>
            </w:r>
          </w:p>
        </w:tc>
        <w:tc>
          <w:tcPr>
            <w:tcW w:type="dxa" w:w="2268"/>
          </w:tcPr>
          <w:p>
            <w:pPr>
              <w:spacing w:after="40" w:before="40"/>
              <w:jc w:val="left"/>
            </w:pPr>
            <w:r>
              <w:rPr>
                <w:b w:val="0"/>
                <w:i w:val="0"/>
                <w:sz w:val="13"/>
              </w:rPr>
              <w:t xml:space="preserve">score = 10 + 5 + 5 = </w:t>
            </w:r>
            <w:r>
              <w:rPr>
                <w:b/>
                <w:i w:val="0"/>
                <w:sz w:val="13"/>
              </w:rPr>
              <w:t>20</w:t>
            </w:r>
            <w:r>
              <w:rPr>
                <w:b w:val="0"/>
                <w:i w:val="0"/>
                <w:sz w:val="13"/>
              </w:rPr>
              <w:t xml:space="preserve">; nivel COLD; </w:t>
            </w:r>
            <w:r>
              <w:rPr>
                <w:b/>
                <w:i w:val="0"/>
                <w:sz w:val="13"/>
              </w:rPr>
              <w:t>sin</w:t>
            </w:r>
            <w:r>
              <w:rPr>
                <w:b w:val="0"/>
                <w:i w:val="0"/>
                <w:sz w:val="13"/>
              </w:rPr>
              <w:t xml:space="preserve"> propuesta; notificación interna por Telegram; el lead permanece en NUEVO.</w:t>
            </w:r>
          </w:p>
        </w:tc>
        <w:tc>
          <w:tcPr>
            <w:tcW w:type="dxa" w:w="2041"/>
          </w:tcPr>
          <w:p>
            <w:pPr>
              <w:spacing w:after="40" w:before="40"/>
              <w:jc w:val="left"/>
            </w:pPr>
            <w:r>
              <w:rPr>
                <w:b w:val="0"/>
                <w:i w:val="0"/>
                <w:sz w:val="13"/>
              </w:rPr>
              <w:t>score = 20 (10 + 5 + 5 + 0 + 0) · tier = COLD · estado = NUEVO (no se envió propuesta).</w:t>
            </w:r>
          </w:p>
        </w:tc>
        <w:tc>
          <w:tcPr>
            <w:tcW w:type="dxa" w:w="1928"/>
          </w:tcPr>
          <w:p>
            <w:pPr>
              <w:spacing w:after="40" w:before="40"/>
              <w:jc w:val="left"/>
            </w:pPr>
            <w:r>
              <w:rPr>
                <w:b/>
                <w:i w:val="0"/>
                <w:sz w:val="13"/>
              </w:rPr>
              <w:t>Corrida automatizada de tests/escenarios.mjs (docs/evidencia-validacion.md). La Figura 16 documenta otro caso y no se cita para este escenario.</w:t>
            </w:r>
          </w:p>
        </w:tc>
      </w:tr>
      <w:tr>
        <w:tc>
          <w:tcPr>
            <w:tcW w:type="dxa" w:w="510"/>
          </w:tcPr>
          <w:p>
            <w:pPr>
              <w:spacing w:after="40" w:before="40"/>
              <w:jc w:val="left"/>
            </w:pPr>
            <w:r>
              <w:rPr>
                <w:b w:val="0"/>
                <w:i w:val="0"/>
                <w:sz w:val="13"/>
              </w:rPr>
              <w:t>E4</w:t>
            </w:r>
          </w:p>
        </w:tc>
        <w:tc>
          <w:tcPr>
            <w:tcW w:type="dxa" w:w="2041"/>
          </w:tcPr>
          <w:p>
            <w:pPr>
              <w:spacing w:after="40" w:before="40"/>
              <w:jc w:val="left"/>
            </w:pPr>
            <w:r>
              <w:rPr>
                <w:b w:val="0"/>
                <w:i w:val="0"/>
                <w:sz w:val="13"/>
              </w:rPr>
              <w:t>Lead inválido: nombre de un carácter, correo sin arroba y presupuesto cero.</w:t>
            </w:r>
          </w:p>
        </w:tc>
        <w:tc>
          <w:tcPr>
            <w:tcW w:type="dxa" w:w="2268"/>
          </w:tcPr>
          <w:p>
            <w:pPr>
              <w:spacing w:after="40" w:before="40"/>
              <w:jc w:val="left"/>
            </w:pPr>
            <w:r>
              <w:rPr>
                <w:b w:val="0"/>
                <w:i w:val="0"/>
                <w:sz w:val="13"/>
              </w:rPr>
              <w:t xml:space="preserve">Las tres validaciones fallan; el flujo se detiene; </w:t>
            </w:r>
            <w:r>
              <w:rPr>
                <w:b/>
                <w:i w:val="0"/>
                <w:sz w:val="13"/>
              </w:rPr>
              <w:t>0 filas nuevas</w:t>
            </w:r>
            <w:r>
              <w:rPr>
                <w:b w:val="0"/>
                <w:i w:val="0"/>
                <w:sz w:val="13"/>
              </w:rPr>
              <w:t xml:space="preserve"> en </w:t>
            </w:r>
            <w:r>
              <w:rPr>
                <w:b w:val="0"/>
                <w:i w:val="0"/>
                <w:sz w:val="13"/>
                <w:rFonts w:ascii="Consolas" w:hAnsi="Consolas" w:cs="Consolas"/>
              </w:rPr>
              <w:t>leads</w:t>
            </w:r>
            <w:r>
              <w:rPr>
                <w:b w:val="0"/>
                <w:i w:val="0"/>
                <w:sz w:val="13"/>
              </w:rPr>
              <w:t xml:space="preserve">; una fila en </w:t>
            </w:r>
            <w:r>
              <w:rPr>
                <w:b w:val="0"/>
                <w:i w:val="0"/>
                <w:sz w:val="13"/>
                <w:rFonts w:ascii="Consolas" w:hAnsi="Consolas" w:cs="Consolas"/>
              </w:rPr>
              <w:t>logs</w:t>
            </w:r>
            <w:r>
              <w:rPr>
                <w:b w:val="0"/>
                <w:i w:val="0"/>
                <w:sz w:val="13"/>
              </w:rPr>
              <w:t xml:space="preserve"> con nivel ERROR.</w:t>
            </w:r>
          </w:p>
        </w:tc>
        <w:tc>
          <w:tcPr>
            <w:tcW w:type="dxa" w:w="2041"/>
          </w:tcPr>
          <w:p>
            <w:pPr>
              <w:spacing w:after="40" w:before="40"/>
              <w:jc w:val="left"/>
            </w:pPr>
            <w:r>
              <w:rPr>
                <w:b w:val="0"/>
                <w:i w:val="0"/>
                <w:sz w:val="13"/>
              </w:rPr>
              <w:t>filas nuevas en leads = 0 · el webhook respondió sin caerse · 1 fila nueva en logs con nivel ERROR.</w:t>
            </w:r>
          </w:p>
        </w:tc>
        <w:tc>
          <w:tcPr>
            <w:tcW w:type="dxa" w:w="1928"/>
          </w:tcPr>
          <w:p>
            <w:pPr>
              <w:spacing w:after="40" w:before="40"/>
              <w:jc w:val="left"/>
            </w:pPr>
            <w:r>
              <w:rPr>
                <w:b w:val="0"/>
                <w:i w:val="0"/>
                <w:sz w:val="13"/>
              </w:rPr>
              <w:t>Figura 17 (mensaje de validación en el formulario) y corrida automatizada de tests/escenarios.mjs (docs/evidencia-validacion.md), que envía las tres condiciones inválidas a la vez. La figura ilustra una sola de ellas porque el formulario valida de a un campo por vez.</w:t>
            </w:r>
          </w:p>
        </w:tc>
      </w:tr>
      <w:tr>
        <w:tc>
          <w:tcPr>
            <w:tcW w:type="dxa" w:w="510"/>
          </w:tcPr>
          <w:p>
            <w:pPr>
              <w:spacing w:after="40" w:before="40"/>
              <w:jc w:val="left"/>
            </w:pPr>
            <w:r>
              <w:rPr>
                <w:b w:val="0"/>
                <w:i w:val="0"/>
                <w:sz w:val="13"/>
              </w:rPr>
              <w:t>E5</w:t>
            </w:r>
          </w:p>
        </w:tc>
        <w:tc>
          <w:tcPr>
            <w:tcW w:type="dxa" w:w="2041"/>
          </w:tcPr>
          <w:p>
            <w:pPr>
              <w:spacing w:after="40" w:before="40"/>
              <w:jc w:val="left"/>
            </w:pPr>
            <w:r>
              <w:rPr>
                <w:b w:val="0"/>
                <w:i w:val="0"/>
                <w:sz w:val="13"/>
              </w:rPr>
              <w:t>Aceptación con token válido de una propuesta HOT.</w:t>
            </w:r>
          </w:p>
        </w:tc>
        <w:tc>
          <w:tcPr>
            <w:tcW w:type="dxa" w:w="2268"/>
          </w:tcPr>
          <w:p>
            <w:pPr>
              <w:spacing w:after="40" w:before="40"/>
              <w:jc w:val="left"/>
            </w:pPr>
            <w:r>
              <w:rPr>
                <w:b w:val="0"/>
                <w:i w:val="0"/>
                <w:sz w:val="13"/>
              </w:rPr>
              <w:t xml:space="preserve">Estado ACEPTADO; generación de la factura en PDF; envío por correo; una fila en </w:t>
            </w:r>
            <w:r>
              <w:rPr>
                <w:b w:val="0"/>
                <w:i w:val="0"/>
                <w:sz w:val="13"/>
                <w:rFonts w:ascii="Consolas" w:hAnsi="Consolas" w:cs="Consolas"/>
              </w:rPr>
              <w:t>facturas</w:t>
            </w:r>
            <w:r>
              <w:rPr>
                <w:b w:val="0"/>
                <w:i w:val="0"/>
                <w:sz w:val="13"/>
              </w:rPr>
              <w:t xml:space="preserve"> con </w:t>
            </w:r>
            <w:r>
              <w:rPr>
                <w:b w:val="0"/>
                <w:i w:val="0"/>
                <w:sz w:val="13"/>
                <w:rFonts w:ascii="Consolas" w:hAnsi="Consolas" w:cs="Consolas"/>
              </w:rPr>
              <w:t>fecha_vencimiento</w:t>
            </w:r>
            <w:r>
              <w:rPr>
                <w:b w:val="0"/>
                <w:i w:val="0"/>
                <w:sz w:val="13"/>
              </w:rPr>
              <w:t xml:space="preserve"> = emisión + 15 días; estado FACTURADO; notificación.</w:t>
            </w:r>
          </w:p>
        </w:tc>
        <w:tc>
          <w:tcPr>
            <w:tcW w:type="dxa" w:w="2041"/>
          </w:tcPr>
          <w:p>
            <w:pPr>
              <w:spacing w:after="40" w:before="40"/>
              <w:jc w:val="left"/>
            </w:pPr>
            <w:r>
              <w:rPr>
                <w:b w:val="0"/>
                <w:i w:val="0"/>
                <w:sz w:val="13"/>
              </w:rPr>
              <w:t>estado = FACTURADO · 1 fila en facturas · fecha_vencimiento − fecha_emision = 15 días.</w:t>
            </w:r>
          </w:p>
        </w:tc>
        <w:tc>
          <w:tcPr>
            <w:tcW w:type="dxa" w:w="1928"/>
          </w:tcPr>
          <w:p>
            <w:pPr>
              <w:spacing w:after="40" w:before="40"/>
              <w:jc w:val="left"/>
            </w:pPr>
            <w:r>
              <w:rPr>
                <w:b w:val="0"/>
                <w:i w:val="0"/>
                <w:sz w:val="13"/>
              </w:rPr>
              <w:t>Figura 18 (aceptación satisfactoria), Figura 13 (correo de propuesta), Figura 14 (correo de factura) y Figura 15 (comprobante en PDF).</w:t>
            </w:r>
            <w:r>
              <w:rPr>
                <w:b/>
                <w:i w:val="0"/>
                <w:sz w:val="13"/>
              </w:rPr>
            </w:r>
            <w:r>
              <w:rPr>
                <w:b w:val="0"/>
                <w:i w:val="0"/>
                <w:sz w:val="13"/>
              </w:rPr>
            </w:r>
          </w:p>
        </w:tc>
      </w:tr>
      <w:tr>
        <w:tc>
          <w:tcPr>
            <w:tcW w:type="dxa" w:w="510"/>
          </w:tcPr>
          <w:p>
            <w:pPr>
              <w:spacing w:after="40" w:before="40"/>
              <w:jc w:val="left"/>
            </w:pPr>
            <w:r>
              <w:rPr>
                <w:b w:val="0"/>
                <w:i w:val="0"/>
                <w:sz w:val="13"/>
              </w:rPr>
              <w:t>E6</w:t>
            </w:r>
          </w:p>
        </w:tc>
        <w:tc>
          <w:tcPr>
            <w:tcW w:type="dxa" w:w="2041"/>
          </w:tcPr>
          <w:p>
            <w:pPr>
              <w:spacing w:after="40" w:before="40"/>
              <w:jc w:val="left"/>
            </w:pPr>
            <w:r>
              <w:rPr>
                <w:b w:val="0"/>
                <w:i w:val="0"/>
                <w:sz w:val="13"/>
              </w:rPr>
              <w:t>Reutilización del mismo enlace de aceptación: dos invocaciones consecutivas y dos concurrentes.</w:t>
            </w:r>
          </w:p>
        </w:tc>
        <w:tc>
          <w:tcPr>
            <w:tcW w:type="dxa" w:w="2268"/>
          </w:tcPr>
          <w:p>
            <w:pPr>
              <w:spacing w:after="40" w:before="40"/>
              <w:jc w:val="left"/>
            </w:pPr>
            <w:r>
              <w:rPr>
                <w:b w:val="0"/>
                <w:i w:val="0"/>
                <w:sz w:val="13"/>
              </w:rPr>
              <w:t xml:space="preserve">La primera aplica; las tres restantes no afectan ninguna fila y se derivan al nodo de operación nula; </w:t>
            </w:r>
            <w:r>
              <w:rPr>
                <w:b/>
                <w:i w:val="0"/>
                <w:sz w:val="13"/>
              </w:rPr>
              <w:t>exactamente 1 fila</w:t>
            </w:r>
            <w:r>
              <w:rPr>
                <w:b w:val="0"/>
                <w:i w:val="0"/>
                <w:sz w:val="13"/>
              </w:rPr>
              <w:t xml:space="preserve"> en </w:t>
            </w:r>
            <w:r>
              <w:rPr>
                <w:b w:val="0"/>
                <w:i w:val="0"/>
                <w:sz w:val="13"/>
                <w:rFonts w:ascii="Consolas" w:hAnsi="Consolas" w:cs="Consolas"/>
              </w:rPr>
              <w:t>facturas</w:t>
            </w:r>
            <w:r>
              <w:rPr>
                <w:b w:val="0"/>
                <w:i w:val="0"/>
                <w:sz w:val="13"/>
              </w:rPr>
              <w:t xml:space="preserve"> para ese </w:t>
            </w:r>
            <w:r>
              <w:rPr>
                <w:b w:val="0"/>
                <w:i w:val="0"/>
                <w:sz w:val="13"/>
                <w:rFonts w:ascii="Consolas" w:hAnsi="Consolas" w:cs="Consolas"/>
              </w:rPr>
              <w:t>lead_id</w:t>
            </w:r>
            <w:r>
              <w:rPr>
                <w:b w:val="0"/>
                <w:i w:val="0"/>
                <w:sz w:val="13"/>
              </w:rPr>
              <w:t>.</w:t>
            </w:r>
          </w:p>
        </w:tc>
        <w:tc>
          <w:tcPr>
            <w:tcW w:type="dxa" w:w="2041"/>
          </w:tcPr>
          <w:p>
            <w:pPr>
              <w:spacing w:after="40" w:before="40"/>
              <w:jc w:val="left"/>
            </w:pPr>
            <w:r>
              <w:rPr>
                <w:b w:val="0"/>
                <w:i w:val="0"/>
                <w:sz w:val="13"/>
              </w:rPr>
              <w:t>4 invocaciones (2 concurrentes + 2 consecutivas) · ninguna devolvió error de servidor · filas en facturas = 1.</w:t>
            </w:r>
          </w:p>
        </w:tc>
        <w:tc>
          <w:tcPr>
            <w:tcW w:type="dxa" w:w="1928"/>
          </w:tcPr>
          <w:p>
            <w:pPr>
              <w:spacing w:after="40" w:before="40"/>
              <w:jc w:val="left"/>
            </w:pPr>
            <w:r>
              <w:rPr>
                <w:b w:val="0"/>
                <w:i w:val="0"/>
                <w:sz w:val="13"/>
              </w:rPr>
              <w:t>Figura 18(b) (enlace ya utilizado) y consulta SQL de recuento sobre facturas.</w:t>
            </w:r>
            <w:r>
              <w:rPr>
                <w:b w:val="0"/>
                <w:i w:val="0"/>
                <w:sz w:val="13"/>
                <w:rFonts w:ascii="Consolas" w:hAnsi="Consolas" w:cs="Consolas"/>
              </w:rPr>
            </w:r>
            <w:r>
              <w:rPr>
                <w:b w:val="0"/>
                <w:i w:val="0"/>
                <w:sz w:val="13"/>
              </w:rPr>
            </w:r>
          </w:p>
        </w:tc>
      </w:tr>
      <w:tr>
        <w:tc>
          <w:tcPr>
            <w:tcW w:type="dxa" w:w="510"/>
          </w:tcPr>
          <w:p>
            <w:pPr>
              <w:spacing w:after="40" w:before="40"/>
              <w:jc w:val="left"/>
            </w:pPr>
            <w:r>
              <w:rPr>
                <w:b w:val="0"/>
                <w:i w:val="0"/>
                <w:sz w:val="13"/>
              </w:rPr>
              <w:t>E7</w:t>
            </w:r>
          </w:p>
        </w:tc>
        <w:tc>
          <w:tcPr>
            <w:tcW w:type="dxa" w:w="2041"/>
          </w:tcPr>
          <w:p>
            <w:pPr>
              <w:spacing w:after="40" w:before="40"/>
              <w:jc w:val="left"/>
            </w:pPr>
            <w:r>
              <w:rPr>
                <w:b w:val="0"/>
                <w:i w:val="0"/>
                <w:sz w:val="13"/>
              </w:rPr>
              <w:t>Alta de un lead con el tablero abierto.</w:t>
            </w:r>
          </w:p>
        </w:tc>
        <w:tc>
          <w:tcPr>
            <w:tcW w:type="dxa" w:w="2268"/>
          </w:tcPr>
          <w:p>
            <w:pPr>
              <w:spacing w:after="40" w:before="40"/>
              <w:jc w:val="left"/>
            </w:pPr>
            <w:r>
              <w:rPr>
                <w:b w:val="0"/>
                <w:i w:val="0"/>
                <w:sz w:val="13"/>
              </w:rPr>
              <w:t>El tablero refleja el nuevo lead sin recarga manual, en menos de 3 s en el percentil 95 sobre 20 altas (RNF6).</w:t>
            </w:r>
          </w:p>
        </w:tc>
        <w:tc>
          <w:tcPr>
            <w:tcW w:type="dxa" w:w="2041"/>
          </w:tcPr>
          <w:p>
            <w:pPr>
              <w:spacing w:after="40" w:before="40"/>
              <w:jc w:val="left"/>
            </w:pPr>
            <w:r>
              <w:rPr>
                <w:b w:val="0"/>
                <w:i w:val="0"/>
                <w:sz w:val="13"/>
              </w:rPr>
              <w:t>latencia p95 medida = [registrar] s · número de altas = [registrar]</w:t>
            </w:r>
          </w:p>
        </w:tc>
        <w:tc>
          <w:tcPr>
            <w:tcW w:type="dxa" w:w="1928"/>
          </w:tcPr>
          <w:p>
            <w:pPr>
              <w:spacing w:after="40" w:before="40"/>
              <w:jc w:val="left"/>
            </w:pPr>
            <w:r>
              <w:rPr>
                <w:b/>
                <w:i w:val="0"/>
                <w:sz w:val="13"/>
              </w:rPr>
              <w:t>Pendiente:</w:t>
            </w:r>
            <w:r>
              <w:rPr>
                <w:b w:val="0"/>
                <w:i w:val="0"/>
                <w:sz w:val="13"/>
              </w:rPr>
              <w:t xml:space="preserve"> captura del tablero inmediatamente antes y después del alta. La evidencia actual consigna una afirmación («se observa en vivo») y no un artefacto.</w:t>
            </w:r>
          </w:p>
        </w:tc>
      </w:tr>
      <w:tr>
        <w:tc>
          <w:tcPr>
            <w:tcW w:type="dxa" w:w="510"/>
          </w:tcPr>
          <w:p>
            <w:pPr>
              <w:spacing w:after="40" w:before="40"/>
              <w:jc w:val="left"/>
            </w:pPr>
            <w:r>
              <w:rPr>
                <w:b w:val="0"/>
                <w:i w:val="0"/>
                <w:sz w:val="13"/>
              </w:rPr>
              <w:t>E8</w:t>
            </w:r>
          </w:p>
        </w:tc>
        <w:tc>
          <w:tcPr>
            <w:tcW w:type="dxa" w:w="2041"/>
          </w:tcPr>
          <w:p>
            <w:pPr>
              <w:spacing w:after="40" w:before="40"/>
              <w:jc w:val="left"/>
            </w:pPr>
            <w:r>
              <w:rPr>
                <w:b w:val="0"/>
                <w:i w:val="0"/>
                <w:sz w:val="13"/>
              </w:rPr>
              <w:t>Rechazo de la propuesta por el cliente desde la página de aceptación.</w:t>
            </w:r>
          </w:p>
        </w:tc>
        <w:tc>
          <w:tcPr>
            <w:tcW w:type="dxa" w:w="2268"/>
          </w:tcPr>
          <w:p>
            <w:pPr>
              <w:spacing w:after="40" w:before="40"/>
              <w:jc w:val="left"/>
            </w:pPr>
            <w:r>
              <w:rPr>
                <w:b w:val="0"/>
                <w:i w:val="0"/>
                <w:sz w:val="13"/>
              </w:rPr>
              <w:t>Estado PERDIDO; sin factura; notificación al profesional.</w:t>
            </w:r>
          </w:p>
        </w:tc>
        <w:tc>
          <w:tcPr>
            <w:tcW w:type="dxa" w:w="2041"/>
          </w:tcPr>
          <w:p>
            <w:pPr>
              <w:spacing w:after="40" w:before="40"/>
              <w:jc w:val="left"/>
            </w:pPr>
            <w:r>
              <w:rPr>
                <w:b w:val="0"/>
                <w:i w:val="0"/>
                <w:sz w:val="13"/>
              </w:rPr>
              <w:t>estado = PERDIDO · filas en facturas = 0.</w:t>
            </w:r>
          </w:p>
        </w:tc>
        <w:tc>
          <w:tcPr>
            <w:tcW w:type="dxa" w:w="1928"/>
          </w:tcPr>
          <w:p>
            <w:pPr>
              <w:spacing w:after="40" w:before="40"/>
              <w:jc w:val="left"/>
            </w:pPr>
            <w:r>
              <w:rPr>
                <w:b w:val="0"/>
                <w:i w:val="0"/>
                <w:sz w:val="13"/>
              </w:rPr>
              <w:t>Figura 18(c).</w:t>
            </w:r>
          </w:p>
        </w:tc>
      </w:tr>
      <w:tr>
        <w:tc>
          <w:tcPr>
            <w:tcW w:type="dxa" w:w="510"/>
          </w:tcPr>
          <w:p>
            <w:pPr>
              <w:spacing w:after="40" w:before="40"/>
              <w:jc w:val="left"/>
            </w:pPr>
            <w:r>
              <w:rPr>
                <w:b w:val="0"/>
                <w:i w:val="0"/>
                <w:sz w:val="13"/>
              </w:rPr>
              <w:t>E9</w:t>
            </w:r>
          </w:p>
        </w:tc>
        <w:tc>
          <w:tcPr>
            <w:tcW w:type="dxa" w:w="2041"/>
          </w:tcPr>
          <w:p>
            <w:pPr>
              <w:spacing w:after="40" w:before="40"/>
              <w:jc w:val="left"/>
            </w:pPr>
            <w:r>
              <w:rPr>
                <w:b w:val="0"/>
                <w:i w:val="0"/>
                <w:sz w:val="13"/>
              </w:rPr>
              <w:t>Pedido de cambios del cliente sobre la propuesta.</w:t>
            </w:r>
          </w:p>
        </w:tc>
        <w:tc>
          <w:tcPr>
            <w:tcW w:type="dxa" w:w="2268"/>
          </w:tcPr>
          <w:p>
            <w:pPr>
              <w:spacing w:after="40" w:before="40"/>
              <w:jc w:val="left"/>
            </w:pPr>
            <w:r>
              <w:rPr>
                <w:b w:val="0"/>
                <w:i w:val="0"/>
                <w:sz w:val="13"/>
              </w:rPr>
              <w:t>Estado EN_SEGUIMIENTO; mensaje del cliente persistido; notificación por Telegram.</w:t>
            </w:r>
          </w:p>
        </w:tc>
        <w:tc>
          <w:tcPr>
            <w:tcW w:type="dxa" w:w="2041"/>
          </w:tcPr>
          <w:p>
            <w:pPr>
              <w:spacing w:after="40" w:before="40"/>
              <w:jc w:val="left"/>
            </w:pPr>
            <w:r>
              <w:rPr>
                <w:b w:val="0"/>
                <w:i w:val="0"/>
                <w:sz w:val="13"/>
              </w:rPr>
              <w:t>estado = EN_SEGUIMIENTO · el mensaje del cliente quedó persistido en notas.</w:t>
            </w:r>
          </w:p>
        </w:tc>
        <w:tc>
          <w:tcPr>
            <w:tcW w:type="dxa" w:w="1928"/>
          </w:tcPr>
          <w:p>
            <w:pPr>
              <w:spacing w:after="40" w:before="40"/>
              <w:jc w:val="left"/>
            </w:pPr>
            <w:r>
              <w:rPr>
                <w:b w:val="0"/>
                <w:i w:val="0"/>
                <w:sz w:val="13"/>
              </w:rPr>
              <w:t>Figura 18(d).</w:t>
            </w:r>
          </w:p>
        </w:tc>
      </w:tr>
      <w:tr>
        <w:tc>
          <w:tcPr>
            <w:tcW w:type="dxa" w:w="510"/>
          </w:tcPr>
          <w:p>
            <w:pPr>
              <w:spacing w:after="40" w:before="40"/>
              <w:jc w:val="left"/>
            </w:pPr>
            <w:r>
              <w:rPr>
                <w:b w:val="0"/>
                <w:i w:val="0"/>
                <w:sz w:val="13"/>
              </w:rPr>
              <w:t>E10</w:t>
            </w:r>
          </w:p>
        </w:tc>
        <w:tc>
          <w:tcPr>
            <w:tcW w:type="dxa" w:w="2041"/>
          </w:tcPr>
          <w:p>
            <w:pPr>
              <w:spacing w:after="40" w:before="40"/>
              <w:jc w:val="left"/>
            </w:pPr>
            <w:r>
              <w:rPr>
                <w:b w:val="0"/>
                <w:i w:val="0"/>
                <w:sz w:val="13"/>
              </w:rPr>
              <w:t>Cambio del estado del trabajo desde el tablero (sección «Trabajos activos»).</w:t>
            </w:r>
          </w:p>
        </w:tc>
        <w:tc>
          <w:tcPr>
            <w:tcW w:type="dxa" w:w="2268"/>
          </w:tcPr>
          <w:p>
            <w:pPr>
              <w:spacing w:after="40" w:before="40"/>
              <w:jc w:val="left"/>
            </w:pPr>
            <w:r>
              <w:rPr>
                <w:b w:val="0"/>
                <w:i w:val="0"/>
                <w:sz w:val="13"/>
                <w:rFonts w:ascii="Consolas" w:hAnsi="Consolas" w:cs="Consolas"/>
              </w:rPr>
              <w:t>estado_trabajo</w:t>
            </w:r>
            <w:r>
              <w:rPr>
                <w:b w:val="0"/>
                <w:i w:val="0"/>
                <w:sz w:val="13"/>
              </w:rPr>
              <w:t xml:space="preserve"> pasa de PENDIENTE a EN_PROGRESO y se sincroniza con la ficha de Notion.</w:t>
            </w:r>
          </w:p>
        </w:tc>
        <w:tc>
          <w:tcPr>
            <w:tcW w:type="dxa" w:w="2041"/>
          </w:tcPr>
          <w:p>
            <w:pPr>
              <w:spacing w:after="40" w:before="40"/>
              <w:jc w:val="left"/>
            </w:pPr>
            <w:r>
              <w:rPr>
                <w:b w:val="0"/>
                <w:i w:val="0"/>
                <w:sz w:val="13"/>
              </w:rPr>
              <w:t>estado_trabajo pasó a EN_PROGRESO · el lead tiene card_id, es decir que la sincronización con Notion se aplicó.</w:t>
            </w:r>
          </w:p>
        </w:tc>
        <w:tc>
          <w:tcPr>
            <w:tcW w:type="dxa" w:w="1928"/>
          </w:tcPr>
          <w:p>
            <w:pPr>
              <w:spacing w:after="40" w:before="40"/>
              <w:jc w:val="left"/>
            </w:pPr>
            <w:r>
              <w:rPr>
                <w:b/>
                <w:i w:val="0"/>
                <w:sz w:val="13"/>
              </w:rPr>
              <w:t>Pendiente:</w:t>
            </w:r>
            <w:r>
              <w:rPr>
                <w:b w:val="0"/>
                <w:i w:val="0"/>
                <w:sz w:val="13"/>
              </w:rPr>
              <w:t xml:space="preserve"> captura de la fila de </w:t>
            </w:r>
            <w:r>
              <w:rPr>
                <w:b w:val="0"/>
                <w:i w:val="0"/>
                <w:sz w:val="13"/>
                <w:rFonts w:ascii="Consolas" w:hAnsi="Consolas" w:cs="Consolas"/>
              </w:rPr>
              <w:t>leads</w:t>
            </w:r>
            <w:r>
              <w:rPr>
                <w:b w:val="0"/>
                <w:i w:val="0"/>
                <w:sz w:val="13"/>
              </w:rPr>
              <w:t xml:space="preserve"> y de la ficha sincronizada. La evidencia actual consigna una afirmación y no un artefacto.</w:t>
            </w:r>
          </w:p>
        </w:tc>
      </w:tr>
      <w:tr>
        <w:tc>
          <w:tcPr>
            <w:tcW w:type="dxa" w:w="510"/>
          </w:tcPr>
          <w:p>
            <w:pPr>
              <w:spacing w:after="40" w:before="40"/>
              <w:jc w:val="left"/>
            </w:pPr>
            <w:r>
              <w:rPr>
                <w:b w:val="0"/>
                <w:i w:val="0"/>
                <w:sz w:val="13"/>
              </w:rPr>
              <w:t>E11</w:t>
            </w:r>
          </w:p>
        </w:tc>
        <w:tc>
          <w:tcPr>
            <w:tcW w:type="dxa" w:w="2041"/>
          </w:tcPr>
          <w:p>
            <w:pPr>
              <w:spacing w:after="40" w:before="40"/>
              <w:jc w:val="left"/>
            </w:pPr>
            <w:r>
              <w:rPr>
                <w:b w:val="0"/>
                <w:i w:val="0"/>
                <w:sz w:val="13"/>
              </w:rPr>
              <w:t>Proceso programado de seguimiento: lead en PROPUESTA_ENVIADA con antigüedad suficiente, disparador ejecutado manualmente.</w:t>
            </w:r>
          </w:p>
        </w:tc>
        <w:tc>
          <w:tcPr>
            <w:tcW w:type="dxa" w:w="2268"/>
          </w:tcPr>
          <w:p>
            <w:pPr>
              <w:spacing w:after="40" w:before="40"/>
              <w:jc w:val="left"/>
            </w:pPr>
            <w:r>
              <w:rPr>
                <w:b w:val="0"/>
                <w:i w:val="0"/>
                <w:sz w:val="13"/>
              </w:rPr>
              <w:t xml:space="preserve">Se envía el correo de seguimiento; se inserta una fila en </w:t>
            </w:r>
            <w:r>
              <w:rPr>
                <w:b w:val="0"/>
                <w:i w:val="0"/>
                <w:sz w:val="13"/>
                <w:rFonts w:ascii="Consolas" w:hAnsi="Consolas" w:cs="Consolas"/>
              </w:rPr>
              <w:t>seguimientos</w:t>
            </w:r>
            <w:r>
              <w:rPr>
                <w:b w:val="0"/>
                <w:i w:val="0"/>
                <w:sz w:val="13"/>
              </w:rPr>
              <w:t xml:space="preserve">; se incrementa </w:t>
            </w:r>
            <w:r>
              <w:rPr>
                <w:b w:val="0"/>
                <w:i w:val="0"/>
                <w:sz w:val="13"/>
                <w:rFonts w:ascii="Consolas" w:hAnsi="Consolas" w:cs="Consolas"/>
              </w:rPr>
              <w:t>leads.seguimientos</w:t>
            </w:r>
            <w:r>
              <w:rPr>
                <w:b w:val="0"/>
                <w:i w:val="0"/>
                <w:sz w:val="13"/>
              </w:rPr>
              <w:t xml:space="preserve">; se actualiza </w:t>
            </w:r>
            <w:r>
              <w:rPr>
                <w:b w:val="0"/>
                <w:i w:val="0"/>
                <w:sz w:val="13"/>
                <w:rFonts w:ascii="Consolas" w:hAnsi="Consolas" w:cs="Consolas"/>
              </w:rPr>
              <w:t>fecha_ultimo_seguimiento</w:t>
            </w:r>
            <w:r>
              <w:rPr>
                <w:b w:val="0"/>
                <w:i w:val="0"/>
                <w:sz w:val="13"/>
              </w:rPr>
              <w:t>.</w:t>
            </w:r>
          </w:p>
        </w:tc>
        <w:tc>
          <w:tcPr>
            <w:tcW w:type="dxa" w:w="2041"/>
          </w:tcPr>
          <w:p>
            <w:pPr>
              <w:spacing w:after="40" w:before="40"/>
              <w:jc w:val="left"/>
            </w:pPr>
            <w:r>
              <w:rPr>
                <w:b w:val="0"/>
                <w:i w:val="0"/>
                <w:sz w:val="13"/>
              </w:rPr>
              <w:t>correo de seguimiento enviado, fila insertada en seguimientos, leads.seguimientos incrementado y fecha_ultimo_seguimiento actualizada (confirmado en la base) · la transición a PERDIDO del tercer seguimiento falló por una expresión ambigua (corregida) y dejó un lead de prueba con seguimientos=3 sin completarla</w:t>
            </w:r>
          </w:p>
        </w:tc>
        <w:tc>
          <w:tcPr>
            <w:tcW w:type="dxa" w:w="1928"/>
          </w:tcPr>
          <w:p>
            <w:pPr>
              <w:spacing w:after="40" w:before="40"/>
              <w:jc w:val="left"/>
            </w:pPr>
            <w:r>
              <w:rPr>
                <w:b/>
                <w:i w:val="0"/>
                <w:sz w:val="13"/>
              </w:rPr>
              <w:t>Corrida manual (23-ago-2026):</w:t>
            </w:r>
            <w:r>
              <w:rPr>
                <w:b w:val="0"/>
                <w:i w:val="0"/>
                <w:sz w:val="13"/>
              </w:rPr>
              <w:t xml:space="preserve"> ver docs/dictamen-v6-reejecucion.md; sin captura de pantalla. Ilustra en vivo el riesgo ya señalado en S5 para una rama distinta a la de facturación.</w:t>
            </w:r>
          </w:p>
        </w:tc>
      </w:tr>
      <w:tr>
        <w:tc>
          <w:tcPr>
            <w:tcW w:type="dxa" w:w="510"/>
          </w:tcPr>
          <w:p>
            <w:pPr>
              <w:spacing w:after="40" w:before="40"/>
              <w:jc w:val="left"/>
            </w:pPr>
            <w:r>
              <w:rPr>
                <w:b w:val="0"/>
                <w:i w:val="0"/>
                <w:sz w:val="13"/>
              </w:rPr>
              <w:t>E12</w:t>
            </w:r>
          </w:p>
        </w:tc>
        <w:tc>
          <w:tcPr>
            <w:tcW w:type="dxa" w:w="2041"/>
          </w:tcPr>
          <w:p>
            <w:pPr>
              <w:spacing w:after="40" w:before="40"/>
              <w:jc w:val="left"/>
            </w:pPr>
            <w:r>
              <w:rPr>
                <w:b w:val="0"/>
                <w:i w:val="0"/>
                <w:sz w:val="13"/>
              </w:rPr>
              <w:t>Proceso programado de recordatorios de pago: factura PENDIENTE a 3 días del vencimiento.</w:t>
            </w:r>
          </w:p>
        </w:tc>
        <w:tc>
          <w:tcPr>
            <w:tcW w:type="dxa" w:w="2268"/>
          </w:tcPr>
          <w:p>
            <w:pPr>
              <w:spacing w:after="40" w:before="40"/>
              <w:jc w:val="left"/>
            </w:pPr>
            <w:r>
              <w:rPr>
                <w:b w:val="0"/>
                <w:i w:val="0"/>
                <w:sz w:val="13"/>
              </w:rPr>
              <w:t>Se clasifica con nivel RECORDATORIO y se envía el correo correspondiente; a partir del cuarto día vencida, se notifica además por Telegram.</w:t>
            </w:r>
          </w:p>
        </w:tc>
        <w:tc>
          <w:tcPr>
            <w:tcW w:type="dxa" w:w="2041"/>
          </w:tcPr>
          <w:p>
            <w:pPr>
              <w:spacing w:after="40" w:before="40"/>
              <w:jc w:val="left"/>
            </w:pPr>
            <w:r>
              <w:rPr>
                <w:b w:val="0"/>
                <w:i w:val="0"/>
                <w:sz w:val="13"/>
              </w:rPr>
              <w:t>nivel asignado = URGENTE (las facturas de prueba disponibles estaban vencidas hace 42 a 57 días, no a 3 días del vencimiento) · correo enviado · notificación de Telegram confirmada (message_id real, ok:true) tras corregir TELEGRAM_CHAT_ID y una credencial de bot vencida · el escalón RECORDATORIO no se ejercitó por falta de datos de prueba en ese rango</w:t>
            </w:r>
          </w:p>
        </w:tc>
        <w:tc>
          <w:tcPr>
            <w:tcW w:type="dxa" w:w="1928"/>
          </w:tcPr>
          <w:p>
            <w:pPr>
              <w:spacing w:after="40" w:before="40"/>
              <w:jc w:val="left"/>
            </w:pPr>
            <w:r>
              <w:rPr>
                <w:b/>
                <w:i w:val="0"/>
                <w:sz w:val="13"/>
              </w:rPr>
              <w:t>Corrida manual (23-ago-2026):</w:t>
            </w:r>
            <w:r>
              <w:rPr>
                <w:b w:val="0"/>
                <w:i w:val="0"/>
                <w:sz w:val="13"/>
              </w:rPr>
              <w:t xml:space="preserve"> ver docs/dictamen-v6-reejecucion.md; sin captura de pantalla.</w:t>
            </w:r>
          </w:p>
        </w:tc>
      </w:tr>
      <w:tr>
        <w:tc>
          <w:tcPr>
            <w:tcW w:type="dxa" w:w="510"/>
          </w:tcPr>
          <w:p>
            <w:pPr>
              <w:spacing w:after="40" w:before="40"/>
              <w:jc w:val="left"/>
            </w:pPr>
            <w:r>
              <w:rPr>
                <w:b w:val="0"/>
                <w:i w:val="0"/>
                <w:sz w:val="13"/>
              </w:rPr>
              <w:t>E13</w:t>
            </w:r>
          </w:p>
        </w:tc>
        <w:tc>
          <w:tcPr>
            <w:tcW w:type="dxa" w:w="2041"/>
          </w:tcPr>
          <w:p>
            <w:pPr>
              <w:spacing w:after="40" w:before="40"/>
              <w:jc w:val="left"/>
            </w:pPr>
            <w:r>
              <w:rPr>
                <w:b w:val="0"/>
                <w:i w:val="0"/>
                <w:sz w:val="13"/>
              </w:rPr>
              <w:t>Proceso programado de reporte diario de métricas, disparador ejecutado manualmente.</w:t>
            </w:r>
          </w:p>
        </w:tc>
        <w:tc>
          <w:tcPr>
            <w:tcW w:type="dxa" w:w="2268"/>
          </w:tcPr>
          <w:p>
            <w:pPr>
              <w:spacing w:after="40" w:before="40"/>
              <w:jc w:val="left"/>
            </w:pPr>
            <w:r>
              <w:rPr>
                <w:b w:val="0"/>
                <w:i w:val="0"/>
                <w:sz w:val="13"/>
              </w:rPr>
              <w:t xml:space="preserve">Se envía por Telegram un resumen con los indicadores de </w:t>
            </w:r>
            <w:r>
              <w:rPr>
                <w:b w:val="0"/>
                <w:i w:val="0"/>
                <w:sz w:val="13"/>
                <w:rFonts w:ascii="Consolas" w:hAnsi="Consolas" w:cs="Consolas"/>
              </w:rPr>
              <w:t>metrics_mensuales</w:t>
            </w:r>
            <w:r>
              <w:rPr>
                <w:b w:val="0"/>
                <w:i w:val="0"/>
                <w:sz w:val="13"/>
              </w:rPr>
              <w:t xml:space="preserve"> del mes en curso, coincidentes con los del tablero.</w:t>
            </w:r>
          </w:p>
        </w:tc>
        <w:tc>
          <w:tcPr>
            <w:tcW w:type="dxa" w:w="2041"/>
          </w:tcPr>
          <w:p>
            <w:pPr>
              <w:spacing w:after="40" w:before="40"/>
              <w:jc w:val="left"/>
            </w:pPr>
            <w:r>
              <w:rPr>
                <w:b w:val="0"/>
                <w:i w:val="0"/>
                <w:sz w:val="13"/>
              </w:rPr>
              <w:t>disparador ejecutado; metrics_mensuales devolvió 0 filas para agosto porque los leads de prueba se eliminan al final de cada corrida de tests/escenarios.mjs y no queda actividad persistente en el mes; el nodo de Telegram no llegó a ejecutarse</w:t>
            </w:r>
          </w:p>
        </w:tc>
        <w:tc>
          <w:tcPr>
            <w:tcW w:type="dxa" w:w="1928"/>
          </w:tcPr>
          <w:p>
            <w:pPr>
              <w:spacing w:after="40" w:before="40"/>
              <w:jc w:val="left"/>
            </w:pPr>
            <w:r>
              <w:rPr>
                <w:b/>
                <w:i w:val="0"/>
                <w:sz w:val="13"/>
              </w:rPr>
              <w:t>Pendiente:</w:t>
            </w:r>
            <w:r>
              <w:rPr>
                <w:b w:val="0"/>
                <w:i w:val="0"/>
                <w:sz w:val="13"/>
              </w:rPr>
              <w:t xml:space="preserve"> requiere una corrida que persista datos de agosto o esperar la ejecución real del cron. Sigue siendo la única evidencia que acreditaría OE5 y hoy no existe en el Anexo A.</w:t>
            </w:r>
          </w:p>
        </w:tc>
      </w:tr>
      <w:tr>
        <w:tc>
          <w:tcPr>
            <w:tcW w:type="dxa" w:w="510"/>
          </w:tcPr>
          <w:p>
            <w:pPr>
              <w:spacing w:after="40" w:before="40"/>
              <w:jc w:val="left"/>
            </w:pPr>
            <w:r>
              <w:rPr>
                <w:b w:val="0"/>
                <w:i w:val="0"/>
                <w:sz w:val="13"/>
              </w:rPr>
              <w:t>E14</w:t>
            </w:r>
          </w:p>
        </w:tc>
        <w:tc>
          <w:tcPr>
            <w:tcW w:type="dxa" w:w="2041"/>
          </w:tcPr>
          <w:p>
            <w:pPr>
              <w:spacing w:after="40" w:before="40"/>
              <w:jc w:val="left"/>
            </w:pPr>
            <w:r>
              <w:rPr>
                <w:b w:val="0"/>
                <w:i w:val="0"/>
                <w:sz w:val="13"/>
              </w:rPr>
              <w:t>Pago real con tarjeta de prueba de MercadoPago sobre una factura PENDIENTE.</w:t>
            </w:r>
          </w:p>
        </w:tc>
        <w:tc>
          <w:tcPr>
            <w:tcW w:type="dxa" w:w="2268"/>
          </w:tcPr>
          <w:p>
            <w:pPr>
              <w:spacing w:after="40" w:before="40"/>
              <w:jc w:val="left"/>
            </w:pPr>
            <w:r>
              <w:rPr>
                <w:b w:val="0"/>
                <w:i w:val="0"/>
                <w:sz w:val="13"/>
              </w:rPr>
              <w:t>El webhook POST /webhook/mp/notificacion consulta la API de MercadoPago, confirma status = approved y marca la factura COBRADO solo entonces; una segunda notificación para el mismo pago no repite el efecto ni la notificación por Telegram (idempotencia).</w:t>
            </w:r>
            <w:r>
              <w:rPr>
                <w:b w:val="0"/>
                <w:i w:val="0"/>
                <w:sz w:val="13"/>
                <w:rFonts w:ascii="Consolas" w:hAnsi="Consolas" w:cs="Consolas"/>
              </w:rPr>
            </w:r>
            <w:r>
              <w:rPr>
                <w:b w:val="0"/>
                <w:i w:val="0"/>
                <w:sz w:val="13"/>
              </w:rPr>
            </w:r>
          </w:p>
        </w:tc>
        <w:tc>
          <w:tcPr>
            <w:tcW w:type="dxa" w:w="2041"/>
          </w:tcPr>
          <w:p>
            <w:pPr>
              <w:spacing w:after="40" w:before="40"/>
              <w:jc w:val="left"/>
            </w:pPr>
            <w:r>
              <w:rPr>
                <w:b w:val="0"/>
                <w:i w:val="0"/>
                <w:sz w:val="13"/>
              </w:rPr>
              <w:t>estado_pago antes/después = [registrar] · mp_payment_id persistido = [registrar] · notificación duplicada aplicada una sola vez = [registrar]</w:t>
            </w:r>
          </w:p>
        </w:tc>
        <w:tc>
          <w:tcPr>
            <w:tcW w:type="dxa" w:w="1928"/>
          </w:tcPr>
          <w:p>
            <w:pPr>
              <w:spacing w:after="40" w:before="40"/>
              <w:jc w:val="left"/>
            </w:pPr>
            <w:r>
              <w:rPr>
                <w:b/>
                <w:i w:val="0"/>
                <w:sz w:val="13"/>
              </w:rPr>
              <w:t>Pendiente: requiere credenciales de prueba de MercadoPago y el sistema levantado con MP_ACCESS_TOKEN configurado.</w:t>
            </w:r>
            <w:r>
              <w:rPr>
                <w:b w:val="0"/>
                <w:i w:val="0"/>
                <w:sz w:val="13"/>
              </w:rPr>
            </w:r>
          </w:p>
        </w:tc>
      </w:tr>
    </w:tbl>
    <w:p>
      <w:pPr/>
      <w:r>
        <w:rPr>
          <w:b w:val="0"/>
          <w:i/>
          <w:sz w:val="15"/>
        </w:rPr>
        <w:t>Nota. Elaboración propia. Los valores de la columna «Resultado esperado» se derivan de las reglas de la Tabla 5 y son verificables por cálculo. Las celdas «[registrar]» y las marcadas «Pendiente» corresponden a evidencia que debe producirse reejecutando los escenarios conforme al protocolo de la Tabla 4; se dejan explícitas para no presentar como observado aquello que no fue registrado en una corrida documentada.</w:t>
      </w:r>
    </w:p>
    <w:p w:rsidR="00D60FC7" w:rsidRDefault="00D60FC7"/>
    <w:p w:rsidR="00D60FC7" w:rsidRDefault="00000000">
      <w:proofErr w:type="spellStart"/>
      <w:proofErr w:type="spellEnd"/>
      <w:r>
        <w:rPr>
          <w:b w:val="0"/>
          <w:i w:val="0"/>
        </w:rPr>
        <w:t>Alcance de lo que esta corrida acredita, y de lo que no. La suite automatizada (E1–E10) ejecuta cada escenario una vez por invocación; el 23 de agosto de 2026 se corrió tres veces seguidas sin cambios en el resultado, lo que satisface la exigencia de tres repeticiones independientes que el protocolo de la Tabla 4 pide para los escenarios de camino principal que la suite cubre (E1 a E6). E7, el único escenario de camino principal ajeno a esta suite, sigue sin poder medirse en absoluto —no es una cuestión de repeticiones, sino de que la instancia no tiene Realtime habilitado para la tabla leads, como se detalla más abajo—. Los tres procesos programados (E11–E13) se dispararon manualmente ese mismo día, y el ejercicio resultó más revelador que confirmatorio: aparecieron tres defectos de expresión reales, no visibles en ninguna lectura estática ni en la suite E1–E10, que impedían completar la rama de «último intento» de E11 cuando el proceso manejaba más de un caso a la vez; se corrigieron, pero el defecto original dejó un lead de prueba en un estado inconsistente, pendiente de reconciliación manual (Tabla 12, E11). Además, al ejercitar E12 se descubrió que las trece notificaciones de Telegram del CRM estaban rotas —primero por una variable de entorno vacía y, tras corregirla, por una credencial de bot vencida—, algo que ninguna corrida anterior había detectado porque verificar el estado en la base no es lo mismo que verificar que el aviso salió. E13 se disparó pero no produjo evidencia: los leads de prueba se eliminan al final de cada corrida de tests/escenarios.mjs, así que no queda actividad de agosto para que la vista agregue. Quedan, entonces, dos escenarios sin ejecutar por razones ajenas al código. E7 —la actualización del tablero en tiempo real— no pudo medirse porque la tabla leads no está incluida en la publicación supabase_realtime de la instancia utilizada: es una opción de configuración de la plataforma, no un defecto del código, pero mientras no se habilite el umbral del RNF6 no puede comprobarse. E14 requiere credenciales de prueba de MercadoPago y una tarjeta de test, es decir una operación con el proveedor real.</w:t>
      </w:r>
    </w:p>
    <w:p w:rsidR="00D60FC7" w:rsidRDefault="00000000">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b w:val="0"/>
          <w:i w:val="0"/>
        </w:rPr>
        <w:t>De forma complementaria a la validación por escenarios, el repositorio incluye una prueba de humo automatizada (</w:t>
      </w:r>
      <w:r>
        <w:rPr>
          <w:rFonts w:ascii="Consolas" w:hAnsi="Consolas" w:cs="Consolas"/>
          <w:b w:val="0"/>
          <w:i w:val="0"/>
        </w:rPr>
        <w:t>tests/smoke_code_nodes.js</w:t>
      </w:r>
      <w:r>
        <w:rPr>
          <w:b w:val="0"/>
          <w:i w:val="0"/>
        </w:rPr>
        <w:t>), escrita en Node.js sin dependencias externas. La prueba lee la definición del flujo (</w:t>
      </w:r>
      <w:r>
        <w:rPr>
          <w:rFonts w:ascii="Consolas" w:hAnsi="Consolas" w:cs="Consolas"/>
          <w:b w:val="0"/>
          <w:i w:val="0"/>
        </w:rPr>
        <w:t>crm_postgres.json</w:t>
      </w:r>
      <w:r>
        <w:rPr>
          <w:b w:val="0"/>
          <w:i w:val="0"/>
        </w:rPr>
        <w:t>), extrae los nodos de tipo Code y ejecuta el código JavaScript de cada uno con un conjunto de datos de lead representativo y con sustitutos de las variables del entorno de n8n (</w:t>
      </w:r>
      <w:r>
        <w:rPr>
          <w:rFonts w:ascii="Consolas" w:hAnsi="Consolas" w:cs="Consolas"/>
          <w:b w:val="0"/>
          <w:i w:val="0"/>
        </w:rPr>
        <w:t>$input</w:t>
      </w:r>
      <w:r>
        <w:rPr>
          <w:b w:val="0"/>
          <w:i w:val="0"/>
        </w:rPr>
        <w:t xml:space="preserve">, </w:t>
      </w:r>
      <w:r>
        <w:rPr>
          <w:rFonts w:ascii="Consolas" w:hAnsi="Consolas" w:cs="Consolas"/>
          <w:b w:val="0"/>
          <w:i w:val="0"/>
        </w:rPr>
        <w:t>$</w:t>
      </w:r>
      <w:r>
        <w:rPr>
          <w:b w:val="0"/>
          <w:i w:val="0"/>
        </w:rPr>
        <w:t xml:space="preserve">, </w:t>
      </w:r>
      <w:r>
        <w:rPr>
          <w:rFonts w:ascii="Consolas" w:hAnsi="Consolas" w:cs="Consolas"/>
          <w:b w:val="0"/>
          <w:i w:val="0"/>
        </w:rPr>
        <w:t>$json</w:t>
      </w:r>
      <w:r>
        <w:rPr>
          <w:b w:val="0"/>
          <w:i w:val="0"/>
        </w:rPr>
        <w:t xml:space="preserve">), sin necesidad de levantar el motor. Para cada nodo verifica que su ejecución no arroje errores de tiempo de ejecución y que la salida respete la forma esperada —un arreglo de ítems, cada uno con un objeto </w:t>
      </w:r>
      <w:r>
        <w:rPr>
          <w:rFonts w:ascii="Consolas" w:hAnsi="Consolas" w:cs="Consolas"/>
          <w:b w:val="0"/>
          <w:i w:val="0"/>
        </w:rPr>
        <w:t>json</w:t>
      </w:r>
      <w:r>
        <w:rPr>
          <w:b w:val="0"/>
          <w:i w:val="0"/>
        </w:rPr>
        <w:t xml:space="preserve"> válido—, informando el resultado nodo por nodo y devolviendo un código de salida distinto de cero ante cualquier fallo. Se trata, por tanto, de una prueba de humo que protege la lógica de los nodos Code frente a regresiones estructurales, y no de una verificación de la corrección funcional de las reglas de negocio.</w:t>
      </w:r>
    </w:p>
    <w:p>
      <w:pPr/>
      <w:r>
        <w:rPr>
          <w:b w:val="0"/>
          <w:i w:val="0"/>
        </w:rPr>
        <w:t>Pruebas automatizadas. Además de la validación por escenarios, el repositorio incorpora una batería que se ejecuta sin levantar el sistema y que cubre precisamente las reglas que constituyen el aporte declarado. tests/scoring.js ejecuta el código real del nodo de calificación sobre 9240 combinaciones de presupuesto, urgencia y servicio, y verifica que el resultado reproduzca la Tabla 5 y que los umbrales sigan siendo configurables. tests/smoke_code_nodes.js ejecuta el JavaScript de los 34 nodos Code de ambos flujos con sustitutos de las variables de n8n. tests/verificar_sql.mjs compila con PREPARE las consultas de los nodos Postgres contra el esquema real, de modo que una columna mal escrita se detecta antes de producción. tests/verificar_rls.mjs levanta un PostgreSQL desechable, aplica db/schema.sql tal cual está versionado y ejecuta 24 casos de seguridad a nivel de fila rol por rol. Y tests/verificar_afirmaciones.js recalcula desde el repositorio los números que este documento afirma —nodos, webhooks, tablas, vistas, umbrales— y falla si dejaron de ser ciertos, que es la contención contra la deriva entre el documento y el artefacto que el §7.1 señala como el error más costoso del trabajo.</w:t>
      </w:r>
    </w:p>
    <w:p>
      <w:pPr/>
      <w:r>
        <w:rPr>
          <w:b w:val="0"/>
          <w:i w:val="0"/>
        </w:rPr>
        <w:t>Los once requisitos funcionales y los siete no funcionales se trazan individualmente en el Anexo E, con el resultado de su verificación en la columna correspondiente. Los que quedaron sin verificar se identifican como tales y no se dan por cumplidos: el RNF6, por la limitación de Realtime ya descripta, y los requisitos que dependen de los procesos programados (RF8, RF9 y RF10), pendientes de ejecutar E11 a E13.</w:t>
      </w:r>
    </w:p>
    <w:p w:rsidR="00D60FC7" w:rsidRDefault="00000000">
      <w:r>
        <w:rPr>
          <w:b w:val="0"/>
          <w:i w:val="0"/>
        </w:rPr>
        <w:t>Como evidencia complementaria, el Anexo A reúne las capturas de pantalla del formulario, del tablero, de los flujos configurados en n8n y de los desenlaces de la página pública de aceptación. Cada captura se numera y se titula de forma individual, de modo que toda remisión del texto pueda resolverse sin ambigüedad.</w:t>
      </w:r>
    </w:p>
    <w:p w:rsidR="00D60FC7" w:rsidRDefault="00000000">
      <w:r>
        <w:br w:type="page"/>
      </w:r>
    </w:p>
    <w:p w:rsidR="00D60FC7" w:rsidRDefault="00000000">
      <w:pPr>
        <w:pStyle w:val="Ttulo1"/>
      </w:pPr>
      <w:bookmarkStart w:id="50" w:name="_Toc233808456"/>
      <w:r>
        <w:t>Capítulo 6: Discusión</w:t>
      </w:r>
      <w:bookmarkEnd w:id="50"/>
    </w:p>
    <w:p w:rsidR="00D60FC7" w:rsidRDefault="00000000">
      <w:proofErr w:type="spellStart"/>
      <w:proofErr w:type="spellEnd"/>
      <w:proofErr w:type="spellStart"/>
      <w:proofErr w:type="spellEnd"/>
      <w:proofErr w:type="spellStart"/>
      <w:proofErr w:type="spellEnd"/>
      <w:proofErr w:type="spellStart"/>
      <w:proofErr w:type="spellEnd"/>
      <w:r>
        <w:rPr>
          <w:b w:val="0"/>
          <w:i w:val="0"/>
        </w:rPr>
        <w:t>Los resultados confirman que el ciclo de vida del cliente puede automatizarse de extremo a extremo con una arquitectura orientada a eventos de bajo código, en línea con lo que la literatura sobre integración de sistemas y automatización comercial anticipa (Hohpe y Woolf, 2003; Järvinen y Taiminen, 2016). La concentración de la lógica de integración en n8n confirma, en la práctica, buena parte de la ventaja de mantenibilidad que se atribuye a este estilo: incorporar un nuevo paso del flujo no exige modificar el frontend ni el esquema de datos. Conviene, sin embargo, acotar esa afirmación. Gmail, Telegram, Notion y Gotenberg se invocan directamente desde nodos del flujo, sin una capa de abstracción de notificaciones ni de generación documental. Incorporar un canal de notificación nuevo sí exige, por tanto, tocar el flujo en cada punto donde hoy se notifica. La ventaja de mantenibilidad es real entre capas y menor dentro de la capa de orquestación.</w:t>
      </w:r>
    </w:p>
    <w:p w:rsidR="00D60FC7" w:rsidRDefault="00000000">
      <w:r>
        <w:t xml:space="preserve">El aporte del </w:t>
      </w:r>
      <w:proofErr w:type="spellStart"/>
      <w:r>
        <w:t>scoring</w:t>
      </w:r>
      <w:proofErr w:type="spellEnd"/>
      <w:r>
        <w:t xml:space="preserve"> merece una lectura matizada. La clasificación en niveles ordena efectivamente el esfuerzo comercial, pero los umbrales y las ponderaciones se fijaron a partir de un criterio experto y no de datos históricos de conversión. Su validez es, por lo tanto, de diseño y no empírica: para afirmar que el score predice la conversión real sería necesaria una etapa posterior de calibración con datos de operación.</w:t>
      </w:r>
    </w:p>
    <w:p>
      <w:pPr/>
      <w:r>
        <w:rPr>
          <w:b w:val="0"/>
          <w:i w:val="0"/>
        </w:rPr>
        <w:t>A esa validez de diseño se suma una limitación del propio modelo, analizada en §4.3.1: tres de los nueve valores de servicio ponderados no pueden originarse desde el formulario, y la opción «Otro» recibe la ponderación mínima, lo que sesga hacia COLD precisamente las oportunidades que el sistema no supo clasificar. La clasificación ordena el esfuerzo comercial, pero lo hace sobre un espacio de entrada más estrecho que el que la Tabla 5 sugiere.</w:t>
      </w:r>
    </w:p>
    <w:p>
      <w:pPr>
        <w:pStyle w:val="Ttulo2"/>
      </w:pPr>
      <w:r>
        <w:rPr>
          <w:b w:val="0"/>
          <w:i w:val="0"/>
        </w:rPr>
        <w:t>6.1 Comparación con el estado del arte</w:t>
      </w:r>
    </w:p>
    <w:p>
      <w:pPr/>
      <w:r>
        <w:rPr>
          <w:b w:val="0"/>
          <w:i w:val="0"/>
        </w:rPr>
        <w:t>El Capítulo 2 dedicó tres páginas a analizar HubSpot, Pipedrive, Zapier y Make para justificar la decisión de construir. Corresponde ahora responder la pregunta que ese análisis dejó planteada: qué obtuvo efectivamente el freelancer que no habría obtenido configurando alguna de esas herramientas. La Tabla 13 estima el costo total de propiedad a doce meses y la Tabla 14 compara las prestaciones. Ambas deben leerse con sus supuestos declarados: el trabajo no operó en producción, de modo que se trata de una estimación con hipótesis explícitas, con precios de proveedores consultados el 17 de agosto de 2026 y no de un dato observado en producción propia. A doce meses, la solución construida cuesta aproximadamente USD 56 solo en infraestructura de alojamiento (Hetzner Cloud CX22), frente a USD 588 de Pipedrive en su primer nivel con automatización de flujos (Growth) y USD 360 de Zapier en su plan de entrada (Starter, 750 tareas/mes). La comparación no es plenamente equivalente —Pipedrive y Zapier incluyen soporte del proveedor y mantenimiento del producto, mientras que la solución construida traslada ese costo al tiempo de desarrollo y operación del propio profesional—, pero el diferencial de costo directo es sustancial.</w:t>
      </w:r>
    </w:p>
    <w:p>
      <w:pPr>
        <w:keepNext/>
      </w:pPr>
      <w:r>
        <w:rPr>
          <w:b w:val="0"/>
          <w:i w:val="0"/>
        </w:rPr>
        <w:t>Tabla 13. Estimación de costo total de propiedad a doce meses para un freelancer individual</w:t>
      </w:r>
    </w:p>
    <w:p>
      <w:pPr>
        <w:keepNext/>
      </w:pPr>
      <w:r>
        <w:rPr>
          <w:b w:val="0"/>
          <w:i w:val="0"/>
        </w:rPr>
        <w:t>Tabla 14. Comparación funcional frente a las alternativas revisadas en §2.7</w:t>
      </w:r>
    </w:p>
    <w:p>
      <w:pPr/>
      <w:r>
        <w:rPr>
          <w:b w:val="0"/>
          <w:i w:val="0"/>
        </w:rPr>
        <w:t>La lectura conjunta de ambas tablas permite una respuesta honesta y acotada: lo que la solución construida aporta frente a las alternativas es control sobre las reglas de negocio y un ciclo comercial cerrado sin integraciones de terceros, a cambio de asumir el desarrollo y el mantenimiento y de renunciar a la madurez operativa de un producto comercial. El argumento de costo es plausible por su estructura —ausencia de cuota por asiento y por ejecución— pero no está demostrado, porque este trabajo no lo midió. El argumento de propiedad del dato se sostiene solo parcialmente. Para un freelancer con necesidades estándar y sin interés en construir, configurar una herramienta comercial sigue siendo la opción razonable; el valor de esta solución se concentra en escenarios de personalización alta y en el objetivo formativo declarado en §1.4.</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5000" w:type="pct"/>
      </w:tblPr>
      <w:tblGrid>
        <w:gridCol w:w="2197"/>
        <w:gridCol w:w="2197"/>
        <w:gridCol w:w="2197"/>
        <w:gridCol w:w="2197"/>
      </w:tblGrid>
      <w:tr>
        <w:trPr>
          <w:tblHeader/>
        </w:trPr>
        <w:tc>
          <w:tcPr>
            <w:tcW w:type="dxa" w:w="1814"/>
            <w:shd w:val="clear" w:color="auto" w:fill="1F2937"/>
          </w:tcPr>
          <w:p>
            <w:pPr>
              <w:spacing w:after="40" w:before="40"/>
              <w:jc w:val="left"/>
            </w:pPr>
            <w:r>
              <w:rPr>
                <w:b/>
                <w:i w:val="0"/>
                <w:color w:val="FFFFFF"/>
                <w:sz w:val="14"/>
              </w:rPr>
              <w:t>Dimensión</w:t>
            </w:r>
          </w:p>
        </w:tc>
        <w:tc>
          <w:tcPr>
            <w:tcW w:type="dxa" w:w="2551"/>
            <w:shd w:val="clear" w:color="auto" w:fill="1F2937"/>
          </w:tcPr>
          <w:p>
            <w:pPr>
              <w:spacing w:after="40" w:before="40"/>
              <w:jc w:val="left"/>
            </w:pPr>
            <w:r>
              <w:rPr>
                <w:b/>
                <w:i w:val="0"/>
                <w:color w:val="FFFFFF"/>
                <w:sz w:val="14"/>
              </w:rPr>
              <w:t>Solución construida</w:t>
            </w:r>
          </w:p>
        </w:tc>
        <w:tc>
          <w:tcPr>
            <w:tcW w:type="dxa" w:w="2268"/>
            <w:shd w:val="clear" w:color="auto" w:fill="1F2937"/>
          </w:tcPr>
          <w:p>
            <w:pPr>
              <w:spacing w:after="40" w:before="40"/>
              <w:jc w:val="left"/>
            </w:pPr>
            <w:r>
              <w:rPr>
                <w:b/>
                <w:i w:val="0"/>
                <w:color w:val="FFFFFF"/>
                <w:sz w:val="14"/>
              </w:rPr>
              <w:t>HubSpot / Pipedrive</w:t>
            </w:r>
          </w:p>
        </w:tc>
        <w:tc>
          <w:tcPr>
            <w:tcW w:type="dxa" w:w="2154"/>
            <w:shd w:val="clear" w:color="auto" w:fill="1F2937"/>
          </w:tcPr>
          <w:p>
            <w:pPr>
              <w:spacing w:after="40" w:before="40"/>
              <w:jc w:val="left"/>
            </w:pPr>
            <w:r>
              <w:rPr>
                <w:b/>
                <w:i w:val="0"/>
                <w:color w:val="FFFFFF"/>
                <w:sz w:val="14"/>
              </w:rPr>
              <w:t>Zapier / Make</w:t>
            </w:r>
          </w:p>
        </w:tc>
      </w:tr>
      <w:tr>
        <w:tc>
          <w:tcPr>
            <w:tcW w:type="dxa" w:w="1814"/>
          </w:tcPr>
          <w:p>
            <w:pPr>
              <w:spacing w:after="40" w:before="40"/>
              <w:jc w:val="left"/>
            </w:pPr>
            <w:r>
              <w:rPr>
                <w:b w:val="0"/>
                <w:i w:val="0"/>
                <w:sz w:val="14"/>
              </w:rPr>
              <w:t>Sistema de registro propio</w:t>
            </w:r>
          </w:p>
        </w:tc>
        <w:tc>
          <w:tcPr>
            <w:tcW w:type="dxa" w:w="2551"/>
          </w:tcPr>
          <w:p>
            <w:pPr>
              <w:spacing w:after="40" w:before="40"/>
              <w:jc w:val="left"/>
            </w:pPr>
            <w:r>
              <w:rPr>
                <w:b w:val="0"/>
                <w:i w:val="0"/>
                <w:sz w:val="14"/>
              </w:rPr>
              <w:t>Sí: PostgreSQL con esquema, enums e integridad referencial.</w:t>
            </w:r>
          </w:p>
        </w:tc>
        <w:tc>
          <w:tcPr>
            <w:tcW w:type="dxa" w:w="2268"/>
          </w:tcPr>
          <w:p>
            <w:pPr>
              <w:spacing w:after="40" w:before="40"/>
              <w:jc w:val="left"/>
            </w:pPr>
            <w:r>
              <w:rPr>
                <w:b w:val="0"/>
                <w:i w:val="0"/>
                <w:sz w:val="14"/>
              </w:rPr>
              <w:t>Sí, con el modelo de datos del proveedor.</w:t>
            </w:r>
          </w:p>
        </w:tc>
        <w:tc>
          <w:tcPr>
            <w:tcW w:type="dxa" w:w="2154"/>
          </w:tcPr>
          <w:p>
            <w:pPr>
              <w:spacing w:after="40" w:before="40"/>
              <w:jc w:val="left"/>
            </w:pPr>
            <w:r>
              <w:rPr>
                <w:b w:val="0"/>
                <w:i w:val="0"/>
                <w:sz w:val="14"/>
              </w:rPr>
              <w:t>No: operan sobre datos alojados en otras plataformas.</w:t>
            </w:r>
          </w:p>
        </w:tc>
      </w:tr>
      <w:tr>
        <w:tc>
          <w:tcPr>
            <w:tcW w:type="dxa" w:w="1814"/>
          </w:tcPr>
          <w:p>
            <w:pPr>
              <w:spacing w:after="40" w:before="40"/>
              <w:jc w:val="left"/>
            </w:pPr>
            <w:r>
              <w:rPr>
                <w:b w:val="0"/>
                <w:i w:val="0"/>
                <w:sz w:val="14"/>
              </w:rPr>
              <w:t>Reglas de scoring propias</w:t>
            </w:r>
          </w:p>
        </w:tc>
        <w:tc>
          <w:tcPr>
            <w:tcW w:type="dxa" w:w="2551"/>
          </w:tcPr>
          <w:p>
            <w:pPr>
              <w:spacing w:after="40" w:before="40"/>
              <w:jc w:val="left"/>
            </w:pPr>
            <w:r>
              <w:rPr>
                <w:b w:val="0"/>
                <w:i w:val="0"/>
                <w:sz w:val="14"/>
              </w:rPr>
              <w:t>Sí, definidas en código y auditables (Tabla 5).</w:t>
            </w:r>
          </w:p>
        </w:tc>
        <w:tc>
          <w:tcPr>
            <w:tcW w:type="dxa" w:w="2268"/>
          </w:tcPr>
          <w:p>
            <w:pPr>
              <w:spacing w:after="40" w:before="40"/>
              <w:jc w:val="left"/>
            </w:pPr>
            <w:r>
              <w:rPr>
                <w:b w:val="0"/>
                <w:i w:val="0"/>
                <w:sz w:val="14"/>
              </w:rPr>
              <w:t>Scoring configurable, en niveles pagos; reglas dentro del modelo del proveedor.</w:t>
            </w:r>
          </w:p>
        </w:tc>
        <w:tc>
          <w:tcPr>
            <w:tcW w:type="dxa" w:w="2154"/>
          </w:tcPr>
          <w:p>
            <w:pPr>
              <w:spacing w:after="40" w:before="40"/>
              <w:jc w:val="left"/>
            </w:pPr>
            <w:r>
              <w:rPr>
                <w:b w:val="0"/>
                <w:i w:val="0"/>
                <w:sz w:val="14"/>
              </w:rPr>
              <w:t>No incluyen scoring como capacidad nativa.</w:t>
            </w:r>
          </w:p>
        </w:tc>
      </w:tr>
      <w:tr>
        <w:tc>
          <w:tcPr>
            <w:tcW w:type="dxa" w:w="1814"/>
          </w:tcPr>
          <w:p>
            <w:pPr>
              <w:spacing w:after="40" w:before="40"/>
              <w:jc w:val="left"/>
            </w:pPr>
            <w:r>
              <w:rPr>
                <w:b w:val="0"/>
                <w:i w:val="0"/>
                <w:sz w:val="14"/>
              </w:rPr>
              <w:t>Ciclo completo hasta la factura</w:t>
            </w:r>
          </w:p>
        </w:tc>
        <w:tc>
          <w:tcPr>
            <w:tcW w:type="dxa" w:w="2551"/>
          </w:tcPr>
          <w:p>
            <w:pPr>
              <w:spacing w:after="40" w:before="40"/>
              <w:jc w:val="left"/>
            </w:pPr>
            <w:r>
              <w:rPr>
                <w:b w:val="0"/>
                <w:i w:val="0"/>
                <w:sz w:val="14"/>
              </w:rPr>
              <w:t>Sí, incluida la generación del comprobante en PDF.</w:t>
            </w:r>
          </w:p>
        </w:tc>
        <w:tc>
          <w:tcPr>
            <w:tcW w:type="dxa" w:w="2268"/>
          </w:tcPr>
          <w:p>
            <w:pPr>
              <w:spacing w:after="40" w:before="40"/>
              <w:jc w:val="left"/>
            </w:pPr>
            <w:r>
              <w:rPr>
                <w:b w:val="0"/>
                <w:i w:val="0"/>
                <w:sz w:val="14"/>
              </w:rPr>
              <w:t>Requiere integración de terceros para facturar.</w:t>
            </w:r>
          </w:p>
        </w:tc>
        <w:tc>
          <w:tcPr>
            <w:tcW w:type="dxa" w:w="2154"/>
          </w:tcPr>
          <w:p>
            <w:pPr>
              <w:spacing w:after="40" w:before="40"/>
              <w:jc w:val="left"/>
            </w:pPr>
            <w:r>
              <w:rPr>
                <w:b w:val="0"/>
                <w:i w:val="0"/>
                <w:sz w:val="14"/>
              </w:rPr>
              <w:t>Requiere integración de terceros.</w:t>
            </w:r>
          </w:p>
        </w:tc>
      </w:tr>
      <w:tr>
        <w:tc>
          <w:tcPr>
            <w:tcW w:type="dxa" w:w="1814"/>
          </w:tcPr>
          <w:p>
            <w:pPr>
              <w:spacing w:after="40" w:before="40"/>
              <w:jc w:val="left"/>
            </w:pPr>
            <w:r>
              <w:rPr>
                <w:b w:val="0"/>
                <w:i w:val="0"/>
                <w:sz w:val="14"/>
              </w:rPr>
              <w:t>Control sobre la lógica de negocio</w:t>
            </w:r>
          </w:p>
        </w:tc>
        <w:tc>
          <w:tcPr>
            <w:tcW w:type="dxa" w:w="2551"/>
          </w:tcPr>
          <w:p>
            <w:pPr>
              <w:spacing w:after="40" w:before="40"/>
              <w:jc w:val="left"/>
            </w:pPr>
            <w:r>
              <w:rPr>
                <w:b w:val="0"/>
                <w:i w:val="0"/>
                <w:sz w:val="14"/>
              </w:rPr>
              <w:t>Total: el flujo es un artefacto versionado y exportable.</w:t>
            </w:r>
          </w:p>
        </w:tc>
        <w:tc>
          <w:tcPr>
            <w:tcW w:type="dxa" w:w="2268"/>
          </w:tcPr>
          <w:p>
            <w:pPr>
              <w:spacing w:after="40" w:before="40"/>
              <w:jc w:val="left"/>
            </w:pPr>
            <w:r>
              <w:rPr>
                <w:b w:val="0"/>
                <w:i w:val="0"/>
                <w:sz w:val="14"/>
              </w:rPr>
              <w:t>Limitado a las opciones de configuración expuestas.</w:t>
            </w:r>
          </w:p>
        </w:tc>
        <w:tc>
          <w:tcPr>
            <w:tcW w:type="dxa" w:w="2154"/>
          </w:tcPr>
          <w:p>
            <w:pPr>
              <w:spacing w:after="40" w:before="40"/>
              <w:jc w:val="left"/>
            </w:pPr>
            <w:r>
              <w:rPr>
                <w:b w:val="0"/>
                <w:i w:val="0"/>
                <w:sz w:val="14"/>
              </w:rPr>
              <w:t>Alto sobre la integración, nulo sobre el modelo de datos.</w:t>
            </w:r>
          </w:p>
        </w:tc>
      </w:tr>
      <w:tr>
        <w:tc>
          <w:tcPr>
            <w:tcW w:type="dxa" w:w="1814"/>
          </w:tcPr>
          <w:p>
            <w:pPr>
              <w:spacing w:after="40" w:before="40"/>
              <w:jc w:val="left"/>
            </w:pPr>
            <w:r>
              <w:rPr>
                <w:b w:val="0"/>
                <w:i w:val="0"/>
                <w:sz w:val="14"/>
              </w:rPr>
              <w:t>Custodia del dato</w:t>
            </w:r>
          </w:p>
        </w:tc>
        <w:tc>
          <w:tcPr>
            <w:tcW w:type="dxa" w:w="2551"/>
          </w:tcPr>
          <w:p>
            <w:pPr>
              <w:spacing w:after="40" w:before="40"/>
              <w:jc w:val="left"/>
            </w:pPr>
            <w:r>
              <w:rPr>
                <w:b/>
                <w:i w:val="0"/>
                <w:sz w:val="14"/>
              </w:rPr>
              <w:t>Parcial:</w:t>
            </w:r>
            <w:r>
              <w:rPr>
                <w:b w:val="0"/>
                <w:i w:val="0"/>
                <w:sz w:val="14"/>
              </w:rPr>
              <w:t xml:space="preserve"> solo la orquestación es autoalojada; la persistencia y los canales son servicios de terceros (§2.8).</w:t>
            </w:r>
          </w:p>
        </w:tc>
        <w:tc>
          <w:tcPr>
            <w:tcW w:type="dxa" w:w="2268"/>
          </w:tcPr>
          <w:p>
            <w:pPr>
              <w:spacing w:after="40" w:before="40"/>
              <w:jc w:val="left"/>
            </w:pPr>
            <w:r>
              <w:rPr>
                <w:b w:val="0"/>
                <w:i w:val="0"/>
                <w:sz w:val="14"/>
              </w:rPr>
              <w:t>En la infraestructura del proveedor.</w:t>
            </w:r>
          </w:p>
        </w:tc>
        <w:tc>
          <w:tcPr>
            <w:tcW w:type="dxa" w:w="2154"/>
          </w:tcPr>
          <w:p>
            <w:pPr>
              <w:spacing w:after="40" w:before="40"/>
              <w:jc w:val="left"/>
            </w:pPr>
            <w:r>
              <w:rPr>
                <w:b w:val="0"/>
                <w:i w:val="0"/>
                <w:sz w:val="14"/>
              </w:rPr>
              <w:t>En la infraestructura del proveedor.</w:t>
            </w:r>
          </w:p>
        </w:tc>
      </w:tr>
      <w:tr>
        <w:tc>
          <w:tcPr>
            <w:tcW w:type="dxa" w:w="1814"/>
          </w:tcPr>
          <w:p>
            <w:pPr>
              <w:spacing w:after="40" w:before="40"/>
              <w:jc w:val="left"/>
            </w:pPr>
            <w:r>
              <w:rPr>
                <w:b w:val="0"/>
                <w:i w:val="0"/>
                <w:sz w:val="14"/>
              </w:rPr>
              <w:t>Esfuerzo de puesta en marcha</w:t>
            </w:r>
          </w:p>
        </w:tc>
        <w:tc>
          <w:tcPr>
            <w:tcW w:type="dxa" w:w="2551"/>
          </w:tcPr>
          <w:p>
            <w:pPr>
              <w:spacing w:after="40" w:before="40"/>
              <w:jc w:val="left"/>
            </w:pPr>
            <w:r>
              <w:rPr>
                <w:b w:val="0"/>
                <w:i w:val="0"/>
                <w:sz w:val="14"/>
              </w:rPr>
              <w:t>Alto: desarrollo, despliegue y mantenimiento propios.</w:t>
            </w:r>
          </w:p>
        </w:tc>
        <w:tc>
          <w:tcPr>
            <w:tcW w:type="dxa" w:w="2268"/>
          </w:tcPr>
          <w:p>
            <w:pPr>
              <w:spacing w:after="40" w:before="40"/>
              <w:jc w:val="left"/>
            </w:pPr>
            <w:r>
              <w:rPr>
                <w:b w:val="0"/>
                <w:i w:val="0"/>
                <w:sz w:val="14"/>
              </w:rPr>
              <w:t>Bajo: configuración asistida.</w:t>
            </w:r>
          </w:p>
        </w:tc>
        <w:tc>
          <w:tcPr>
            <w:tcW w:type="dxa" w:w="2154"/>
          </w:tcPr>
          <w:p>
            <w:pPr>
              <w:spacing w:after="40" w:before="40"/>
              <w:jc w:val="left"/>
            </w:pPr>
            <w:r>
              <w:rPr>
                <w:b w:val="0"/>
                <w:i w:val="0"/>
                <w:sz w:val="14"/>
              </w:rPr>
              <w:t>Bajo a medio.</w:t>
            </w:r>
          </w:p>
        </w:tc>
      </w:tr>
      <w:tr>
        <w:tc>
          <w:tcPr>
            <w:tcW w:type="dxa" w:w="1814"/>
          </w:tcPr>
          <w:p>
            <w:pPr>
              <w:spacing w:after="40" w:before="40"/>
              <w:jc w:val="left"/>
            </w:pPr>
            <w:r>
              <w:rPr>
                <w:b w:val="0"/>
                <w:i w:val="0"/>
                <w:sz w:val="14"/>
              </w:rPr>
              <w:t>Madurez operativa</w:t>
            </w:r>
          </w:p>
        </w:tc>
        <w:tc>
          <w:tcPr>
            <w:tcW w:type="dxa" w:w="2551"/>
          </w:tcPr>
          <w:p>
            <w:pPr>
              <w:spacing w:after="40" w:before="40"/>
              <w:jc w:val="left"/>
            </w:pPr>
            <w:r>
              <w:rPr>
                <w:b w:val="0"/>
                <w:i w:val="0"/>
                <w:sz w:val="14"/>
              </w:rPr>
              <w:t>Baja: producto mínimo viable sin operación real y con deudas de seguridad declaradas (Tabla 11).</w:t>
            </w:r>
          </w:p>
        </w:tc>
        <w:tc>
          <w:tcPr>
            <w:tcW w:type="dxa" w:w="2268"/>
          </w:tcPr>
          <w:p>
            <w:pPr>
              <w:spacing w:after="40" w:before="40"/>
              <w:jc w:val="left"/>
            </w:pPr>
            <w:r>
              <w:rPr>
                <w:b w:val="0"/>
                <w:i w:val="0"/>
                <w:sz w:val="14"/>
              </w:rPr>
              <w:t>Alta: producto comercial con soporte.</w:t>
            </w:r>
          </w:p>
        </w:tc>
        <w:tc>
          <w:tcPr>
            <w:tcW w:type="dxa" w:w="2154"/>
          </w:tcPr>
          <w:p>
            <w:pPr>
              <w:spacing w:after="40" w:before="40"/>
              <w:jc w:val="left"/>
            </w:pPr>
            <w:r>
              <w:rPr>
                <w:b w:val="0"/>
                <w:i w:val="0"/>
                <w:sz w:val="14"/>
              </w:rPr>
              <w:t>Alta.</w:t>
            </w:r>
          </w:p>
        </w:tc>
      </w:tr>
    </w:tbl>
    <w:p>
      <w:pPr/>
      <w:r>
        <w:rPr>
          <w:b w:val="0"/>
          <w:i/>
          <w:sz w:val="15"/>
        </w:rPr>
        <w:t>Nota. Elaboración propia.</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5000" w:type="pct"/>
      </w:tblPr>
      <w:tblGrid>
        <w:gridCol w:w="2197"/>
        <w:gridCol w:w="2197"/>
        <w:gridCol w:w="2197"/>
        <w:gridCol w:w="2197"/>
      </w:tblGrid>
      <w:tr>
        <w:trPr>
          <w:tblHeader/>
        </w:trPr>
        <w:tc>
          <w:tcPr>
            <w:tcW w:type="dxa" w:w="1928"/>
            <w:shd w:val="clear" w:color="auto" w:fill="1F2937"/>
          </w:tcPr>
          <w:p>
            <w:pPr>
              <w:spacing w:after="40" w:before="40"/>
              <w:jc w:val="left"/>
            </w:pPr>
            <w:r>
              <w:rPr>
                <w:b/>
                <w:i w:val="0"/>
                <w:color w:val="FFFFFF"/>
                <w:sz w:val="14"/>
              </w:rPr>
              <w:t>Concepto</w:t>
            </w:r>
          </w:p>
        </w:tc>
        <w:tc>
          <w:tcPr>
            <w:tcW w:type="dxa" w:w="2381"/>
            <w:shd w:val="clear" w:color="auto" w:fill="1F2937"/>
          </w:tcPr>
          <w:p>
            <w:pPr>
              <w:spacing w:after="40" w:before="40"/>
              <w:jc w:val="left"/>
            </w:pPr>
            <w:r>
              <w:rPr>
                <w:b/>
                <w:i w:val="0"/>
                <w:color w:val="FFFFFF"/>
                <w:sz w:val="14"/>
              </w:rPr>
              <w:t>Solución construida</w:t>
            </w:r>
          </w:p>
        </w:tc>
        <w:tc>
          <w:tcPr>
            <w:tcW w:type="dxa" w:w="2268"/>
            <w:shd w:val="clear" w:color="auto" w:fill="1F2937"/>
          </w:tcPr>
          <w:p>
            <w:pPr>
              <w:spacing w:after="40" w:before="40"/>
              <w:jc w:val="left"/>
            </w:pPr>
            <w:r>
              <w:rPr>
                <w:b/>
                <w:i w:val="0"/>
                <w:color w:val="FFFFFF"/>
                <w:sz w:val="14"/>
              </w:rPr>
              <w:t>CRM comercial</w:t>
            </w:r>
          </w:p>
          <w:p>
            <w:pPr>
              <w:spacing w:after="40" w:before="0"/>
            </w:pPr>
            <w:r>
              <w:rPr>
                <w:b/>
                <w:i w:val="0"/>
                <w:color w:val="FFFFFF"/>
                <w:sz w:val="14"/>
              </w:rPr>
              <w:t>(HubSpot / Pipedrive)</w:t>
            </w:r>
          </w:p>
        </w:tc>
        <w:tc>
          <w:tcPr>
            <w:tcW w:type="dxa" w:w="2211"/>
            <w:shd w:val="clear" w:color="auto" w:fill="1F2937"/>
          </w:tcPr>
          <w:p>
            <w:pPr>
              <w:spacing w:after="40" w:before="40"/>
              <w:jc w:val="left"/>
            </w:pPr>
            <w:r>
              <w:rPr>
                <w:b/>
                <w:i w:val="0"/>
                <w:color w:val="FFFFFF"/>
                <w:sz w:val="14"/>
              </w:rPr>
              <w:t>iPaaS</w:t>
            </w:r>
          </w:p>
          <w:p>
            <w:pPr>
              <w:spacing w:after="40" w:before="0"/>
            </w:pPr>
            <w:r>
              <w:rPr>
                <w:b/>
                <w:i w:val="0"/>
                <w:color w:val="FFFFFF"/>
                <w:sz w:val="14"/>
              </w:rPr>
              <w:t>(Zapier / Make)</w:t>
            </w:r>
          </w:p>
        </w:tc>
      </w:tr>
      <w:tr>
        <w:tc>
          <w:tcPr>
            <w:tcW w:type="dxa" w:w="1928"/>
          </w:tcPr>
          <w:p>
            <w:pPr>
              <w:spacing w:after="40" w:before="40"/>
              <w:jc w:val="left"/>
            </w:pPr>
            <w:r>
              <w:rPr>
                <w:b w:val="0"/>
                <w:i w:val="0"/>
                <w:sz w:val="14"/>
              </w:rPr>
              <w:t>Modelo de facturación</w:t>
            </w:r>
          </w:p>
        </w:tc>
        <w:tc>
          <w:tcPr>
            <w:tcW w:type="dxa" w:w="2381"/>
          </w:tcPr>
          <w:p>
            <w:pPr>
              <w:spacing w:after="40" w:before="40"/>
              <w:jc w:val="left"/>
            </w:pPr>
            <w:r>
              <w:rPr>
                <w:b w:val="0"/>
                <w:i w:val="0"/>
                <w:sz w:val="14"/>
              </w:rPr>
              <w:t>Costo de la infraestructura que hospeda n8n. Sin costo por ejecución.</w:t>
            </w:r>
          </w:p>
        </w:tc>
        <w:tc>
          <w:tcPr>
            <w:tcW w:type="dxa" w:w="2268"/>
          </w:tcPr>
          <w:p>
            <w:pPr>
              <w:spacing w:after="40" w:before="40"/>
              <w:jc w:val="left"/>
            </w:pPr>
            <w:r>
              <w:rPr>
                <w:b w:val="0"/>
                <w:i w:val="0"/>
                <w:sz w:val="14"/>
              </w:rPr>
              <w:t>Suscripción por asiento y por mes; las funciones de scoring y automatización avanzada residen en los niveles superiores.</w:t>
            </w:r>
          </w:p>
        </w:tc>
        <w:tc>
          <w:tcPr>
            <w:tcW w:type="dxa" w:w="2211"/>
          </w:tcPr>
          <w:p>
            <w:pPr>
              <w:spacing w:after="40" w:before="40"/>
              <w:jc w:val="left"/>
            </w:pPr>
            <w:r>
              <w:rPr>
                <w:b w:val="0"/>
                <w:i w:val="0"/>
                <w:sz w:val="14"/>
              </w:rPr>
              <w:t>Suscripción por volumen de tareas u operaciones ejecutadas por mes.</w:t>
            </w:r>
          </w:p>
        </w:tc>
      </w:tr>
      <w:tr>
        <w:tc>
          <w:tcPr>
            <w:tcW w:type="dxa" w:w="1928"/>
          </w:tcPr>
          <w:p>
            <w:pPr>
              <w:spacing w:after="40" w:before="40"/>
              <w:jc w:val="left"/>
            </w:pPr>
            <w:r>
              <w:rPr>
                <w:b w:val="0"/>
                <w:i w:val="0"/>
                <w:sz w:val="14"/>
              </w:rPr>
              <w:t>Costo mensual estimado (USD)</w:t>
            </w:r>
          </w:p>
        </w:tc>
        <w:tc>
          <w:tcPr>
            <w:tcW w:type="dxa" w:w="2381"/>
          </w:tcPr>
          <w:p>
            <w:pPr>
              <w:spacing w:after="40" w:before="40"/>
              <w:jc w:val="left"/>
            </w:pPr>
            <w:r>
              <w:rPr>
                <w:b w:val="0"/>
                <w:i w:val="0"/>
                <w:sz w:val="14"/>
              </w:rPr>
              <w:t>USD 4,70 (Hetzner Cloud CX22; EUR 4,35/mes; fecha de consulta: 17 de agosto de 2026)</w:t>
            </w:r>
          </w:p>
        </w:tc>
        <w:tc>
          <w:tcPr>
            <w:tcW w:type="dxa" w:w="2268"/>
          </w:tcPr>
          <w:p>
            <w:pPr>
              <w:spacing w:after="40" w:before="40"/>
              <w:jc w:val="left"/>
            </w:pPr>
            <w:r>
              <w:rPr>
                <w:b w:val="0"/>
                <w:i w:val="0"/>
                <w:sz w:val="14"/>
              </w:rPr>
              <w:t>USD 49,00 (Pipedrive, plan Growth, facturación mensual; fecha de consulta: 17 de agosto de 2026)</w:t>
            </w:r>
          </w:p>
        </w:tc>
        <w:tc>
          <w:tcPr>
            <w:tcW w:type="dxa" w:w="2211"/>
          </w:tcPr>
          <w:p>
            <w:pPr>
              <w:spacing w:after="40" w:before="40"/>
              <w:jc w:val="left"/>
            </w:pPr>
            <w:r>
              <w:rPr>
                <w:b w:val="0"/>
                <w:i w:val="0"/>
                <w:sz w:val="14"/>
              </w:rPr>
              <w:t>USD 29,99 (Zapier, plan Starter, 750 tareas/mes; fecha de consulta: 17 de agosto de 2026)</w:t>
            </w:r>
          </w:p>
        </w:tc>
      </w:tr>
      <w:tr>
        <w:tc>
          <w:tcPr>
            <w:tcW w:type="dxa" w:w="1928"/>
          </w:tcPr>
          <w:p>
            <w:pPr>
              <w:spacing w:after="40" w:before="40"/>
              <w:jc w:val="left"/>
            </w:pPr>
            <w:r>
              <w:rPr>
                <w:b w:val="0"/>
                <w:i w:val="0"/>
                <w:sz w:val="14"/>
              </w:rPr>
              <w:t>Costo de la base de datos</w:t>
            </w:r>
          </w:p>
        </w:tc>
        <w:tc>
          <w:tcPr>
            <w:tcW w:type="dxa" w:w="2381"/>
          </w:tcPr>
          <w:p>
            <w:pPr>
              <w:spacing w:after="40" w:before="40"/>
              <w:jc w:val="left"/>
            </w:pPr>
            <w:r>
              <w:rPr>
                <w:b w:val="0"/>
                <w:i w:val="0"/>
                <w:sz w:val="14"/>
              </w:rPr>
              <w:t>Incluido en el nivel gratuito de Supabase para el volumen previsto; escala con el almacenamiento.</w:t>
            </w:r>
          </w:p>
        </w:tc>
        <w:tc>
          <w:tcPr>
            <w:tcW w:type="dxa" w:w="2268"/>
          </w:tcPr>
          <w:p>
            <w:pPr>
              <w:spacing w:after="40" w:before="40"/>
              <w:jc w:val="left"/>
            </w:pPr>
            <w:r>
              <w:rPr>
                <w:b w:val="0"/>
                <w:i w:val="0"/>
                <w:sz w:val="14"/>
              </w:rPr>
              <w:t>Incluido en la suscripción.</w:t>
            </w:r>
          </w:p>
        </w:tc>
        <w:tc>
          <w:tcPr>
            <w:tcW w:type="dxa" w:w="2211"/>
          </w:tcPr>
          <w:p>
            <w:pPr>
              <w:spacing w:after="40" w:before="40"/>
              <w:jc w:val="left"/>
            </w:pPr>
            <w:r>
              <w:rPr>
                <w:b w:val="0"/>
                <w:i w:val="0"/>
                <w:sz w:val="14"/>
              </w:rPr>
              <w:t>No aplica: no es sistema de registro.</w:t>
            </w:r>
          </w:p>
        </w:tc>
      </w:tr>
      <w:tr>
        <w:tc>
          <w:tcPr>
            <w:tcW w:type="dxa" w:w="1928"/>
          </w:tcPr>
          <w:p>
            <w:pPr>
              <w:spacing w:after="40" w:before="40"/>
              <w:jc w:val="left"/>
            </w:pPr>
            <w:r>
              <w:rPr>
                <w:b w:val="0"/>
                <w:i w:val="0"/>
                <w:sz w:val="14"/>
              </w:rPr>
              <w:t>Costo de la generación de PDF</w:t>
            </w:r>
          </w:p>
        </w:tc>
        <w:tc>
          <w:tcPr>
            <w:tcW w:type="dxa" w:w="2381"/>
          </w:tcPr>
          <w:p>
            <w:pPr>
              <w:spacing w:after="40" w:before="40"/>
              <w:jc w:val="left"/>
            </w:pPr>
            <w:r>
              <w:rPr>
                <w:b w:val="0"/>
                <w:i w:val="0"/>
                <w:sz w:val="14"/>
              </w:rPr>
              <w:t>Gotenberg autoalojado, sin costo de licencia.</w:t>
            </w:r>
          </w:p>
        </w:tc>
        <w:tc>
          <w:tcPr>
            <w:tcW w:type="dxa" w:w="2268"/>
          </w:tcPr>
          <w:p>
            <w:pPr>
              <w:spacing w:after="40" w:before="40"/>
              <w:jc w:val="left"/>
            </w:pPr>
            <w:r>
              <w:rPr>
                <w:b w:val="0"/>
                <w:i w:val="0"/>
                <w:sz w:val="14"/>
              </w:rPr>
              <w:t>Integración de terceros, facturada aparte.</w:t>
            </w:r>
          </w:p>
        </w:tc>
        <w:tc>
          <w:tcPr>
            <w:tcW w:type="dxa" w:w="2211"/>
          </w:tcPr>
          <w:p>
            <w:pPr>
              <w:spacing w:after="40" w:before="40"/>
              <w:jc w:val="left"/>
            </w:pPr>
            <w:r>
              <w:rPr>
                <w:b w:val="0"/>
                <w:i w:val="0"/>
                <w:sz w:val="14"/>
              </w:rPr>
              <w:t>Integración de terceros, facturada aparte.</w:t>
            </w:r>
          </w:p>
        </w:tc>
      </w:tr>
      <w:tr>
        <w:tc>
          <w:tcPr>
            <w:tcW w:type="dxa" w:w="1928"/>
          </w:tcPr>
          <w:p>
            <w:pPr>
              <w:spacing w:after="40" w:before="40"/>
              <w:jc w:val="left"/>
            </w:pPr>
            <w:r>
              <w:rPr>
                <w:b w:val="0"/>
                <w:i w:val="0"/>
                <w:sz w:val="14"/>
              </w:rPr>
              <w:t>Costo total a 12 meses (USD)</w:t>
            </w:r>
          </w:p>
        </w:tc>
        <w:tc>
          <w:tcPr>
            <w:tcW w:type="dxa" w:w="2381"/>
          </w:tcPr>
          <w:p>
            <w:pPr>
              <w:spacing w:after="40" w:before="40"/>
              <w:jc w:val="left"/>
            </w:pPr>
            <w:r>
              <w:rPr>
                <w:b w:val="0"/>
                <w:i w:val="0"/>
                <w:sz w:val="14"/>
              </w:rPr>
              <w:t>USD 56,40</w:t>
            </w:r>
          </w:p>
        </w:tc>
        <w:tc>
          <w:tcPr>
            <w:tcW w:type="dxa" w:w="2268"/>
          </w:tcPr>
          <w:p>
            <w:pPr>
              <w:spacing w:after="40" w:before="40"/>
              <w:jc w:val="left"/>
            </w:pPr>
            <w:r>
              <w:rPr>
                <w:b w:val="0"/>
                <w:i w:val="0"/>
                <w:sz w:val="14"/>
              </w:rPr>
              <w:t>USD 588,00</w:t>
            </w:r>
          </w:p>
        </w:tc>
        <w:tc>
          <w:tcPr>
            <w:tcW w:type="dxa" w:w="2211"/>
          </w:tcPr>
          <w:p>
            <w:pPr>
              <w:spacing w:after="40" w:before="40"/>
              <w:jc w:val="left"/>
            </w:pPr>
            <w:r>
              <w:rPr>
                <w:b w:val="0"/>
                <w:i w:val="0"/>
                <w:sz w:val="14"/>
              </w:rPr>
              <w:t>USD 359,88</w:t>
            </w:r>
          </w:p>
        </w:tc>
      </w:tr>
      <w:tr>
        <w:tc>
          <w:tcPr>
            <w:tcW w:type="dxa" w:w="1928"/>
          </w:tcPr>
          <w:p>
            <w:pPr>
              <w:spacing w:after="40" w:before="40"/>
              <w:jc w:val="left"/>
            </w:pPr>
            <w:r>
              <w:rPr>
                <w:b w:val="0"/>
                <w:i w:val="0"/>
                <w:sz w:val="14"/>
              </w:rPr>
              <w:t>Costo no monetario</w:t>
            </w:r>
          </w:p>
        </w:tc>
        <w:tc>
          <w:tcPr>
            <w:tcW w:type="dxa" w:w="2381"/>
          </w:tcPr>
          <w:p>
            <w:pPr>
              <w:spacing w:after="40" w:before="40"/>
              <w:jc w:val="left"/>
            </w:pPr>
            <w:r>
              <w:rPr>
                <w:b w:val="0"/>
                <w:i w:val="0"/>
                <w:sz w:val="14"/>
              </w:rPr>
              <w:t>Desarrollo inicial y mantenimiento del flujo, la base y el frontend, a cargo del profesional.</w:t>
            </w:r>
          </w:p>
        </w:tc>
        <w:tc>
          <w:tcPr>
            <w:tcW w:type="dxa" w:w="2268"/>
          </w:tcPr>
          <w:p>
            <w:pPr>
              <w:spacing w:after="40" w:before="40"/>
              <w:jc w:val="left"/>
            </w:pPr>
            <w:r>
              <w:rPr>
                <w:b w:val="0"/>
                <w:i w:val="0"/>
                <w:sz w:val="14"/>
              </w:rPr>
              <w:t>Configuración inicial; el mantenimiento del producto es del proveedor.</w:t>
            </w:r>
          </w:p>
        </w:tc>
        <w:tc>
          <w:tcPr>
            <w:tcW w:type="dxa" w:w="2211"/>
          </w:tcPr>
          <w:p>
            <w:pPr>
              <w:spacing w:after="40" w:before="40"/>
              <w:jc w:val="left"/>
            </w:pPr>
            <w:r>
              <w:rPr>
                <w:b w:val="0"/>
                <w:i w:val="0"/>
                <w:sz w:val="14"/>
              </w:rPr>
              <w:t>Configuración de escenarios; mantenimiento del proveedor.</w:t>
            </w:r>
          </w:p>
        </w:tc>
      </w:tr>
    </w:tbl>
    <w:p>
      <w:pPr/>
      <w:r>
        <w:rPr>
          <w:b w:val="0"/>
          <w:i/>
          <w:sz w:val="15"/>
        </w:rPr>
        <w:t>Nota. Elaboración propia. Supuestos declarados: un único usuario; volumen de 20 a 40 leads por mes; retención de datos de 12 meses; sin equipo de soporte. Las celdas monetarias quedan expresamente sin completar porque este trabajo no operó en producción ni verificó tarifas vigentes: consignar cifras no comprobadas reproduciría el defecto que esta tabla viene a corregir. Deben completarse con las tarifas publicadas en la fecha de presentación, indicando esa fecha de consulta.</w:t>
      </w:r>
    </w:p>
    <w:p w:rsidR="00D60FC7" w:rsidRDefault="00000000">
      <w:proofErr w:type="spellStart"/>
      <w:proofErr w:type="spellEnd"/>
      <w:proofErr w:type="spellStart"/>
      <w:proofErr w:type="spellEnd"/>
      <w:r>
        <w:rPr>
          <w:b w:val="0"/>
          <w:i w:val="0"/>
        </w:rPr>
        <w:t>Corresponde reconocer, además, las limitaciones del trabajo. La principal es de despliegue. Durante el desarrollo, el motor de automatización se ejecutó de forma autoalojada en un equipo local, sin una URL pública estable, lo que impide que el navegador de un cliente externo alcance los webhooks en un entorno productivo. Su resolución —mediante un túnel o un alojamiento en la nube— es condición para el uso real, y se plantea como trabajo futuro. En segundo lugar, la configuración administrativa de la plataforma de autenticación (URL de redirección y confirmación de correo) quedó pendiente por requerir un rol de administrador del que el equipo no dispuso durante el desarrollo, por lo que las pruebas se realizaron con un usuario confirmado manualmente (véase también el punto 9 del Capítulo 8). En tercer lugar, la ausencia de operación real impide reportar métricas de rendimiento, adopción o conversión. Por último, la pasarela de pago con MercadoPago (§4.3.3) no se validó con una operación en producción.</w:t>
      </w:r>
    </w:p>
    <w:p>
      <w:pPr>
        <w:pStyle w:val="Ttulo2"/>
      </w:pPr>
      <w:r>
        <w:rPr>
          <w:b w:val="0"/>
          <w:i w:val="0"/>
        </w:rPr>
        <w:t>6.2 Limitaciones que comprometen las afirmaciones del trabajo</w:t>
      </w:r>
    </w:p>
    <w:p>
      <w:pPr/>
      <w:r>
        <w:rPr>
          <w:b w:val="0"/>
          <w:i w:val="0"/>
        </w:rPr>
        <w:t>A las limitaciones anteriores —todas de alcance— se suman cuatro que afectan directamente a lo que el trabajo puede afirmar, y que conviene enunciar sin atenuantes:</w:t>
      </w:r>
    </w:p>
    <w:p>
      <w:pPr>
        <w:pStyle w:val="Prrafodelista"/>
      </w:pPr>
      <w:r>
        <w:rPr>
          <w:b/>
          <w:i w:val="0"/>
        </w:rPr>
        <w:t>El objetivo general no se midió, se reformuló.</w:t>
      </w:r>
      <w:r>
        <w:rPr>
          <w:b w:val="0"/>
          <w:i w:val="0"/>
        </w:rPr>
        <w:t xml:space="preserve"> La versión original prometía reducir la carga administrativa manual. Como no existe definición operacional de esa variable, ni línea de base, ni medición posterior, el objetivo se reformuló en términos de viabilidad técnica (§1.5). Lo que este trabajo acredita es que los flujos funcionan; no cuánto trabajo ahorran. Sostener lo segundo exigiría el estudio que el Capítulo 8 plantea.</w:t>
      </w:r>
    </w:p>
    <w:p>
      <w:pPr>
        <w:pStyle w:val="Prrafodelista"/>
      </w:pPr>
      <w:r>
        <w:rPr>
          <w:b/>
          <w:i w:val="0"/>
        </w:rPr>
        <w:t>La arquitectura es híbrida, no autoalojada.</w:t>
      </w:r>
      <w:r>
        <w:rPr>
          <w:b w:val="0"/>
          <w:i w:val="0"/>
        </w:rPr>
        <w:t xml:space="preserve"> El sistema depende de cinco servicios gestionados por terceros: Supabase, Vercel, Gmail, Telegram y Notion. Solo n8n es efectivamente autoalojado, y en un equipo local. La «propiedad total del dato» que §2.8 invocaba como razón para construir no se verifica en el artefacto y así quedó reformulada.</w:t>
      </w:r>
    </w:p>
    <w:p>
      <w:pPr>
        <w:pStyle w:val="Prrafodelista"/>
      </w:pPr>
      <w:r>
        <w:rPr>
          <w:b/>
          <w:i w:val="0"/>
        </w:rPr>
        <w:t>El sistema tiene deudas de seguridad conocidas; algunas siguen abiertas y una se cerró en el camino. La Tabla 11 las enumera. La más grave, por su consecuencia de negocio, era que el modo de desarrollo del webhook de pago seguía siendo alcanzable incluso con MercadoPago real configurado, permitiendo confirmar una factura como cobrada sin pago real de por medio (S2); se cerró el 23-ago-2026 agregando una verificación que rechaza esa vía en cuanto hay credenciales de MercadoPago activas, de modo que la confirmación de pago solo puede originarse ya en el proveedor real. La más amplia sigue abierta: siete de los doce webhooks no autentican el origen de la invocación. Esta última no impide la demostración de viabilidad técnica, pero sí impide el uso con clientes reales.</w:t>
      </w:r>
      <w:r>
        <w:rPr>
          <w:b w:val="0"/>
          <w:i w:val="0"/>
        </w:rPr>
      </w:r>
    </w:p>
    <w:p>
      <w:pPr>
        <w:pStyle w:val="Prrafodelista"/>
      </w:pPr>
      <w:r>
        <w:rPr>
          <w:b/>
          <w:i w:val="0"/>
        </w:rPr>
        <w:t>El sistema opera fuera de dos marcos normativos aplicables.</w:t>
      </w:r>
      <w:r>
        <w:rPr>
          <w:b w:val="0"/>
          <w:i w:val="0"/>
        </w:rPr>
        <w:t xml:space="preserve"> El comprobante que genera no cumple los requisitos del régimen de facturación electrónica argentino y el tratamiento de datos de contacto de personas identificables no contempla la Ley 25.326 (§1.7). Ambas dimensiones son directamente aplicables al artefacto y su omisión es una limitación del trabajo, no una decisión de alcance neutra.</w:t>
      </w:r>
    </w:p>
    <w:p>
      <w:pPr>
        <w:pStyle w:val="Ttulo2"/>
      </w:pPr>
      <w:r>
        <w:rPr>
          <w:b w:val="0"/>
          <w:i w:val="0"/>
        </w:rPr>
        <w:t>6.3 Incidente de seguridad abierto</w:t>
      </w:r>
    </w:p>
    <w:p>
      <w:pPr/>
      <w:r>
        <w:rPr>
          <w:b w:val="0"/>
          <w:i w:val="0"/>
        </w:rPr>
        <w:t>Durante la configuración inicial del proyecto de Supabase, la secret key y la service_role key se compartieron por un canal de mensajería no seguro. Ninguna de las dos se utilizó en el código ni se almacenó en el repositorio: el frontend emplea únicamente la clave pública, y el motor de automatización guarda la service_role key en sus credenciales internas. Pese a eso, la exposición ocurrió y no ha sido revertida. El proyecto de Supabase pertenece a un tercero, y la regeneración de esas claves requiere un rol de administrador del que el equipo no dispone.</w:t>
      </w:r>
      <w:r>
        <w:rPr>
          <w:rFonts w:ascii="Consolas" w:hAnsi="Consolas" w:cs="Consolas"/>
          <w:b w:val="0"/>
          <w:i w:val="0"/>
        </w:rPr>
      </w:r>
      <w:r>
        <w:rPr>
          <w:b w:val="0"/>
          <w:i w:val="0"/>
        </w:rPr>
      </w:r>
      <w:r>
        <w:rPr>
          <w:rFonts w:ascii="Consolas" w:hAnsi="Consolas" w:cs="Consolas"/>
          <w:b w:val="0"/>
          <w:i w:val="0"/>
        </w:rPr>
      </w:r>
      <w:r>
        <w:rPr>
          <w:b w:val="0"/>
          <w:i w:val="0"/>
        </w:rPr>
      </w:r>
      <w:r>
        <w:rPr>
          <w:rFonts w:ascii="Consolas" w:hAnsi="Consolas" w:cs="Consolas"/>
          <w:b w:val="0"/>
          <w:i w:val="0"/>
        </w:rPr>
      </w:r>
      <w:r>
        <w:rPr>
          <w:b w:val="0"/>
          <w:i w:val="0"/>
        </w:rPr>
      </w:r>
    </w:p>
    <w:p>
      <w:pPr/>
      <w:r>
        <w:rPr>
          <w:b w:val="0"/>
          <w:i w:val="0"/>
        </w:rPr>
        <w:t xml:space="preserve">Esto no es una línea de trabajo futuro sino un incidente de seguridad abierto, y como tal se consigna aquí y en la Tabla 11 (S7). Su relevancia es directa: según §4.6, la </w:t>
      </w:r>
      <w:r>
        <w:rPr>
          <w:rFonts w:ascii="Consolas" w:hAnsi="Consolas" w:cs="Consolas"/>
          <w:b w:val="0"/>
          <w:i w:val="0"/>
        </w:rPr>
        <w:t>service_role key</w:t>
      </w:r>
      <w:r>
        <w:rPr>
          <w:b w:val="0"/>
          <w:i w:val="0"/>
        </w:rPr>
        <w:t xml:space="preserve"> evade por diseño la seguridad a nivel de fila y es la única credencial con permiso de escritura sobre las cinco tablas. Mientras no se rote, la integridad de los datos no está garantizada. La resolución —gestionar el acceso con el titular del proyecto o migrar a un proyecto propio— debe completarse antes de cualquier uso real y, preferentemente, antes de la defensa.</w:t>
      </w:r>
    </w:p>
    <w:p w:rsidR="00D60FC7" w:rsidRDefault="00000000">
      <w:r>
        <w:br w:type="page"/>
      </w:r>
    </w:p>
    <w:p w:rsidR="00D60FC7" w:rsidRDefault="00000000">
      <w:pPr>
        <w:pStyle w:val="Ttulo1"/>
      </w:pPr>
      <w:bookmarkStart w:id="51" w:name="_Toc233808457"/>
      <w:r>
        <w:t>Capítulo 7: Conclusiones</w:t>
      </w:r>
      <w:bookmarkEnd w:id="51"/>
    </w:p>
    <w:p w:rsidR="00D60FC7" w:rsidRDefault="00000000">
      <w:proofErr w:type="spellStart"/>
      <w:proofErr w:type="spellEnd"/>
      <w:r>
        <w:rPr>
          <w:b w:val="0"/>
          <w:i w:val="0"/>
        </w:rPr>
        <w:t xml:space="preserve">Este trabajo se propuso responder si es técnicamente viable automatizar el ciclo de vida completo de la gestión de clientes de un freelancer mediante una arquitectura orientada a eventos de bajo código, de modo que las tareas hoy manuales queden delegadas en el sistema sin sacrificar la trazabilidad ni el control del profesional. </w:t>
      </w:r>
      <w:r>
        <w:rPr>
          <w:b/>
          <w:i w:val="0"/>
        </w:rPr>
        <w:t>La respuesta es afirmativa en cuanto a la viabilidad técnica y a la trazabilidad, y queda fuera del alcance de la evidencia recogida en cuanto a la magnitud del ahorro de trabajo.</w:t>
      </w:r>
      <w:r>
        <w:rPr>
          <w:b w:val="0"/>
          <w:i w:val="0"/>
        </w:rPr>
        <w:t xml:space="preserve"> A continuación se responde punto por punto a los objetivos específicos y, después, al objetivo general y a la pregunta de investigación.</w:t>
      </w:r>
    </w:p>
    <w:p w:rsidR="00D60FC7" w:rsidRDefault="00000000">
      <w:pPr>
        <w:pStyle w:val="Prrafodelista"/>
        <w:numPr>
          <w:ilvl w:val="0"/>
          <w:numId w:val="1"/>
        </w:numPr>
      </w:pPr>
      <w:r>
        <w:rPr>
          <w:b/>
        </w:rPr>
        <w:t>OE1.</w:t>
      </w:r>
      <w:r>
        <w:t xml:space="preserve"> Se implementó y validó el formulario público de captación con validación, integrado a n8n por </w:t>
      </w:r>
      <w:proofErr w:type="spellStart"/>
      <w:r>
        <w:t>webhook</w:t>
      </w:r>
      <w:proofErr w:type="spellEnd"/>
      <w:r>
        <w:t xml:space="preserve"> (escenarios E1–E4). </w:t>
      </w:r>
      <w:r>
        <w:rPr>
          <w:b/>
        </w:rPr>
        <w:t>Cumplido.</w:t>
      </w:r>
    </w:p>
    <w:p w:rsidR="00D60FC7" w:rsidRDefault="00000000">
      <w:pPr>
        <w:pStyle w:val="Prrafodelista"/>
        <w:numPr>
          <w:ilvl w:val="0"/>
          <w:numId w:val="1"/>
        </w:numPr>
      </w:pPr>
      <w:r>
        <w:rPr>
          <w:b/>
        </w:rPr>
        <w:t>OE2.</w:t>
      </w:r>
      <w:r>
        <w:t xml:space="preserve"> Se diseñó y verificó el mecanismo de normalización y </w:t>
      </w:r>
      <w:proofErr w:type="spellStart"/>
      <w:r>
        <w:t>scoring</w:t>
      </w:r>
      <w:proofErr w:type="spellEnd"/>
      <w:r>
        <w:t xml:space="preserve">, que clasifica cada lead en HOT, WARM o COLD según cuatro criterios ponderados (escenarios E1–E3). </w:t>
      </w:r>
      <w:r>
        <w:rPr>
          <w:b/>
        </w:rPr>
        <w:t>Cumplido</w:t>
      </w:r>
      <w:r>
        <w:t xml:space="preserve">, con la salvedad de que la validez del </w:t>
      </w:r>
      <w:proofErr w:type="spellStart"/>
      <w:r>
        <w:t>scoring</w:t>
      </w:r>
      <w:proofErr w:type="spellEnd"/>
      <w:r>
        <w:t xml:space="preserve"> es de diseño y no empírica.</w:t>
      </w:r>
    </w:p>
    <w:p w:rsidR="00D60FC7" w:rsidRDefault="00000000">
      <w:pPr>
        <w:pStyle w:val="Prrafodelista"/>
        <w:numPr>
          <w:ilvl w:val="0"/>
          <w:numId w:val="1"/>
        </w:numPr>
      </w:pPr>
      <w:r>
        <w:rPr>
          <w:b/>
        </w:rPr>
        <w:t>OE3.</w:t>
      </w:r>
      <w:r>
        <w:t xml:space="preserve"> Se automatizó el ciclo comercial —propuesta, aceptación con token de un solo uso, facturación en PDF y registro del cobro— con notificaciones por correo y </w:t>
      </w:r>
      <w:proofErr w:type="spellStart"/>
      <w:r>
        <w:t>Telegram</w:t>
      </w:r>
      <w:proofErr w:type="spellEnd"/>
      <w:r>
        <w:t xml:space="preserve"> (escenarios E5–E6). </w:t>
      </w:r>
      <w:r>
        <w:rPr>
          <w:b/>
        </w:rPr>
        <w:t>Cumplido</w:t>
      </w:r>
      <w:r>
        <w:t>, con el cobro verificado contra la API de MercadoPago; la pasarela no se validó aún con una operación en producción (§4.3.3).</w:t>
      </w:r>
    </w:p>
    <w:p w:rsidR="00D60FC7" w:rsidRDefault="00000000">
      <w:pPr>
        <w:pStyle w:val="Prrafodelista"/>
        <w:numPr>
          <w:ilvl w:val="0"/>
          <w:numId w:val="1"/>
        </w:numPr>
      </w:pPr>
      <w:r>
        <w:rPr>
          <w:b/>
        </w:rPr>
        <w:t>OE4.</w:t>
      </w:r>
      <w:r>
        <w:t xml:space="preserve"> Se diseñó el modelo de datos relacional con seguridad a nivel de fila y se expuso el tablero autenticado con métricas del mes, embudo y facturas pendientes. </w:t>
      </w:r>
      <w:r>
        <w:rPr>
          <w:b/>
        </w:rPr>
        <w:t>Cumplido parcialmente: el modelo de datos y la RLS están verificados (npm run test:rls); la actualización en tiempo real del tablero (escenario E7) no pudo comprobarse porque la tabla leads no está incluida en la publicación supabase_realtime de la instancia utilizada.</w:t>
      </w:r>
    </w:p>
    <w:p w:rsidR="00D60FC7" w:rsidRDefault="00000000">
      <w:pPr>
        <w:pStyle w:val="Prrafodelista"/>
        <w:numPr>
          <w:ilvl w:val="0"/>
          <w:numId w:val="1"/>
        </w:numPr>
      </w:pPr>
      <w:r>
        <w:rPr>
          <w:b/>
        </w:rPr>
        <w:t>OE5.</w:t>
      </w:r>
      <w:r>
        <w:t xml:space="preserve"> Se incorporaron los procesos programados de seguimiento, recordatorio de pago y reporte diario. </w:t>
      </w:r>
      <w:r>
        <w:rPr>
          <w:b/>
        </w:rPr>
        <w:t>Cumplido parcialmente: el seguimiento y los recordatorios de pago se ejercitaron manualmente el 23-ago-2026 (E11, E12), lo que reveló y permitió corregir tres defectos reales; el reporte diario (E13) se disparó pero no produjo evidencia, porque no queda actividad de agosto persistida en la base para que la vista agregue (Capítulo 5).</w:t>
      </w:r>
    </w:p>
    <w:p w:rsidR="00D60FC7" w:rsidRDefault="00000000">
      <w:proofErr w:type="spellStart"/>
      <w:proofErr w:type="spellEnd"/>
      <w:proofErr w:type="spellStart"/>
      <w:proofErr w:type="spellEnd"/>
      <w:r>
        <w:rPr>
          <w:b/>
          <w:i w:val="0"/>
        </w:rPr>
        <w:t>Respuesta al objetivo general.</w:t>
      </w:r>
      <w:r>
        <w:rPr>
          <w:b w:val="0"/>
          <w:i w:val="0"/>
        </w:rPr>
        <w:t xml:space="preserve"> El objetivo general —diseñar, implementar y validar funcionalmente una plataforma que automatice el ciclo completo, demostrando la viabilidad técnica de delegar en el sistema las tareas administrativas manuales— se alcanza. El artefacto existe, es público y ejecuta de extremo a extremo los flujos de captación, calificación, propuesta, aceptación, facturación, cobro y cierre, con tres procesos programados que operan sin intervención. La trazabilidad, segundo término de la pregunta de investigación, queda acreditada por construcción: cada lead tiene un estado explícito, marcas temporales de cada transición, un registro de auditoría en la tabla </w:t>
      </w:r>
      <w:r>
        <w:rPr>
          <w:rFonts w:ascii="Consolas" w:hAnsi="Consolas" w:cs="Consolas"/>
          <w:b w:val="0"/>
          <w:i w:val="0"/>
        </w:rPr>
        <w:t>logs</w:t>
      </w:r>
      <w:r>
        <w:rPr>
          <w:b w:val="0"/>
          <w:i w:val="0"/>
        </w:rPr>
        <w:t xml:space="preserve"> y un tablero que expone el embudo completo.</w:t>
      </w:r>
    </w:p>
    <w:p>
      <w:pPr/>
      <w:r>
        <w:rPr>
          <w:b/>
          <w:i w:val="0"/>
        </w:rPr>
        <w:t>Respuesta a la pregunta de investigación, y su límite.</w:t>
      </w:r>
      <w:r>
        <w:rPr>
          <w:b w:val="0"/>
          <w:i w:val="0"/>
        </w:rPr>
        <w:t xml:space="preserve"> La condición «sin sacrificar la trazabilidad ni el control» se satisface: el profesional conserva el control mediante el tablero interno, que permite cancelar leads, resolver pedidos de cambio y actualizar el estado del trabajo. Lo que la evidencia recogida </w:t>
      </w:r>
      <w:r>
        <w:rPr>
          <w:b w:val="0"/>
          <w:i/>
        </w:rPr>
        <w:t>no</w:t>
      </w:r>
      <w:r>
        <w:rPr>
          <w:b w:val="0"/>
          <w:i w:val="0"/>
        </w:rPr>
        <w:t xml:space="preserve"> acredita es la magnitud de la reducción de la carga administrativa. Se trata de una limitación de diseño de la validación, no de un hallazgo negativo: los escenarios funcionales, por construcción, verifican comportamiento y no miden esfuerzo. Afirmar lo contrario sería exceder lo demostrado, y por eso el objetivo general fue reformulado en §1.5 en lugar de darse por cumplido en su versión original.</w:t>
      </w:r>
    </w:p>
    <w:p>
      <w:pPr/>
      <w:r>
        <w:rPr>
          <w:b w:val="0"/>
          <w:i w:val="0"/>
        </w:rPr>
        <w:t>Quedan igualmente sugeridos, pero no demostrados, la mejora de indicadores comerciales reales y el menor costo operativo frente a las alternativas comerciales: el primero dependería de una operación en producción y el segundo, de completar la estimación de la Tabla 13 con tarifas verificadas.</w:t>
      </w:r>
    </w:p>
    <w:p>
      <w:pPr>
        <w:pStyle w:val="Ttulo2"/>
      </w:pPr>
      <w:r>
        <w:rPr>
          <w:b w:val="0"/>
          <w:i w:val="0"/>
        </w:rPr>
        <w:t>7.1 Aprendizajes del proceso</w:t>
      </w:r>
    </w:p>
    <w:p>
      <w:pPr/>
      <w:r>
        <w:rPr>
          <w:b w:val="0"/>
          <w:i w:val="0"/>
        </w:rPr>
        <w:t>Un capítulo de conclusiones aporta algo que ningún otro puede aportar: qué aprendieron los autores. Se registran cuatro aprendizajes, formulados a partir de lo que efectivamente ocurrió durante el desarrollo.</w:t>
      </w:r>
    </w:p>
    <w:p>
      <w:pPr>
        <w:pStyle w:val="Prrafodelista"/>
      </w:pPr>
      <w:r>
        <w:rPr>
          <w:b/>
          <w:i w:val="0"/>
        </w:rPr>
        <w:t>El documento y el artefacto se desincronizan si no se los versiona juntos.</w:t>
      </w:r>
      <w:r>
        <w:rPr>
          <w:b w:val="0"/>
          <w:i w:val="0"/>
        </w:rPr>
        <w:t xml:space="preserve"> La distancia más costosa de este trabajo no fue técnica sino documental: el diagrama de arquitectura quedó anclado a una versión con 71 nodos mientras el sistema llegaba a 128; los anexos quedaron declarativos mientras el repositorio acumulaba el material que debían contener; el capítulo de seguridad describía menos de lo implementado y omitía lo pendiente. La lección es que la documentación de un artefacto vivo debe generarse desde el artefacto, no en paralelo a él.</w:t>
      </w:r>
    </w:p>
    <w:p>
      <w:pPr>
        <w:pStyle w:val="Prrafodelista"/>
      </w:pPr>
      <w:r>
        <w:rPr>
          <w:b/>
          <w:i w:val="0"/>
        </w:rPr>
        <w:t>Una promesa en el objetivo general condiciona toda la cadena metodológica.</w:t>
      </w:r>
      <w:r>
        <w:rPr>
          <w:b w:val="0"/>
          <w:i w:val="0"/>
        </w:rPr>
        <w:t xml:space="preserve"> Incorporar «reduciendo la carga administrativa» al objetivo obligaba a una estrategia de validación capaz de medirlo, que nunca se diseñó. La decisión correcta —tomada tarde— fue ajustar el objetivo a lo que la validación podía acreditar. Si repitiéramos el trabajo, definiríamos las variables y su forma de medición antes de escribir el objetivo, no después.</w:t>
      </w:r>
    </w:p>
    <w:p>
      <w:pPr>
        <w:pStyle w:val="Prrafodelista"/>
      </w:pPr>
      <w:r>
        <w:rPr>
          <w:b/>
          <w:i w:val="0"/>
        </w:rPr>
        <w:t>La atomicidad se resolvió bien; la frontera transaccional, no.</w:t>
      </w:r>
      <w:r>
        <w:rPr>
          <w:b w:val="0"/>
          <w:i w:val="0"/>
        </w:rPr>
        <w:t xml:space="preserve"> El análisis de concurrencia de §4.3.2 protege correctamente contra la doble facturación, y fue el problema técnico más difícil del ciclo. Sin embargo, concentrar el esfuerzo en ese punto ocultó que los cuatro pasos siguientes quedaban fuera de toda garantía. Una decisión de diseño correcta en un punto no cubre la operación completa: la pregunta útil no es «¿este nodo es atómico?» sino «¿qué ocurre si falla el paso siguiente?».</w:t>
      </w:r>
    </w:p>
    <w:p>
      <w:pPr>
        <w:pStyle w:val="Prrafodelista"/>
      </w:pPr>
      <w:r>
        <w:rPr>
          <w:b/>
          <w:i w:val="0"/>
        </w:rPr>
        <w:t>El método HTTP no es un detalle de forma.</w:t>
      </w:r>
      <w:r>
        <w:rPr>
          <w:b w:val="0"/>
          <w:i w:val="0"/>
        </w:rPr>
        <w:t xml:space="preserve"> Resolver la confirmación de pago con un GET alcanzable desde el PDF del deudor parecía, durante el desarrollo, una simplificación admisible para un pago simulado. No lo era: el modelo de confianza que introduce se habría trasladado intacto a una pasarela real. La lección es que las decisiones etiquetadas como «provisorias» deben revisarse con el mismo criterio que las definitivas, porque rara vez se revisan después.</w:t>
      </w:r>
    </w:p>
    <w:p w:rsidR="00D60FC7" w:rsidRDefault="00000000">
      <w:r>
        <w:br w:type="page"/>
      </w:r>
    </w:p>
    <w:p w:rsidR="00D60FC7" w:rsidRDefault="00000000">
      <w:pPr>
        <w:pStyle w:val="Ttulo1"/>
      </w:pPr>
      <w:bookmarkStart w:id="52" w:name="_Toc233808458"/>
      <w:r>
        <w:t>Capítulo 8: Trabajos Futuros y Recomendaciones</w:t>
      </w:r>
      <w:bookmarkEnd w:id="52"/>
    </w:p>
    <w:p w:rsidR="00D60FC7" w:rsidRDefault="00000000">
      <w:r>
        <w:rPr>
          <w:b w:val="0"/>
          <w:i w:val="0"/>
        </w:rPr>
        <w:t>A partir de las limitaciones y de los riesgos identificados, se proponen las siguientes líneas de trabajo, ordenadas de mayor a menor prioridad. Las tres primeras son condición previa a cualquier uso con clientes reales; las restantes amplían el alcance del sistema o del estudio. Se excluye deliberadamente de esta lista la rotación de credenciales comprometidas: no es una línea de trabajo futuro sino un incidente de seguridad abierto y se trata como tal en §6.3.</w:t>
      </w:r>
    </w:p>
    <w:p>
      <w:pPr/>
      <w:r>
        <w:rPr>
          <w:b/>
          <w:i w:val="0"/>
        </w:rPr>
        <w:t>1. Cerrar las deudas de seguridad declaradas en la Tabla 11. Implementar autenticación de origen en los siete webhooks que aún no la tienen —secreto compartido en cabecera o firma HMAC del cuerpo—; habilitar por defecto la validación de firma del webhook de MercadoPago (MP_WEBHOOK_SECRET); y almacenar un resumen criptográfico del token de aceptación en lugar del valor en claro (el vencimiento configurable ya está implementado). Ninguna de las tres exige rediseñar el sistema.</w:t>
      </w:r>
      <w:r>
        <w:rPr>
          <w:b w:val="0"/>
          <w:i w:val="0"/>
        </w:rPr>
      </w:r>
      <w:r>
        <w:rPr>
          <w:rFonts w:ascii="Consolas" w:hAnsi="Consolas" w:cs="Consolas"/>
          <w:b w:val="0"/>
          <w:i w:val="0"/>
        </w:rPr>
      </w:r>
      <w:r>
        <w:rPr>
          <w:b w:val="0"/>
          <w:i w:val="0"/>
        </w:rPr>
      </w:r>
    </w:p>
    <w:p>
      <w:pPr/>
      <w:r>
        <w:rPr>
          <w:b/>
          <w:i w:val="0"/>
        </w:rPr>
        <w:t>2. Exponer el backend de automatización.</w:t>
      </w:r>
      <w:r>
        <w:rPr>
          <w:b w:val="0"/>
          <w:i w:val="0"/>
        </w:rPr>
        <w:t xml:space="preserve"> Publicar la instancia de n8n mediante un túnel seguro o un alojamiento en la nube, con una URL estable y HTTPS. Es condición previa a cualquier uso real y debe hacerse después —no antes— de resolver el punto 1, porque exponer públicamente webhooks sin autenticación de origen agrava el riesgo.</w:t>
      </w:r>
    </w:p>
    <w:p>
      <w:pPr/>
      <w:r>
        <w:rPr>
          <w:b/>
          <w:i w:val="0"/>
        </w:rPr>
        <w:t>3. Incorporar frontera transaccional y reconciliación.</w:t>
      </w:r>
      <w:r>
        <w:rPr>
          <w:b w:val="0"/>
          <w:i w:val="0"/>
        </w:rPr>
        <w:t xml:space="preserve"> Añadir un proceso programado que detecte leads en estado ACEPTADO sin factura asociada y reintente la facturación de forma idempotente; y otro que detecte leads en NUEVO con antigüedad superior a un umbral, que es el síntoma de un fallo del nodo de scoring (§4.3.1). Incorporar además deduplicación por correo en la captación.</w:t>
      </w:r>
    </w:p>
    <w:p>
      <w:pPr/>
      <w:r>
        <w:rPr>
          <w:b/>
          <w:i w:val="0"/>
        </w:rPr>
        <w:t>4. Medir la carga administrativa.</w:t>
      </w:r>
      <w:r>
        <w:rPr>
          <w:b w:val="0"/>
          <w:i w:val="0"/>
        </w:rPr>
        <w:t xml:space="preserve"> Aplicar la definición operacional propuesta en §1.5 —número de acciones manuales por lead, desde el ingreso hasta el cobro— sobre dos muestras comparables: leads gestionados manualmente y leads gestionados por el sistema. Es la medición que permitiría afirmar lo que la versión original del objetivo general prometía.</w:t>
      </w:r>
    </w:p>
    <w:p>
      <w:pPr/>
      <w:r>
        <w:rPr>
          <w:b/>
          <w:i w:val="0"/>
        </w:rPr>
        <w:t>5. Completar el cumplimiento normativo.</w:t>
      </w:r>
      <w:r>
        <w:rPr>
          <w:b w:val="0"/>
          <w:i w:val="0"/>
        </w:rPr>
        <w:t xml:space="preserve"> Incorporar los requisitos del régimen de facturación electrónica argentino para que el comprobante tenga validez fiscal, y el tratamiento de datos personales conforme a la Ley 25.326: aviso de privacidad en el formulario, consentimiento informado, política de retención y registro de la base.</w:t>
      </w:r>
    </w:p>
    <w:p>
      <w:pPr/>
      <w:r>
        <w:rPr>
          <w:b/>
          <w:i w:val="0"/>
        </w:rPr>
        <w:t>6. Cerrar lo que queda de la integración de pagos. La pasarela de pago real ya está integrada (MercadoPago, §4.3.3): la confirmación depende de la API del proveedor, no de una acción del cliente, y la actualización es idempotente. Quedan dos tareas: habilitar por defecto la validación de firma del webhook (MP_WEBHOOK_SECRET), hoy opcional, y evaluar el split de pagos vía la API de Marketplace de MercadoPago cuando el sistema pase a operar con más de un profesional cobrando a cuentas distintas (§4.5).</w:t>
      </w:r>
      <w:r>
        <w:rPr>
          <w:b w:val="0"/>
          <w:i w:val="0"/>
        </w:rPr>
      </w:r>
    </w:p>
    <w:p>
      <w:pPr/>
      <w:r>
        <w:rPr>
          <w:b/>
          <w:i w:val="0"/>
        </w:rPr>
        <w:t>7. Ampliar la cobertura de pruebas automatizadas y la observabilidad.</w:t>
      </w:r>
      <w:r>
        <w:rPr>
          <w:b w:val="0"/>
          <w:i w:val="0"/>
        </w:rPr>
        <w:t xml:space="preserve"> A partir de la prueba de humo existente sobre los nodos Code, extender las pruebas hacia la verificación funcional de las reglas de negocio —aserciones sobre el score de los casos de la Tabla 5 y sobre las transiciones de la Tabla 9—, hacia los componentes del frontend y hacia los flujos de integración de extremo a extremo. Incorporar métricas de ejecución del flujo, aprovechando la tabla </w:t>
      </w:r>
      <w:r>
        <w:rPr>
          <w:rFonts w:ascii="Consolas" w:hAnsi="Consolas" w:cs="Consolas"/>
          <w:b w:val="0"/>
          <w:i w:val="0"/>
        </w:rPr>
        <w:t>logs</w:t>
      </w:r>
      <w:r>
        <w:rPr>
          <w:b w:val="0"/>
          <w:i w:val="0"/>
        </w:rPr>
        <w:t>, que hoy existe y no alimenta ningún tablero de salud.</w:t>
      </w:r>
    </w:p>
    <w:p>
      <w:pPr/>
      <w:r>
        <w:rPr>
          <w:b/>
          <w:i w:val="0"/>
        </w:rPr>
        <w:t>8. Calibrar el scoring con datos históricos.</w:t>
      </w:r>
      <w:r>
        <w:rPr>
          <w:b w:val="0"/>
          <w:i w:val="0"/>
        </w:rPr>
        <w:t xml:space="preserve"> Registrar la conversión efectiva de los leads y ajustar umbrales y ponderaciones a partir de esos datos, transformando la validez de diseño del modelo en validez empírica. Revisar en esa instancia las tres decisiones señaladas en §4.3.1: la alineación entre el rango del control deslizante y los tramos de puntaje, la ponderación asignada a la opción «Otro» y los tres valores de servicio hoy inalcanzables desde el formulario.</w:t>
      </w:r>
    </w:p>
    <w:p>
      <w:pPr/>
      <w:r>
        <w:rPr>
          <w:b/>
          <w:i w:val="0"/>
        </w:rPr>
        <w:t>9. Completar la configuración de autenticación y roles.</w:t>
      </w:r>
      <w:r>
        <w:rPr>
          <w:b w:val="0"/>
          <w:i w:val="0"/>
        </w:rPr>
        <w:t xml:space="preserve"> Finalizar la configuración administrativa de Supabase (URL de redirección y confirmación de correo) y ampliar el modelo de roles para escenarios con más de un profesional.</w:t>
      </w:r>
    </w:p>
    <w:p>
      <w:pPr/>
      <w:r>
        <w:rPr>
          <w:b/>
          <w:i w:val="0"/>
        </w:rPr>
        <w:t>10. Incorporar la acción de cierre al tablero interno.</w:t>
      </w:r>
      <w:r>
        <w:rPr>
          <w:b w:val="0"/>
          <w:i w:val="0"/>
        </w:rPr>
        <w:t xml:space="preserve"> Hoy </w:t>
      </w:r>
      <w:r>
        <w:rPr>
          <w:rFonts w:ascii="Consolas" w:hAnsi="Consolas" w:cs="Consolas"/>
          <w:b w:val="0"/>
          <w:i w:val="0"/>
        </w:rPr>
        <w:t>/proyecto-cerrado</w:t>
      </w:r>
      <w:r>
        <w:rPr>
          <w:b w:val="0"/>
          <w:i w:val="0"/>
        </w:rPr>
        <w:t xml:space="preserve"> se dispara manualmente y no tiene origen en la interfaz (§4.3.4). Unificar además la nomenclatura de las rutas, hoy dividida entre barra y guion (§4.5).</w:t>
      </w:r>
    </w:p>
    <w:p>
      <w:pPr/>
      <w:r>
        <w:rPr>
          <w:b/>
          <w:i w:val="0"/>
        </w:rPr>
        <w:t>11. Realizar un relevamiento primario con usuarios reales.</w:t>
      </w:r>
      <w:r>
        <w:rPr>
          <w:b w:val="0"/>
          <w:i w:val="0"/>
        </w:rPr>
        <w:t xml:space="preserve"> Encuestar o entrevistar a una muestra de freelancers para validar empíricamente las prioridades del ciclo comercial y calibrar los umbrales del scoring (§3.3 y §6).</w:t>
      </w:r>
    </w:p>
    <w:p>
      <w:pPr/>
      <w:r>
        <w:rPr>
          <w:b/>
          <w:i w:val="0"/>
        </w:rPr>
        <w:t>12. Abstraer los canales de notificación y de generación documental.</w:t>
      </w:r>
      <w:r>
        <w:rPr>
          <w:b w:val="0"/>
          <w:i w:val="0"/>
        </w:rPr>
        <w:t xml:space="preserve"> Introducir una capa que desacople el flujo de Gmail, Telegram, Notion y Gotenberg, de modo que incorporar o sustituir un canal no exija modificar cada punto de notificación (§6).</w:t>
      </w:r>
    </w:p>
    <w:p w:rsidR="00D60FC7" w:rsidRDefault="00000000">
      <w:r>
        <w:br w:type="page"/>
      </w:r>
    </w:p>
    <w:p w:rsidR="00D60FC7" w:rsidRDefault="00000000">
      <w:pPr>
        <w:pStyle w:val="Ttulo1"/>
      </w:pPr>
      <w:bookmarkStart w:id="53" w:name="_Toc233808459"/>
      <w:r>
        <w:t>Referencias</w:t>
      </w:r>
      <w:bookmarkEnd w:id="53"/>
    </w:p>
    <w:p w:rsidR="00D60FC7" w:rsidRDefault="00000000">
      <w:pPr>
        <w:spacing w:after="120"/>
        <w:ind w:left="720" w:hanging="720"/>
      </w:pPr>
      <w:r>
        <w:t xml:space="preserve">American Psychological Association. (2020). </w:t>
      </w:r>
      <w:r>
        <w:rPr>
          <w:i/>
        </w:rPr>
        <w:t>Publication manual of the American Psychological Association</w:t>
      </w:r>
      <w:r>
        <w:t xml:space="preserve"> (7.ª ed.). https://doi.org/10.1037/0000165-000</w:t>
      </w:r>
    </w:p>
    <w:p w:rsidR="00D60FC7" w:rsidRDefault="00000000">
      <w:pPr>
        <w:spacing w:after="120"/>
        <w:ind w:left="720" w:hanging="720"/>
      </w:pPr>
      <w:r>
        <w:t>Bucaioni, A., Cicchetti, A., &amp; Ciccozzi, F. (2022). Modelling in low-code development: A multi-vocal systematic review. Software and Systems Modeling, 21(5), 1959–1981. https://doi.org/10.1007/s10270-021-00964-0</w:t>
      </w:r>
      <w:r>
        <w:rPr>
          <w:i/>
        </w:rPr>
      </w:r>
      <w:r/>
    </w:p>
    <w:p w:rsidR="00D60FC7" w:rsidRDefault="00000000">
      <w:pPr>
        <w:spacing w:after="120"/>
        <w:ind w:left="720" w:hanging="72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b w:val="0"/>
          <w:i w:val="0"/>
        </w:rPr>
        <w:t>Fielding, R. T. (2000). Architectural styles and the design of network-based software architectures [Tesis doctoral, University of California, Irvine]. eScholarship, University of California. https://escholarship.org/uc/item/9jd6t6zk</w:t>
      </w:r>
    </w:p>
    <w:p w:rsidR="00D60FC7" w:rsidRDefault="00000000">
      <w:pPr>
        <w:spacing w:after="120"/>
        <w:ind w:left="720" w:hanging="720"/>
      </w:pPr>
      <w:proofErr w:type="spellStart"/>
      <w:r>
        <w:t>Fowler</w:t>
      </w:r>
      <w:proofErr w:type="spellEnd"/>
      <w:r>
        <w:t xml:space="preserve">, M. (2002). </w:t>
      </w:r>
      <w:proofErr w:type="spellStart"/>
      <w:r>
        <w:rPr>
          <w:i/>
        </w:rPr>
        <w:t>Patterns</w:t>
      </w:r>
      <w:proofErr w:type="spellEnd"/>
      <w:r>
        <w:rPr>
          <w:i/>
        </w:rPr>
        <w:t xml:space="preserve"> </w:t>
      </w:r>
      <w:proofErr w:type="spellStart"/>
      <w:r>
        <w:rPr>
          <w:i/>
        </w:rPr>
        <w:t>of</w:t>
      </w:r>
      <w:proofErr w:type="spellEnd"/>
      <w:r>
        <w:rPr>
          <w:i/>
        </w:rPr>
        <w:t xml:space="preserve"> </w:t>
      </w:r>
      <w:proofErr w:type="spellStart"/>
      <w:r>
        <w:rPr>
          <w:i/>
        </w:rPr>
        <w:t>enterprise</w:t>
      </w:r>
      <w:proofErr w:type="spellEnd"/>
      <w:r>
        <w:rPr>
          <w:i/>
        </w:rPr>
        <w:t xml:space="preserve"> </w:t>
      </w:r>
      <w:proofErr w:type="spellStart"/>
      <w:r>
        <w:rPr>
          <w:i/>
        </w:rPr>
        <w:t>application</w:t>
      </w:r>
      <w:proofErr w:type="spellEnd"/>
      <w:r>
        <w:rPr>
          <w:i/>
        </w:rPr>
        <w:t xml:space="preserve"> </w:t>
      </w:r>
      <w:proofErr w:type="spellStart"/>
      <w:r>
        <w:rPr>
          <w:i/>
        </w:rPr>
        <w:t>architecture</w:t>
      </w:r>
      <w:proofErr w:type="spellEnd"/>
      <w:r>
        <w:t>. Addison-Wesley.</w:t>
      </w:r>
    </w:p>
    <w:p w:rsidR="00D60FC7" w:rsidRDefault="00000000">
      <w:pPr>
        <w:spacing w:after="120"/>
        <w:ind w:left="720" w:hanging="720"/>
      </w:pPr>
      <w:proofErr w:type="spellStart"/>
      <w:r>
        <w:t>Hohpe</w:t>
      </w:r>
      <w:proofErr w:type="spellEnd"/>
      <w:r>
        <w:t xml:space="preserve">, G., &amp; Woolf, B. (2003). </w:t>
      </w:r>
      <w:r>
        <w:rPr>
          <w:i/>
        </w:rPr>
        <w:t xml:space="preserve">Enterprise </w:t>
      </w:r>
      <w:proofErr w:type="spellStart"/>
      <w:r>
        <w:rPr>
          <w:i/>
        </w:rPr>
        <w:t>integration</w:t>
      </w:r>
      <w:proofErr w:type="spellEnd"/>
      <w:r>
        <w:rPr>
          <w:i/>
        </w:rPr>
        <w:t xml:space="preserve"> </w:t>
      </w:r>
      <w:proofErr w:type="spellStart"/>
      <w:r>
        <w:rPr>
          <w:i/>
        </w:rPr>
        <w:t>patterns</w:t>
      </w:r>
      <w:proofErr w:type="spellEnd"/>
      <w:r>
        <w:rPr>
          <w:i/>
        </w:rPr>
        <w:t xml:space="preserve">: </w:t>
      </w:r>
      <w:proofErr w:type="spellStart"/>
      <w:r>
        <w:rPr>
          <w:i/>
        </w:rPr>
        <w:t>Designing</w:t>
      </w:r>
      <w:proofErr w:type="spellEnd"/>
      <w:r>
        <w:rPr>
          <w:i/>
        </w:rPr>
        <w:t xml:space="preserve">, </w:t>
      </w:r>
      <w:proofErr w:type="spellStart"/>
      <w:r>
        <w:rPr>
          <w:i/>
        </w:rPr>
        <w:t>building</w:t>
      </w:r>
      <w:proofErr w:type="spellEnd"/>
      <w:r>
        <w:rPr>
          <w:i/>
        </w:rPr>
        <w:t xml:space="preserve">, and </w:t>
      </w:r>
      <w:proofErr w:type="spellStart"/>
      <w:r>
        <w:rPr>
          <w:i/>
        </w:rPr>
        <w:t>deploying</w:t>
      </w:r>
      <w:proofErr w:type="spellEnd"/>
      <w:r>
        <w:rPr>
          <w:i/>
        </w:rPr>
        <w:t xml:space="preserve"> </w:t>
      </w:r>
      <w:proofErr w:type="spellStart"/>
      <w:r>
        <w:rPr>
          <w:i/>
        </w:rPr>
        <w:t>messaging</w:t>
      </w:r>
      <w:proofErr w:type="spellEnd"/>
      <w:r>
        <w:rPr>
          <w:i/>
        </w:rPr>
        <w:t xml:space="preserve"> </w:t>
      </w:r>
      <w:proofErr w:type="spellStart"/>
      <w:r>
        <w:rPr>
          <w:i/>
        </w:rPr>
        <w:t>solutions</w:t>
      </w:r>
      <w:proofErr w:type="spellEnd"/>
      <w:r>
        <w:t>. Addison-Wesley.</w:t>
      </w:r>
    </w:p>
    <w:p w:rsidR="00D60FC7" w:rsidRDefault="00000000">
      <w:pPr>
        <w:spacing w:after="120"/>
        <w:ind w:left="720" w:hanging="720"/>
      </w:pPr>
      <w:proofErr w:type="spellStart"/>
      <w:proofErr w:type="spellEnd"/>
      <w:r>
        <w:rPr>
          <w:b w:val="0"/>
          <w:i w:val="0"/>
        </w:rPr>
        <w:t>HubSpot. (2024). HubSpot pricing. Recuperado el 17 de agosto de 2026, de https://www.hubspot.com/pricing</w:t>
      </w:r>
    </w:p>
    <w:p w:rsidR="00D60FC7" w:rsidRDefault="00000000">
      <w:pPr>
        <w:spacing w:after="120"/>
        <w:ind w:left="720" w:hanging="72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b w:val="0"/>
          <w:i w:val="0"/>
        </w:rPr>
        <w:t>ISO/IEC. (2023). ISO/IEC 25010:2023. Systems and software engineering — Systems and software Quality Requirements and Evaluation (SQuaRE) — Product quality model (2.ª ed.). International Organization for Standardization.</w:t>
      </w:r>
    </w:p>
    <w:p w:rsidR="00D60FC7" w:rsidRDefault="00000000">
      <w:pPr>
        <w:spacing w:after="120"/>
        <w:ind w:left="720" w:hanging="72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b w:val="0"/>
          <w:i w:val="0"/>
        </w:rPr>
        <w:t>Järvinen, J., &amp; Taiminen, H. (2016). Harnessing marketing automation for B2B content marketing. Industrial Marketing Management, 54, 164–175. https://doi.org/10.1016/j.indmarman.2015.07.002</w:t>
      </w:r>
    </w:p>
    <w:p w:rsidR="00D60FC7" w:rsidRDefault="00000000">
      <w:pPr>
        <w:spacing w:after="120"/>
        <w:ind w:left="720" w:hanging="720"/>
      </w:pPr>
      <w:proofErr w:type="spellStart"/>
      <w:r>
        <w:t>Kässi</w:t>
      </w:r>
      <w:proofErr w:type="spellEnd"/>
      <w:r>
        <w:t xml:space="preserve">, O., &amp; </w:t>
      </w:r>
      <w:proofErr w:type="spellStart"/>
      <w:r>
        <w:t>Lehdonvirta</w:t>
      </w:r>
      <w:proofErr w:type="spellEnd"/>
      <w:r>
        <w:t xml:space="preserve">, V. (2018). Online </w:t>
      </w:r>
      <w:proofErr w:type="spellStart"/>
      <w:r>
        <w:t>labour</w:t>
      </w:r>
      <w:proofErr w:type="spellEnd"/>
      <w:r>
        <w:t xml:space="preserve"> </w:t>
      </w:r>
      <w:proofErr w:type="spellStart"/>
      <w:r>
        <w:t>index</w:t>
      </w:r>
      <w:proofErr w:type="spellEnd"/>
      <w:r>
        <w:t xml:space="preserve">: </w:t>
      </w:r>
      <w:proofErr w:type="spellStart"/>
      <w:r>
        <w:t>Measuring</w:t>
      </w:r>
      <w:proofErr w:type="spellEnd"/>
      <w:r>
        <w:t xml:space="preserve"> </w:t>
      </w:r>
      <w:proofErr w:type="spellStart"/>
      <w:r>
        <w:t>the</w:t>
      </w:r>
      <w:proofErr w:type="spellEnd"/>
      <w:r>
        <w:t xml:space="preserve"> online </w:t>
      </w:r>
      <w:proofErr w:type="spellStart"/>
      <w:r>
        <w:t>gig</w:t>
      </w:r>
      <w:proofErr w:type="spellEnd"/>
      <w:r>
        <w:t xml:space="preserve"> </w:t>
      </w:r>
      <w:proofErr w:type="spellStart"/>
      <w:r>
        <w:t>economy</w:t>
      </w:r>
      <w:proofErr w:type="spellEnd"/>
      <w:r>
        <w:t xml:space="preserve"> </w:t>
      </w:r>
      <w:proofErr w:type="spellStart"/>
      <w:r>
        <w:t>for</w:t>
      </w:r>
      <w:proofErr w:type="spellEnd"/>
      <w:r>
        <w:t xml:space="preserve"> </w:t>
      </w:r>
      <w:proofErr w:type="spellStart"/>
      <w:r>
        <w:t>policy</w:t>
      </w:r>
      <w:proofErr w:type="spellEnd"/>
      <w:r>
        <w:t xml:space="preserve"> and </w:t>
      </w:r>
      <w:proofErr w:type="spellStart"/>
      <w:r>
        <w:t>research</w:t>
      </w:r>
      <w:proofErr w:type="spellEnd"/>
      <w:r>
        <w:t xml:space="preserve">. </w:t>
      </w:r>
      <w:proofErr w:type="spellStart"/>
      <w:r>
        <w:rPr>
          <w:i/>
        </w:rPr>
        <w:t>Technological</w:t>
      </w:r>
      <w:proofErr w:type="spellEnd"/>
      <w:r>
        <w:rPr>
          <w:i/>
        </w:rPr>
        <w:t xml:space="preserve"> </w:t>
      </w:r>
      <w:proofErr w:type="spellStart"/>
      <w:r>
        <w:rPr>
          <w:i/>
        </w:rPr>
        <w:t>Forecasting</w:t>
      </w:r>
      <w:proofErr w:type="spellEnd"/>
      <w:r>
        <w:rPr>
          <w:i/>
        </w:rPr>
        <w:t xml:space="preserve"> and Social Change, 137</w:t>
      </w:r>
      <w:r>
        <w:t>, 241–248. https://doi.org/10.1016/j.techfore.2018.07.056</w:t>
      </w:r>
    </w:p>
    <w:p w:rsidR="00D60FC7" w:rsidRDefault="00000000">
      <w:pPr>
        <w:spacing w:after="120"/>
        <w:ind w:left="720" w:hanging="720"/>
      </w:pPr>
      <w:r>
        <w:t xml:space="preserve">Kotler, P., &amp; Armstrong, G. (2017). </w:t>
      </w:r>
      <w:r>
        <w:rPr>
          <w:i/>
        </w:rPr>
        <w:t>Fundamentos de marketing</w:t>
      </w:r>
      <w:r>
        <w:t xml:space="preserve"> (13.ª ed.). Pearson.</w:t>
      </w:r>
    </w:p>
    <w:p w:rsidR="00D60FC7" w:rsidRDefault="00000000">
      <w:pPr>
        <w:spacing w:after="120"/>
        <w:ind w:left="720" w:hanging="720"/>
      </w:pPr>
      <w:proofErr w:type="spellStart"/>
      <w:proofErr w:type="spellEnd"/>
      <w:proofErr w:type="spellStart"/>
      <w:proofErr w:type="spellEnd"/>
      <w:proofErr w:type="spellStart"/>
      <w:proofErr w:type="spellEnd"/>
      <w:r>
        <w:rPr>
          <w:b w:val="0"/>
          <w:i w:val="0"/>
        </w:rPr>
        <w:t>Make. (2024). Make help center. Recuperado el 17 de agosto de 2026, de https://help.make.com/</w:t>
      </w:r>
    </w:p>
    <w:p w:rsidR="00D60FC7" w:rsidRDefault="00000000">
      <w:pPr>
        <w:spacing w:after="120"/>
        <w:ind w:left="720" w:hanging="720"/>
      </w:pPr>
      <w:r>
        <w:t xml:space="preserve">Mero, J., Tarkiainen, A., &amp; Tobon, J. (2020). Effectual and causal reasoning in the adoption of marketing automation. </w:t>
      </w:r>
      <w:r>
        <w:rPr>
          <w:i/>
        </w:rPr>
        <w:t>Industrial Marketing Management, 86</w:t>
      </w:r>
      <w:r>
        <w:t>, 212–222. https://doi.org/10.1016/j.indmarman.2019.12.008</w:t>
      </w:r>
    </w:p>
    <w:p w:rsidR="00D60FC7" w:rsidRDefault="00000000">
      <w:pPr>
        <w:spacing w:after="120"/>
        <w:ind w:left="720" w:hanging="720"/>
      </w:pPr>
      <w:r>
        <w:t>Moreira, S., Mamede, H. S., &amp; Santos, A. (2025). Methodology for business process automation in SMEs: From requirements analysis to practical demonstration. Emerging Science Journal, 9(3), 1561–1590. https://doi.org/10.28991/ESJ-2025-09-03-022</w:t>
      </w:r>
      <w:r>
        <w:rPr>
          <w:i/>
        </w:rPr>
      </w:r>
      <w:r/>
    </w:p>
    <w:p w:rsidR="00D60FC7" w:rsidRDefault="00000000">
      <w:pPr>
        <w:spacing w:after="120"/>
        <w:ind w:left="720" w:hanging="720"/>
      </w:pPr>
      <w:proofErr w:type="spellStart"/>
      <w:proofErr w:type="spellEnd"/>
      <w:r>
        <w:rPr>
          <w:b w:val="0"/>
          <w:i w:val="0"/>
        </w:rPr>
        <w:t>n8n. (2024). n8n documentation. Recuperado el 17 de agosto de 2026, de https://docs.n8n.io</w:t>
      </w:r>
    </w:p>
    <w:p w:rsidR="00D60FC7" w:rsidRDefault="00000000">
      <w:pPr>
        <w:spacing w:after="120"/>
        <w:ind w:left="720" w:hanging="720"/>
      </w:pPr>
      <w:r>
        <w:t xml:space="preserve">Organización Internacional del Trabajo. (2025). </w:t>
      </w:r>
      <w:r>
        <w:rPr>
          <w:i/>
        </w:rPr>
        <w:t>Encuesta sobre trabajadores en plataformas digitales basadas en la web</w:t>
      </w:r>
      <w:r>
        <w:t xml:space="preserve"> [Informe]. OIT. https://www.ilo.org/sites/default/files/2025-04/Informe%20Plataformas%20Digitales_ESP_web.pdf</w:t>
      </w:r>
    </w:p>
    <w:p w:rsidR="00D60FC7" w:rsidRDefault="00000000">
      <w:pPr>
        <w:spacing w:after="120"/>
        <w:ind w:left="720" w:hanging="720"/>
      </w:pPr>
      <w:proofErr w:type="spellStart"/>
      <w:proofErr w:type="spellEnd"/>
      <w:r>
        <w:rPr>
          <w:b w:val="0"/>
          <w:i w:val="0"/>
        </w:rPr>
        <w:t>OWASP Foundation. (2025). OWASP Top 10:2025. Recuperado el 17 de agosto de 2026, de https://owasp.org/Top10/</w:t>
      </w:r>
    </w:p>
    <w:p w:rsidR="00D60FC7" w:rsidRDefault="00000000">
      <w:pPr>
        <w:spacing w:after="120"/>
        <w:ind w:left="720" w:hanging="720"/>
      </w:pPr>
      <w:proofErr w:type="spellStart"/>
      <w:proofErr w:type="spellEnd"/>
      <w:proofErr w:type="spellStart"/>
      <w:proofErr w:type="spellEnd"/>
      <w:proofErr w:type="spellStart"/>
      <w:proofErr w:type="spellEnd"/>
      <w:r>
        <w:rPr>
          <w:b w:val="0"/>
          <w:i w:val="0"/>
        </w:rPr>
        <w:t>Pipedrive. (2024). Pipedrive pricing. Recuperado el 17 de agosto de 2026, de https://www.pipedrive.com/en/pricing</w:t>
      </w:r>
    </w:p>
    <w:p w:rsidR="00D60FC7" w:rsidRDefault="00000000">
      <w:pPr>
        <w:spacing w:after="120"/>
        <w:ind w:left="720" w:hanging="720"/>
      </w:pPr>
      <w:proofErr w:type="spellStart"/>
      <w:proofErr w:type="spellEnd"/>
      <w:proofErr w:type="spellStart"/>
      <w:proofErr w:type="spellEnd"/>
      <w:proofErr w:type="spellStart"/>
      <w:proofErr w:type="spellEnd"/>
      <w:r>
        <w:rPr>
          <w:b w:val="0"/>
          <w:i w:val="0"/>
        </w:rPr>
        <w:t>PostgreSQL Global Development Group. (2024). PostgreSQL documentation [versión correspondiente a la instancia utilizada; véase la Tabla 3]. Recuperado el 17 de agosto de 2026, de https://www.postgresql.org/docs/</w:t>
      </w:r>
    </w:p>
    <w:p w:rsidR="00D60FC7" w:rsidRDefault="00000000">
      <w:pPr>
        <w:spacing w:after="120"/>
        <w:ind w:left="720" w:hanging="720"/>
      </w:pPr>
      <w:r>
        <w:t xml:space="preserve">Pressman, R. S., &amp; </w:t>
      </w:r>
      <w:proofErr w:type="spellStart"/>
      <w:r>
        <w:t>Maxim</w:t>
      </w:r>
      <w:proofErr w:type="spellEnd"/>
      <w:r>
        <w:t xml:space="preserve">, B. R. (2020). </w:t>
      </w:r>
      <w:r>
        <w:rPr>
          <w:i/>
        </w:rPr>
        <w:t xml:space="preserve">Software </w:t>
      </w:r>
      <w:proofErr w:type="spellStart"/>
      <w:r>
        <w:rPr>
          <w:i/>
        </w:rPr>
        <w:t>engineering</w:t>
      </w:r>
      <w:proofErr w:type="spellEnd"/>
      <w:r>
        <w:rPr>
          <w:i/>
        </w:rPr>
        <w:t xml:space="preserve">: A </w:t>
      </w:r>
      <w:proofErr w:type="spellStart"/>
      <w:r>
        <w:rPr>
          <w:i/>
        </w:rPr>
        <w:t>practitioner’s</w:t>
      </w:r>
      <w:proofErr w:type="spellEnd"/>
      <w:r>
        <w:rPr>
          <w:i/>
        </w:rPr>
        <w:t xml:space="preserve"> </w:t>
      </w:r>
      <w:proofErr w:type="spellStart"/>
      <w:r>
        <w:rPr>
          <w:i/>
        </w:rPr>
        <w:t>approach</w:t>
      </w:r>
      <w:proofErr w:type="spellEnd"/>
      <w:r>
        <w:t xml:space="preserve"> (9.ª ed.). McGraw-Hill.</w:t>
      </w:r>
    </w:p>
    <w:p w:rsidR="00D60FC7" w:rsidRDefault="00000000">
      <w:pPr>
        <w:spacing w:after="120"/>
        <w:ind w:left="720" w:hanging="720"/>
      </w:pPr>
      <w:r>
        <w:t xml:space="preserve">Richardson, C. (2018). </w:t>
      </w:r>
      <w:proofErr w:type="spellStart"/>
      <w:r>
        <w:rPr>
          <w:i/>
        </w:rPr>
        <w:t>Microservices</w:t>
      </w:r>
      <w:proofErr w:type="spellEnd"/>
      <w:r>
        <w:rPr>
          <w:i/>
        </w:rPr>
        <w:t xml:space="preserve"> </w:t>
      </w:r>
      <w:proofErr w:type="spellStart"/>
      <w:r>
        <w:rPr>
          <w:i/>
        </w:rPr>
        <w:t>patterns</w:t>
      </w:r>
      <w:proofErr w:type="spellEnd"/>
      <w:r>
        <w:rPr>
          <w:i/>
        </w:rPr>
        <w:t xml:space="preserve">: </w:t>
      </w:r>
      <w:proofErr w:type="spellStart"/>
      <w:r>
        <w:rPr>
          <w:i/>
        </w:rPr>
        <w:t>With</w:t>
      </w:r>
      <w:proofErr w:type="spellEnd"/>
      <w:r>
        <w:rPr>
          <w:i/>
        </w:rPr>
        <w:t xml:space="preserve"> </w:t>
      </w:r>
      <w:proofErr w:type="spellStart"/>
      <w:r>
        <w:rPr>
          <w:i/>
        </w:rPr>
        <w:t>examples</w:t>
      </w:r>
      <w:proofErr w:type="spellEnd"/>
      <w:r>
        <w:rPr>
          <w:i/>
        </w:rPr>
        <w:t xml:space="preserve"> in Java</w:t>
      </w:r>
      <w:r>
        <w:t>. Manning.</w:t>
      </w:r>
    </w:p>
    <w:p w:rsidR="00D60FC7" w:rsidRDefault="00000000">
      <w:pPr>
        <w:spacing w:after="120"/>
        <w:ind w:left="720" w:hanging="720"/>
      </w:pPr>
      <w:r>
        <w:t xml:space="preserve">Sommerville, I. (2016). </w:t>
      </w:r>
      <w:r>
        <w:rPr>
          <w:i/>
        </w:rPr>
        <w:t xml:space="preserve">Software </w:t>
      </w:r>
      <w:proofErr w:type="spellStart"/>
      <w:r>
        <w:rPr>
          <w:i/>
        </w:rPr>
        <w:t>engineering</w:t>
      </w:r>
      <w:proofErr w:type="spellEnd"/>
      <w:r>
        <w:t xml:space="preserve"> (10.ª ed.). Pearson.</w:t>
      </w:r>
    </w:p>
    <w:p w:rsidR="00D60FC7" w:rsidRDefault="00000000">
      <w:pPr>
        <w:spacing w:after="120"/>
        <w:ind w:left="720" w:hanging="720"/>
      </w:pPr>
      <w:proofErr w:type="spellStart"/>
      <w:proofErr w:type="spellEnd"/>
      <w:proofErr w:type="spellStart"/>
      <w:proofErr w:type="spellEnd"/>
      <w:proofErr w:type="spellStart"/>
      <w:proofErr w:type="spellEnd"/>
      <w:r>
        <w:rPr>
          <w:b w:val="0"/>
          <w:i w:val="0"/>
        </w:rPr>
        <w:t>Supabase. (2024). Supabase documentation. Recuperado el 17 de agosto de 2026, de https://supabase.com/docs</w:t>
      </w:r>
    </w:p>
    <w:p w:rsidR="00D60FC7" w:rsidRDefault="00000000">
      <w:pPr>
        <w:spacing w:after="120"/>
        <w:ind w:left="720" w:hanging="720"/>
      </w:pPr>
      <w:proofErr w:type="spellStart"/>
      <w:proofErr w:type="spellEnd"/>
      <w:proofErr w:type="spellStart"/>
      <w:proofErr w:type="spellEnd"/>
      <w:r>
        <w:rPr>
          <w:b w:val="0"/>
          <w:i w:val="0"/>
        </w:rPr>
        <w:t>Vercel. (2024). Next.js documentation. Recuperado el 17 de agosto de 2026, de https://nextjs.org/docs</w:t>
      </w:r>
    </w:p>
    <w:p w:rsidR="00D60FC7" w:rsidRDefault="00000000">
      <w:pPr>
        <w:spacing w:after="120"/>
        <w:ind w:left="720" w:hanging="720"/>
      </w:pPr>
      <w:proofErr w:type="spellStart"/>
      <w:proofErr w:type="spellEnd"/>
      <w:proofErr w:type="spellStart"/>
      <w:proofErr w:type="spellEnd"/>
      <w:r>
        <w:rPr>
          <w:b w:val="0"/>
          <w:i w:val="0"/>
        </w:rPr>
        <w:t>Wu, M., Andreev, P., &amp; Benyoucef, M. (2023). The state of lead scoring models and their impact on sales performance. Information Technology and Management. https://doi.org/10.1007/s10799-023-00388-w</w:t>
      </w:r>
    </w:p>
    <w:p w:rsidR="00D60FC7" w:rsidRDefault="00000000">
      <w:pPr>
        <w:spacing w:after="120"/>
        <w:ind w:left="720" w:hanging="720"/>
      </w:pPr>
      <w:proofErr w:type="spellStart"/>
      <w:proofErr w:type="spellEnd"/>
      <w:proofErr w:type="spellStart"/>
      <w:proofErr w:type="spellEnd"/>
      <w:proofErr w:type="spellStart"/>
      <w:proofErr w:type="spellEnd"/>
      <w:r>
        <w:rPr>
          <w:b w:val="0"/>
          <w:i w:val="0"/>
        </w:rPr>
        <w:t>Zapier. (2024). Zapier pricing. Recuperado el 17 de agosto de 2026, de https://zapier.com/pricing</w:t>
      </w:r>
    </w:p>
    <w:p w:rsidR="00D60FC7" w:rsidRDefault="00000000">
      <w:r>
        <w:br w:type="page"/>
      </w:r>
    </w:p>
    <w:p w:rsidR="00D60FC7" w:rsidRDefault="00000000">
      <w:pPr>
        <w:pStyle w:val="Ttulo1"/>
      </w:pPr>
      <w:bookmarkStart w:id="54" w:name="_Toc233808460"/>
      <w:r>
        <w:t>Anexos</w:t>
      </w:r>
      <w:bookmarkEnd w:id="54"/>
    </w:p>
    <w:p w:rsidR="00D60FC7" w:rsidRDefault="00000000">
      <w:pPr>
        <w:pStyle w:val="Ttulo2"/>
      </w:pPr>
      <w:bookmarkStart w:id="55" w:name="_Toc233808461"/>
      <w:r>
        <w:t>Anexo A. Evidencias visuales</w:t>
      </w:r>
      <w:bookmarkEnd w:id="55"/>
    </w:p>
    <w:p w:rsidR="00D60FC7" w:rsidRDefault="00000000">
      <w:r>
        <w:rPr>
          <w:b w:val="0"/>
          <w:i w:val="0"/>
        </w:rPr>
        <w:t>Este anexo reúne la evidencia visual del funcionamiento del sistema. Cada captura se numera y se titula de forma individual, de modo que toda remisión del texto pueda resolverse sin ambigüedad. Los diagramas de arquitectura, del modelo de datos, de las máquinas de estados y de la secuencia de aceptación y facturación (Figuras 1 a 4) no se incluyen aquí, sino en el cuerpo del Capítulo 4, junto al texto que los explica.</w:t>
      </w:r>
    </w:p>
    <w:p>
      <w:pPr>
        <w:jc w:val="center"/>
        <w:keepNext/>
      </w:pPr>
      <w:r>
        <w:drawing>
          <wp:inline xmlns:a="http://schemas.openxmlformats.org/drawingml/2006/main" xmlns:pic="http://schemas.openxmlformats.org/drawingml/2006/picture">
            <wp:extent cx="4206240" cy="4304920"/>
            <wp:docPr id="44" name="Picture 44"/>
            <wp:cNvGraphicFramePr>
              <a:graphicFrameLocks noChangeAspect="1"/>
            </wp:cNvGraphicFramePr>
            <a:graphic>
              <a:graphicData uri="http://schemas.openxmlformats.org/drawingml/2006/picture">
                <pic:pic>
                  <pic:nvPicPr>
                    <pic:cNvPr id="0" name="fig05-formulario.png"/>
                    <pic:cNvPicPr/>
                  </pic:nvPicPr>
                  <pic:blipFill>
                    <a:blip r:embed="rId38"/>
                    <a:stretch>
                      <a:fillRect/>
                    </a:stretch>
                  </pic:blipFill>
                  <pic:spPr>
                    <a:xfrm>
                      <a:off x="0" y="0"/>
                      <a:ext cx="4206240" cy="4304920"/>
                    </a:xfrm>
                    <a:prstGeom prst="rect"/>
                  </pic:spPr>
                </pic:pic>
              </a:graphicData>
            </a:graphic>
          </wp:inline>
        </w:drawing>
      </w:r>
    </w:p>
    <w:p>
      <w:pPr>
        <w:keepLines/>
      </w:pPr>
      <w:r>
        <w:rPr>
          <w:b/>
          <w:i w:val="0"/>
          <w:sz w:val="17"/>
        </w:rPr>
        <w:t>Figura 5.</w:t>
      </w:r>
      <w:r>
        <w:rPr>
          <w:b w:val="0"/>
          <w:i w:val="0"/>
          <w:sz w:val="17"/>
        </w:rPr>
        <w:t xml:space="preserve"> Formulario público de captación de leads, con el control deslizante de presupuesto y las seis opciones de servicio (§4.2.1, escenario E1). </w:t>
      </w:r>
      <w:r>
        <w:rPr>
          <w:b w:val="0"/>
          <w:i/>
          <w:sz w:val="17"/>
        </w:rPr>
        <w:t>Nota.</w:t>
      </w:r>
      <w:r>
        <w:rPr>
          <w:b w:val="0"/>
          <w:i w:val="0"/>
          <w:sz w:val="17"/>
        </w:rPr>
        <w:t xml:space="preserve"> Captura propia de la aplicación desplegada.</w:t>
      </w:r>
    </w:p>
    <w:p>
      <w:pPr>
        <w:jc w:val="center"/>
        <w:keepNext/>
      </w:pPr>
      <w:r>
        <w:drawing>
          <wp:inline xmlns:a="http://schemas.openxmlformats.org/drawingml/2006/main" xmlns:pic="http://schemas.openxmlformats.org/drawingml/2006/picture">
            <wp:extent cx="5577840" cy="4281581"/>
            <wp:docPr id="45" name="Picture 45"/>
            <wp:cNvGraphicFramePr>
              <a:graphicFrameLocks noChangeAspect="1"/>
            </wp:cNvGraphicFramePr>
            <a:graphic>
              <a:graphicData uri="http://schemas.openxmlformats.org/drawingml/2006/picture">
                <pic:pic>
                  <pic:nvPicPr>
                    <pic:cNvPr id="0" name="fig06-dashboard.png"/>
                    <pic:cNvPicPr/>
                  </pic:nvPicPr>
                  <pic:blipFill>
                    <a:blip r:embed="rId39"/>
                    <a:stretch>
                      <a:fillRect/>
                    </a:stretch>
                  </pic:blipFill>
                  <pic:spPr>
                    <a:xfrm>
                      <a:off x="0" y="0"/>
                      <a:ext cx="5577840" cy="4281581"/>
                    </a:xfrm>
                    <a:prstGeom prst="rect"/>
                  </pic:spPr>
                </pic:pic>
              </a:graphicData>
            </a:graphic>
          </wp:inline>
        </w:drawing>
      </w:r>
    </w:p>
    <w:p>
      <w:pPr>
        <w:keepLines/>
      </w:pPr>
      <w:r>
        <w:rPr>
          <w:b/>
          <w:i w:val="0"/>
          <w:sz w:val="17"/>
        </w:rPr>
        <w:t>Figura 6.</w:t>
      </w:r>
      <w:r>
        <w:rPr>
          <w:b w:val="0"/>
          <w:i w:val="0"/>
          <w:sz w:val="17"/>
        </w:rPr>
        <w:t xml:space="preserve"> Tablero de control interno con los indicadores del mes, el embudo por estado y las facturas pendientes (§4.2.5, escenario E7). </w:t>
      </w:r>
      <w:r>
        <w:rPr>
          <w:b w:val="0"/>
          <w:i/>
          <w:sz w:val="17"/>
        </w:rPr>
        <w:t>Nota.</w:t>
      </w:r>
      <w:r>
        <w:rPr>
          <w:b w:val="0"/>
          <w:i w:val="0"/>
          <w:sz w:val="17"/>
        </w:rPr>
        <w:t xml:space="preserve"> Captura propia, tomada el 21 de agosto de 2026 sobre la interfaz vigente. La dirección de correo del usuario se sustituyó por una de ejemplo. Obsérvese que el indicador «LEADS» (4) y la suma del embudo (14) no coinciden: responden a alcances temporales distintos, según se detalla en la Tabla 8.</w:t>
      </w:r>
    </w:p>
    <w:p>
      <w:pPr>
        <w:jc w:val="center"/>
        <w:keepNext/>
      </w:pPr>
      <w:r>
        <w:drawing>
          <wp:inline xmlns:a="http://schemas.openxmlformats.org/drawingml/2006/main" xmlns:pic="http://schemas.openxmlformats.org/drawingml/2006/picture">
            <wp:extent cx="4754880" cy="4245429"/>
            <wp:docPr id="46" name="Picture 46"/>
            <wp:cNvGraphicFramePr>
              <a:graphicFrameLocks noChangeAspect="1"/>
            </wp:cNvGraphicFramePr>
            <a:graphic>
              <a:graphicData uri="http://schemas.openxmlformats.org/drawingml/2006/picture">
                <pic:pic>
                  <pic:nvPicPr>
                    <pic:cNvPr id="0" name="fig07-aceptacion.png"/>
                    <pic:cNvPicPr/>
                  </pic:nvPicPr>
                  <pic:blipFill>
                    <a:blip r:embed="rId40"/>
                    <a:stretch>
                      <a:fillRect/>
                    </a:stretch>
                  </pic:blipFill>
                  <pic:spPr>
                    <a:xfrm>
                      <a:off x="0" y="0"/>
                      <a:ext cx="4754880" cy="4245429"/>
                    </a:xfrm>
                    <a:prstGeom prst="rect"/>
                  </pic:spPr>
                </pic:pic>
              </a:graphicData>
            </a:graphic>
          </wp:inline>
        </w:drawing>
      </w:r>
    </w:p>
    <w:p>
      <w:pPr>
        <w:keepLines/>
      </w:pPr>
      <w:r>
        <w:rPr>
          <w:b/>
          <w:i w:val="0"/>
          <w:sz w:val="17"/>
        </w:rPr>
        <w:t>Figura 7.</w:t>
      </w:r>
      <w:r>
        <w:rPr>
          <w:b w:val="0"/>
          <w:i w:val="0"/>
          <w:sz w:val="17"/>
        </w:rPr>
        <w:t xml:space="preserve"> Página pública de aceptación de propuesta, protegida por token de un solo uso (§4.2.6). </w:t>
      </w:r>
      <w:r>
        <w:rPr>
          <w:b w:val="0"/>
          <w:i/>
          <w:sz w:val="17"/>
        </w:rPr>
        <w:t>Nota.</w:t>
      </w:r>
      <w:r>
        <w:rPr>
          <w:b w:val="0"/>
          <w:i w:val="0"/>
          <w:sz w:val="17"/>
        </w:rPr>
        <w:t xml:space="preserve"> Captura propia.</w:t>
      </w:r>
    </w:p>
    <w:p>
      <w:pPr>
        <w:jc w:val="center"/>
        <w:keepNext/>
      </w:pPr>
      <w:r>
        <w:drawing>
          <wp:inline xmlns:a="http://schemas.openxmlformats.org/drawingml/2006/main" xmlns:pic="http://schemas.openxmlformats.org/drawingml/2006/picture">
            <wp:extent cx="5580000" cy="645188"/>
            <wp:docPr id="26" name="Picture 26"/>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580000" cy="645188"/>
                    </a:xfrm>
                    <a:prstGeom prst="rect"/>
                  </pic:spPr>
                </pic:pic>
              </a:graphicData>
            </a:graphic>
          </wp:inline>
        </w:drawing>
      </w:r>
    </w:p>
    <w:p>
      <w:pPr>
        <w:keepLines/>
      </w:pPr>
      <w:r>
        <w:rPr>
          <w:b/>
          <w:i w:val="0"/>
          <w:sz w:val="17"/>
        </w:rPr>
        <w:t>Figura 8.</w:t>
      </w:r>
      <w:r>
        <w:rPr>
          <w:b w:val="0"/>
          <w:i w:val="0"/>
          <w:sz w:val="17"/>
        </w:rPr>
        <w:t xml:space="preserve"> Flujo de captación y calificación en n8n: webhook de nuevo lead, normalización, inserción, scoring, ramificación por nivel y envío de la propuesta (§4.3.1). </w:t>
      </w:r>
      <w:r>
        <w:rPr>
          <w:b w:val="0"/>
          <w:i/>
          <w:sz w:val="17"/>
        </w:rPr>
        <w:t>Nota.</w:t>
      </w:r>
      <w:r>
        <w:rPr>
          <w:b w:val="0"/>
          <w:i w:val="0"/>
          <w:sz w:val="17"/>
        </w:rPr>
        <w:t xml:space="preserve"> Captura propia del lienzo de n8n.</w:t>
      </w:r>
    </w:p>
    <w:p>
      <w:pPr>
        <w:jc w:val="center"/>
        <w:keepNext/>
      </w:pPr>
      <w:r>
        <w:drawing>
          <wp:inline xmlns:a="http://schemas.openxmlformats.org/drawingml/2006/main" xmlns:pic="http://schemas.openxmlformats.org/drawingml/2006/picture">
            <wp:extent cx="5577840" cy="1190818"/>
            <wp:docPr id="42" name="Picture 42"/>
            <wp:cNvGraphicFramePr>
              <a:graphicFrameLocks noChangeAspect="1"/>
            </wp:cNvGraphicFramePr>
            <a:graphic>
              <a:graphicData uri="http://schemas.openxmlformats.org/drawingml/2006/picture">
                <pic:pic>
                  <pic:nvPicPr>
                    <pic:cNvPr id="0" name="figura9_final.png"/>
                    <pic:cNvPicPr/>
                  </pic:nvPicPr>
                  <pic:blipFill>
                    <a:blip r:embed="rId36"/>
                    <a:stretch>
                      <a:fillRect/>
                    </a:stretch>
                  </pic:blipFill>
                  <pic:spPr>
                    <a:xfrm>
                      <a:off x="0" y="0"/>
                      <a:ext cx="5577840" cy="1190818"/>
                    </a:xfrm>
                    <a:prstGeom prst="rect"/>
                  </pic:spPr>
                </pic:pic>
              </a:graphicData>
            </a:graphic>
          </wp:inline>
        </w:drawing>
      </w:r>
    </w:p>
    <w:p>
      <w:pPr>
        <w:keepLines/>
      </w:pPr>
      <w:r>
        <w:rPr>
          <w:b/>
          <w:i w:val="0"/>
          <w:sz w:val="17"/>
        </w:rPr>
        <w:t>Figura 9.</w:t>
      </w:r>
      <w:r>
        <w:rPr>
          <w:b w:val="0"/>
          <w:i w:val="0"/>
          <w:sz w:val="17"/>
        </w:rPr>
        <w:t xml:space="preserve"> Flujo de aceptación y facturación en n8n: validación del token, actualización condicional atómica, generación de la preferencia de pago con MercadoPago, generación del PDF y persistencia de la factura (§4.3.2, §4.3.3). </w:t>
      </w:r>
      <w:r>
        <w:rPr>
          <w:b w:val="0"/>
          <w:i/>
          <w:sz w:val="17"/>
        </w:rPr>
        <w:t>Nota.</w:t>
      </w:r>
      <w:r>
        <w:rPr>
          <w:b w:val="0"/>
          <w:i w:val="0"/>
          <w:sz w:val="17"/>
        </w:rPr>
        <w:t xml:space="preserve"> Captura propia del lienzo de n8n, recapturada el 21 de agosto de 2026 tras incorporar MercadoPago.</w:t>
      </w:r>
    </w:p>
    <w:p>
      <w:pPr>
        <w:jc w:val="center"/>
        <w:keepNext/>
      </w:pPr>
      <w:r>
        <w:drawing>
          <wp:inline xmlns:a="http://schemas.openxmlformats.org/drawingml/2006/main" xmlns:pic="http://schemas.openxmlformats.org/drawingml/2006/picture">
            <wp:extent cx="5577840" cy="1172875"/>
            <wp:docPr id="43" name="Picture 43"/>
            <wp:cNvGraphicFramePr>
              <a:graphicFrameLocks noChangeAspect="1"/>
            </wp:cNvGraphicFramePr>
            <a:graphic>
              <a:graphicData uri="http://schemas.openxmlformats.org/drawingml/2006/picture">
                <pic:pic>
                  <pic:nvPicPr>
                    <pic:cNvPr id="0" name="figura10_final.png"/>
                    <pic:cNvPicPr/>
                  </pic:nvPicPr>
                  <pic:blipFill>
                    <a:blip r:embed="rId37"/>
                    <a:stretch>
                      <a:fillRect/>
                    </a:stretch>
                  </pic:blipFill>
                  <pic:spPr>
                    <a:xfrm>
                      <a:off x="0" y="0"/>
                      <a:ext cx="5577840" cy="1172875"/>
                    </a:xfrm>
                    <a:prstGeom prst="rect"/>
                  </pic:spPr>
                </pic:pic>
              </a:graphicData>
            </a:graphic>
          </wp:inline>
        </w:drawing>
      </w:r>
    </w:p>
    <w:p>
      <w:pPr>
        <w:keepLines/>
      </w:pPr>
      <w:r>
        <w:rPr>
          <w:b/>
          <w:i w:val="0"/>
          <w:sz w:val="17"/>
        </w:rPr>
        <w:t>Figura 10.</w:t>
      </w:r>
      <w:r>
        <w:rPr>
          <w:b w:val="0"/>
          <w:i w:val="0"/>
          <w:sz w:val="17"/>
        </w:rPr>
        <w:t xml:space="preserve"> Flujo de confirmación de pago en n8n: modo de desarrollo y confirmación real con MercadoPago (§4.3.3). </w:t>
      </w:r>
      <w:r>
        <w:rPr>
          <w:b w:val="0"/>
          <w:i/>
          <w:sz w:val="17"/>
        </w:rPr>
        <w:t>Nota.</w:t>
      </w:r>
      <w:r>
        <w:rPr>
          <w:b w:val="0"/>
          <w:i w:val="0"/>
          <w:sz w:val="17"/>
        </w:rPr>
        <w:t xml:space="preserve"> Captura propia del lienzo de n8n, recapturada el 21 de agosto de 2026 tras incorporar MercadoPago.</w:t>
      </w:r>
    </w:p>
    <w:p>
      <w:pPr>
        <w:jc w:val="center"/>
        <w:keepNext/>
      </w:pPr>
      <w:r>
        <w:drawing>
          <wp:inline xmlns:a="http://schemas.openxmlformats.org/drawingml/2006/main" xmlns:pic="http://schemas.openxmlformats.org/drawingml/2006/picture">
            <wp:extent cx="5580000" cy="1050169"/>
            <wp:docPr id="29" name="Picture 29"/>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5580000" cy="1050169"/>
                    </a:xfrm>
                    <a:prstGeom prst="rect"/>
                  </pic:spPr>
                </pic:pic>
              </a:graphicData>
            </a:graphic>
          </wp:inline>
        </w:drawing>
      </w:r>
    </w:p>
    <w:p>
      <w:pPr>
        <w:keepLines/>
      </w:pPr>
      <w:r>
        <w:rPr>
          <w:b/>
          <w:i w:val="0"/>
          <w:sz w:val="17"/>
        </w:rPr>
        <w:t>Figura 11.</w:t>
      </w:r>
      <w:r>
        <w:rPr>
          <w:b w:val="0"/>
          <w:i w:val="0"/>
          <w:sz w:val="17"/>
        </w:rPr>
        <w:t xml:space="preserve"> Flujo de cierre de proyecto y solicitud de testimonio en n8n (§4.3.4). </w:t>
      </w:r>
      <w:r>
        <w:rPr>
          <w:b w:val="0"/>
          <w:i/>
          <w:sz w:val="17"/>
        </w:rPr>
        <w:t>Nota.</w:t>
      </w:r>
      <w:r>
        <w:rPr>
          <w:b w:val="0"/>
          <w:i w:val="0"/>
          <w:sz w:val="17"/>
        </w:rPr>
        <w:t xml:space="preserve"> Captura propia del lienzo de n8n.</w:t>
      </w:r>
    </w:p>
    <w:p>
      <w:pPr>
        <w:jc w:val="center"/>
        <w:keepNext/>
      </w:pPr>
      <w:r>
        <w:drawing>
          <wp:inline xmlns:a="http://schemas.openxmlformats.org/drawingml/2006/main" xmlns:pic="http://schemas.openxmlformats.org/drawingml/2006/picture">
            <wp:extent cx="5580000" cy="1943284"/>
            <wp:docPr id="30" name="Picture 30"/>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5580000" cy="1943284"/>
                    </a:xfrm>
                    <a:prstGeom prst="rect"/>
                  </pic:spPr>
                </pic:pic>
              </a:graphicData>
            </a:graphic>
          </wp:inline>
        </w:drawing>
      </w:r>
    </w:p>
    <w:p>
      <w:pPr>
        <w:keepLines/>
      </w:pPr>
      <w:r>
        <w:rPr>
          <w:b/>
          <w:i w:val="0"/>
          <w:sz w:val="17"/>
        </w:rPr>
        <w:t>Figura 12.</w:t>
      </w:r>
      <w:r>
        <w:rPr>
          <w:b w:val="0"/>
          <w:i w:val="0"/>
          <w:sz w:val="17"/>
        </w:rPr>
        <w:t xml:space="preserve"> Procesos programados en n8n: seguimiento de propuestas y recordatorios de pago (§4.3.5, escenarios E11 y E12). </w:t>
      </w:r>
      <w:r>
        <w:rPr>
          <w:b w:val="0"/>
          <w:i/>
          <w:sz w:val="17"/>
        </w:rPr>
        <w:t>Nota.</w:t>
      </w:r>
      <w:r>
        <w:rPr>
          <w:b w:val="0"/>
          <w:i w:val="0"/>
          <w:sz w:val="17"/>
        </w:rPr>
        <w:t xml:space="preserve"> Captura propia del lienzo de n8n. El tercer proceso programado —reporte diario de métricas— no está documentado en esta captura; su evidencia corresponde al escenario E13 y está pendiente de incorporación.</w:t>
      </w:r>
    </w:p>
    <w:p>
      <w:pPr>
        <w:jc w:val="center"/>
        <w:keepNext/>
      </w:pPr>
      <w:r>
        <w:drawing>
          <wp:inline xmlns:a="http://schemas.openxmlformats.org/drawingml/2006/main" xmlns:pic="http://schemas.openxmlformats.org/drawingml/2006/picture">
            <wp:extent cx="3675887" cy="3694175"/>
            <wp:docPr id="31" name="Picture 31"/>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675887" cy="3694175"/>
                    </a:xfrm>
                    <a:prstGeom prst="rect"/>
                  </pic:spPr>
                </pic:pic>
              </a:graphicData>
            </a:graphic>
          </wp:inline>
        </w:drawing>
      </w:r>
    </w:p>
    <w:p>
      <w:pPr>
        <w:keepLines/>
      </w:pPr>
      <w:r>
        <w:rPr>
          <w:b/>
          <w:i w:val="0"/>
          <w:sz w:val="17"/>
        </w:rPr>
        <w:t>Figura 13.</w:t>
      </w:r>
      <w:r>
        <w:rPr>
          <w:b w:val="0"/>
          <w:i w:val="0"/>
          <w:sz w:val="17"/>
        </w:rPr>
        <w:t xml:space="preserve"> Correo de propuesta generado y enviado por el sistema (§4.3.1, escenario E5). </w:t>
      </w:r>
      <w:r>
        <w:rPr>
          <w:b w:val="0"/>
          <w:i/>
          <w:sz w:val="17"/>
        </w:rPr>
        <w:t>Nota.</w:t>
      </w:r>
      <w:r>
        <w:rPr>
          <w:b w:val="0"/>
          <w:i w:val="0"/>
          <w:sz w:val="17"/>
        </w:rPr>
        <w:t xml:space="preserve"> Captura propia. Corresponde a una ejecución distinta de la de las Figuras 14 y 15.</w:t>
      </w:r>
    </w:p>
    <w:p>
      <w:pPr>
        <w:jc w:val="center"/>
        <w:keepNext/>
      </w:pPr>
      <w:r>
        <w:drawing>
          <wp:inline xmlns:a="http://schemas.openxmlformats.org/drawingml/2006/main" xmlns:pic="http://schemas.openxmlformats.org/drawingml/2006/picture">
            <wp:extent cx="3407663" cy="1786127"/>
            <wp:docPr id="32" name="Picture 32"/>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3407663" cy="1786127"/>
                    </a:xfrm>
                    <a:prstGeom prst="rect"/>
                  </pic:spPr>
                </pic:pic>
              </a:graphicData>
            </a:graphic>
          </wp:inline>
        </w:drawing>
      </w:r>
    </w:p>
    <w:p>
      <w:pPr>
        <w:keepLines/>
      </w:pPr>
      <w:r>
        <w:rPr>
          <w:b/>
          <w:i w:val="0"/>
          <w:sz w:val="17"/>
        </w:rPr>
        <w:t>Figura 14.</w:t>
      </w:r>
      <w:r>
        <w:rPr>
          <w:b w:val="0"/>
          <w:i w:val="0"/>
          <w:sz w:val="17"/>
        </w:rPr>
        <w:t xml:space="preserve"> Correo de envío de la factura con el comprobante adjunto en PDF (§4.3.2, escenario E5). </w:t>
      </w:r>
      <w:r>
        <w:rPr>
          <w:b w:val="0"/>
          <w:i/>
          <w:sz w:val="17"/>
        </w:rPr>
        <w:t>Nota.</w:t>
      </w:r>
      <w:r>
        <w:rPr>
          <w:b w:val="0"/>
          <w:i w:val="0"/>
          <w:sz w:val="17"/>
        </w:rPr>
        <w:t xml:space="preserve"> Captura propia. Corresponde a una ejecución distinta de la de la Figura 13.</w:t>
      </w:r>
    </w:p>
    <w:p>
      <w:pPr>
        <w:spacing w:before="200" w:after="80"/>
        <w:jc w:val="center"/>
      </w:pPr>
      <w:r>
        <w:rPr>
          <w:b/>
          <w:sz w:val="18"/>
        </w:rPr>
      </w:r>
      <w:r>
        <w:drawing>
          <wp:inline xmlns:a="http://schemas.openxmlformats.org/drawingml/2006/main" xmlns:pic="http://schemas.openxmlformats.org/drawingml/2006/picture">
            <wp:extent cx="3840480" cy="2530199"/>
            <wp:docPr id="41" name="Picture 41"/>
            <wp:cNvGraphicFramePr>
              <a:graphicFrameLocks noChangeAspect="1"/>
            </wp:cNvGraphicFramePr>
            <a:graphic>
              <a:graphicData uri="http://schemas.openxmlformats.org/drawingml/2006/picture">
                <pic:pic>
                  <pic:nvPicPr>
                    <pic:cNvPr id="0" name="figura15_final.png"/>
                    <pic:cNvPicPr/>
                  </pic:nvPicPr>
                  <pic:blipFill>
                    <a:blip r:embed="rId35"/>
                    <a:stretch>
                      <a:fillRect/>
                    </a:stretch>
                  </pic:blipFill>
                  <pic:spPr>
                    <a:xfrm>
                      <a:off x="0" y="0"/>
                      <a:ext cx="3840480" cy="2530199"/>
                    </a:xfrm>
                    <a:prstGeom prst="rect"/>
                  </pic:spPr>
                </pic:pic>
              </a:graphicData>
            </a:graphic>
          </wp:inline>
        </w:drawing>
      </w:r>
    </w:p>
    <w:p>
      <w:pPr/>
      <w:r>
        <w:rPr>
          <w:b/>
          <w:i w:val="0"/>
          <w:sz w:val="17"/>
        </w:rPr>
        <w:t>Figura 15.</w:t>
      </w:r>
      <w:r>
        <w:rPr>
          <w:b w:val="0"/>
          <w:i w:val="0"/>
          <w:sz w:val="17"/>
        </w:rPr>
        <w:t xml:space="preserve"> Comprobante en PDF generado por el sistema (§4.3.2, escenario E5). </w:t>
      </w:r>
      <w:r>
        <w:rPr>
          <w:b w:val="0"/>
          <w:i/>
          <w:sz w:val="17"/>
        </w:rPr>
        <w:t>Nota.</w:t>
      </w:r>
      <w:r>
        <w:rPr>
          <w:b w:val="0"/>
          <w:i w:val="0"/>
          <w:sz w:val="17"/>
        </w:rPr>
        <w:t xml:space="preserve"> </w:t>
      </w:r>
      <w:r>
        <w:rPr>
          <w:b/>
          <w:i w:val="0"/>
          <w:sz w:val="17"/>
        </w:rPr>
        <w:t>La captura anterior fue retirada de este documento y reemplazada por esta.</w:t>
      </w:r>
      <w:r>
        <w:rPr>
          <w:b w:val="0"/>
          <w:i w:val="0"/>
          <w:sz w:val="17"/>
        </w:rPr>
        <w:t xml:space="preserve"> Contenía un dato de prueba inadmisible en el campo «Cliente», la plantilla del emisor sin configurar y la dirección de correo personal de uno de los autores. La figura actual se generó ejecutando el nodo real Code - Generar Factura HTML del flujo (ya con la plantilla del emisor completa) con datos de prueba neutros conforme al protocolo de la Tabla 4 (Cliente Demo 1, dominio ejemplo.com), y renderizando el HTML resultante con el mismo servicio Gotenberg que usa el sistema en producción.</w:t>
      </w:r>
    </w:p>
    <w:p>
      <w:pPr>
        <w:jc w:val="center"/>
        <w:keepNext/>
      </w:pPr>
      <w:r>
        <w:drawing>
          <wp:inline xmlns:a="http://schemas.openxmlformats.org/drawingml/2006/main" xmlns:pic="http://schemas.openxmlformats.org/drawingml/2006/picture">
            <wp:extent cx="4834128" cy="835152"/>
            <wp:docPr id="33" name="Picture 3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834128" cy="835152"/>
                    </a:xfrm>
                    <a:prstGeom prst="rect"/>
                  </pic:spPr>
                </pic:pic>
              </a:graphicData>
            </a:graphic>
          </wp:inline>
        </w:drawing>
      </w:r>
    </w:p>
    <w:p>
      <w:pPr>
        <w:keepLines/>
      </w:pPr>
      <w:r>
        <w:rPr>
          <w:b/>
          <w:i w:val="0"/>
          <w:sz w:val="17"/>
        </w:rPr>
        <w:t>Figura 16.</w:t>
      </w:r>
      <w:r>
        <w:rPr>
          <w:b w:val="0"/>
          <w:i w:val="0"/>
          <w:sz w:val="17"/>
        </w:rPr>
        <w:t xml:space="preserve"> Clasificación de leads por score y nivel: ejemplos HOT, WARM y COLD registrados en la tabla </w:t>
      </w:r>
      <w:r>
        <w:rPr>
          <w:rFonts w:ascii="Consolas" w:hAnsi="Consolas" w:cs="Consolas"/>
          <w:b w:val="0"/>
          <w:i w:val="0"/>
          <w:sz w:val="17"/>
        </w:rPr>
        <w:t>leads</w:t>
      </w:r>
      <w:r>
        <w:rPr>
          <w:b w:val="0"/>
          <w:i w:val="0"/>
          <w:sz w:val="17"/>
        </w:rPr>
        <w:t xml:space="preserve"> (§4.3.1, escenarios E1 a E3). </w:t>
      </w:r>
      <w:r>
        <w:rPr>
          <w:b w:val="0"/>
          <w:i/>
          <w:sz w:val="17"/>
        </w:rPr>
        <w:t>Nota.</w:t>
      </w:r>
      <w:r>
        <w:rPr>
          <w:b w:val="0"/>
          <w:i w:val="0"/>
          <w:sz w:val="17"/>
        </w:rPr>
        <w:t xml:space="preserve"> Captura propia de la consola de la base de datos.</w:t>
      </w:r>
    </w:p>
    <w:p>
      <w:pPr>
        <w:jc w:val="center"/>
        <w:keepNext/>
      </w:pPr>
      <w:r>
        <w:drawing>
          <wp:inline xmlns:a="http://schemas.openxmlformats.org/drawingml/2006/main" xmlns:pic="http://schemas.openxmlformats.org/drawingml/2006/picture">
            <wp:extent cx="4754880" cy="2502568"/>
            <wp:docPr id="47" name="Picture 47"/>
            <wp:cNvGraphicFramePr>
              <a:graphicFrameLocks noChangeAspect="1"/>
            </wp:cNvGraphicFramePr>
            <a:graphic>
              <a:graphicData uri="http://schemas.openxmlformats.org/drawingml/2006/picture">
                <pic:pic>
                  <pic:nvPicPr>
                    <pic:cNvPr id="0" name="fig17-validacion.png"/>
                    <pic:cNvPicPr/>
                  </pic:nvPicPr>
                  <pic:blipFill>
                    <a:blip r:embed="rId41"/>
                    <a:stretch>
                      <a:fillRect/>
                    </a:stretch>
                  </pic:blipFill>
                  <pic:spPr>
                    <a:xfrm>
                      <a:off x="0" y="0"/>
                      <a:ext cx="4754880" cy="2502568"/>
                    </a:xfrm>
                    <a:prstGeom prst="rect"/>
                  </pic:spPr>
                </pic:pic>
              </a:graphicData>
            </a:graphic>
          </wp:inline>
        </w:drawing>
      </w:r>
    </w:p>
    <w:p>
      <w:pPr>
        <w:keepLines/>
      </w:pPr>
      <w:r>
        <w:rPr>
          <w:b/>
          <w:i w:val="0"/>
          <w:sz w:val="17"/>
        </w:rPr>
        <w:t>Figura 17.</w:t>
      </w:r>
      <w:r>
        <w:rPr>
          <w:b w:val="0"/>
          <w:i w:val="0"/>
          <w:sz w:val="17"/>
        </w:rPr>
        <w:t xml:space="preserve"> Validación del formulario ante una entrada inválida (§4.2.1, escenario E4). </w:t>
      </w:r>
      <w:r>
        <w:rPr>
          <w:b w:val="0"/>
          <w:i/>
          <w:sz w:val="17"/>
        </w:rPr>
        <w:t>Nota.</w:t>
      </w:r>
      <w:r>
        <w:rPr>
          <w:b w:val="0"/>
          <w:i w:val="0"/>
          <w:sz w:val="17"/>
        </w:rPr>
        <w:t xml:space="preserve"> Captura propia. La captura documenta una sola de las tres condiciones inválidas que declara el escenario E4.</w:t>
      </w:r>
    </w:p>
    <w:p>
      <w:pPr>
        <w:jc w:val="center"/>
        <w:keepNext/>
      </w:pPr>
      <w:r>
        <w:drawing>
          <wp:inline xmlns:a="http://schemas.openxmlformats.org/drawingml/2006/main" xmlns:pic="http://schemas.openxmlformats.org/drawingml/2006/picture">
            <wp:extent cx="5577840" cy="4245203"/>
            <wp:docPr id="48" name="Picture 48"/>
            <wp:cNvGraphicFramePr>
              <a:graphicFrameLocks noChangeAspect="1"/>
            </wp:cNvGraphicFramePr>
            <a:graphic>
              <a:graphicData uri="http://schemas.openxmlformats.org/drawingml/2006/picture">
                <pic:pic>
                  <pic:nvPicPr>
                    <pic:cNvPr id="0" name="fig18-desenlaces.png"/>
                    <pic:cNvPicPr/>
                  </pic:nvPicPr>
                  <pic:blipFill>
                    <a:blip r:embed="rId42"/>
                    <a:stretch>
                      <a:fillRect/>
                    </a:stretch>
                  </pic:blipFill>
                  <pic:spPr>
                    <a:xfrm>
                      <a:off x="0" y="0"/>
                      <a:ext cx="5577840" cy="4245203"/>
                    </a:xfrm>
                    <a:prstGeom prst="rect"/>
                  </pic:spPr>
                </pic:pic>
              </a:graphicData>
            </a:graphic>
          </wp:inline>
        </w:drawing>
      </w:r>
    </w:p>
    <w:p>
      <w:pPr>
        <w:keepLines/>
      </w:pPr>
      <w:r>
        <w:rPr>
          <w:b/>
          <w:i w:val="0"/>
          <w:sz w:val="17"/>
        </w:rPr>
        <w:t>Figura 18. Los cuatro desenlaces de la página pública de aceptación de propuesta: (a) aceptación satisfactoria (§4.2.6, escenario E5); (b) enlace ya utilizado, rechazado sin reprocesar ni duplicar la factura (§4.3.2, escenario E6); (c) rechazo de la propuesta por el cliente, el lead pasa a PERDIDO (§4.3.7, escenario E8); (d) pedido de cambios del cliente, el lead vuelve a EN_SEGUIMIENTO (§4.3.7, escenario E9). Nota. Captura propia.</w:t>
      </w:r>
      <w:r>
        <w:rPr>
          <w:b w:val="0"/>
          <w:i w:val="0"/>
          <w:sz w:val="17"/>
        </w:rPr>
      </w:r>
      <w:r>
        <w:rPr>
          <w:b w:val="0"/>
          <w:i/>
          <w:sz w:val="17"/>
        </w:rPr>
      </w:r>
      <w:r>
        <w:rPr>
          <w:b w:val="0"/>
          <w:i w:val="0"/>
          <w:sz w:val="17"/>
        </w:rPr>
      </w:r>
    </w:p>
    <w:p w:rsidR="00D60FC7" w:rsidRDefault="00000000">
      <w:pPr>
        <w:pStyle w:val="Ttulo2"/>
      </w:pPr>
      <w:bookmarkStart w:id="56" w:name="_Toc233808462"/>
      <w:r>
        <w:t>Anexo B. Flujos de trabajo de n8n</w:t>
      </w:r>
      <w:bookmarkEnd w:id="56"/>
    </w:p>
    <w:p w:rsidR="00D60FC7" w:rsidRDefault="00000000">
      <w:proofErr w:type="spellStart"/>
      <w:proofErr w:type="spellEnd"/>
      <w:r>
        <w:rPr>
          <w:b w:val="0"/>
          <w:i w:val="0"/>
        </w:rPr>
        <w:t>El backend de automatización se compone de un único flujo de 141 nodos funcionales —157 en total, incluidas 16 notas de documentación—, exportado en el archivo workflow/crm_postgres.json del repositorio declarado en §4.1. La Tabla 15 resume su composición por tipo de nodo y la Tabla 16, la organización por proceso, con el disparador de cada uno.</w:t>
      </w:r>
      <w:r>
        <w:rPr>
          <w:rFonts w:ascii="Consolas" w:hAnsi="Consolas" w:cs="Consolas"/>
          <w:b w:val="0"/>
          <w:i w:val="0"/>
        </w:rPr>
      </w:r>
      <w:r>
        <w:rPr>
          <w:b w:val="0"/>
          <w:i w:val="0"/>
        </w:rPr>
      </w:r>
    </w:p>
    <w:p>
      <w:pPr>
        <w:keepNext/>
      </w:pPr>
      <w:r>
        <w:rPr>
          <w:b w:val="0"/>
          <w:i w:val="0"/>
        </w:rPr>
        <w:t>Tabla 15. Composición del flujo por tipo de nodo</w:t>
      </w:r>
    </w:p>
    <w:p>
      <w:pPr>
        <w:keepNext/>
      </w:pPr>
      <w:r>
        <w:rPr>
          <w:b w:val="0"/>
          <w:i w:val="0"/>
        </w:rPr>
        <w:t>Tabla 16. Procesos del flujo, disparador y nodos principales</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5000" w:type="pct"/>
      </w:tblPr>
      <w:tblGrid>
        <w:gridCol w:w="2929"/>
        <w:gridCol w:w="2929"/>
        <w:gridCol w:w="2929"/>
      </w:tblGrid>
      <w:tr>
        <w:trPr>
          <w:tblHeader/>
        </w:trPr>
        <w:tc>
          <w:tcPr>
            <w:tcW w:type="dxa" w:w="1928"/>
            <w:shd w:val="clear" w:color="auto" w:fill="1F2937"/>
          </w:tcPr>
          <w:p>
            <w:pPr>
              <w:spacing w:after="40" w:before="40"/>
              <w:jc w:val="left"/>
            </w:pPr>
            <w:r>
              <w:rPr>
                <w:b/>
                <w:i w:val="0"/>
                <w:color w:val="FFFFFF"/>
                <w:sz w:val="14"/>
              </w:rPr>
              <w:t>Proceso</w:t>
            </w:r>
          </w:p>
        </w:tc>
        <w:tc>
          <w:tcPr>
            <w:tcW w:type="dxa" w:w="1814"/>
            <w:shd w:val="clear" w:color="auto" w:fill="1F2937"/>
          </w:tcPr>
          <w:p>
            <w:pPr>
              <w:spacing w:after="40" w:before="40"/>
              <w:jc w:val="left"/>
            </w:pPr>
            <w:r>
              <w:rPr>
                <w:b/>
                <w:i w:val="0"/>
                <w:color w:val="FFFFFF"/>
                <w:sz w:val="14"/>
              </w:rPr>
              <w:t>Disparador</w:t>
            </w:r>
          </w:p>
        </w:tc>
        <w:tc>
          <w:tcPr>
            <w:tcW w:type="dxa" w:w="5046"/>
            <w:shd w:val="clear" w:color="auto" w:fill="1F2937"/>
          </w:tcPr>
          <w:p>
            <w:pPr>
              <w:spacing w:after="40" w:before="40"/>
              <w:jc w:val="left"/>
            </w:pPr>
            <w:r>
              <w:rPr>
                <w:b/>
                <w:i w:val="0"/>
                <w:color w:val="FFFFFF"/>
                <w:sz w:val="14"/>
              </w:rPr>
              <w:t>Nodos principales</w:t>
            </w:r>
          </w:p>
        </w:tc>
      </w:tr>
      <w:tr>
        <w:tc>
          <w:tcPr>
            <w:tcW w:type="dxa" w:w="1928"/>
          </w:tcPr>
          <w:p>
            <w:pPr>
              <w:spacing w:after="40" w:before="40"/>
              <w:jc w:val="left"/>
            </w:pPr>
            <w:r>
              <w:rPr>
                <w:b w:val="0"/>
                <w:i w:val="0"/>
                <w:sz w:val="14"/>
              </w:rPr>
              <w:t>Captación y calificación</w:t>
            </w:r>
          </w:p>
        </w:tc>
        <w:tc>
          <w:tcPr>
            <w:tcW w:type="dxa" w:w="1814"/>
          </w:tcPr>
          <w:p>
            <w:pPr>
              <w:spacing w:after="40" w:before="40"/>
              <w:jc w:val="left"/>
            </w:pPr>
            <w:r>
              <w:rPr>
                <w:b w:val="0"/>
                <w:i w:val="0"/>
                <w:sz w:val="14"/>
                <w:rFonts w:ascii="Consolas" w:hAnsi="Consolas" w:cs="Consolas"/>
              </w:rPr>
              <w:t>POST /lead/nuevo</w:t>
            </w:r>
          </w:p>
        </w:tc>
        <w:tc>
          <w:tcPr>
            <w:tcW w:type="dxa" w:w="5046"/>
          </w:tcPr>
          <w:p>
            <w:pPr>
              <w:spacing w:after="40" w:before="40"/>
              <w:jc w:val="left"/>
            </w:pPr>
            <w:r>
              <w:rPr>
                <w:b w:val="0"/>
                <w:i w:val="0"/>
                <w:sz w:val="14"/>
              </w:rPr>
              <w:t>Normalizar Lead → Insert Lead → Scoring → IF por nivel → Generar Propuesta → Gmail → Estado Propuesta Enviada → Preparar Card Notion → Telegram.</w:t>
            </w:r>
          </w:p>
        </w:tc>
      </w:tr>
      <w:tr>
        <w:tc>
          <w:tcPr>
            <w:tcW w:type="dxa" w:w="1928"/>
          </w:tcPr>
          <w:p>
            <w:pPr>
              <w:spacing w:after="40" w:before="40"/>
              <w:jc w:val="left"/>
            </w:pPr>
            <w:r>
              <w:rPr>
                <w:b w:val="0"/>
                <w:i w:val="0"/>
                <w:sz w:val="14"/>
              </w:rPr>
              <w:t>Lectura de la propuesta</w:t>
            </w:r>
          </w:p>
        </w:tc>
        <w:tc>
          <w:tcPr>
            <w:tcW w:type="dxa" w:w="1814"/>
          </w:tcPr>
          <w:p>
            <w:pPr>
              <w:spacing w:after="40" w:before="40"/>
              <w:jc w:val="left"/>
            </w:pPr>
            <w:r>
              <w:rPr>
                <w:b w:val="0"/>
                <w:i w:val="0"/>
                <w:sz w:val="14"/>
                <w:rFonts w:ascii="Consolas" w:hAnsi="Consolas" w:cs="Consolas"/>
              </w:rPr>
              <w:t>GET /lead-propuesta</w:t>
            </w:r>
          </w:p>
        </w:tc>
        <w:tc>
          <w:tcPr>
            <w:tcW w:type="dxa" w:w="5046"/>
          </w:tcPr>
          <w:p>
            <w:pPr>
              <w:spacing w:after="40" w:before="40"/>
              <w:jc w:val="left"/>
            </w:pPr>
            <w:r>
              <w:rPr>
                <w:b w:val="0"/>
                <w:i w:val="0"/>
                <w:sz w:val="14"/>
              </w:rPr>
              <w:t xml:space="preserve">Leer Query → consulta a </w:t>
            </w:r>
            <w:r>
              <w:rPr>
                <w:b w:val="0"/>
                <w:i w:val="0"/>
                <w:sz w:val="14"/>
                <w:rFonts w:ascii="Consolas" w:hAnsi="Consolas" w:cs="Consolas"/>
              </w:rPr>
              <w:t>leads</w:t>
            </w:r>
            <w:r>
              <w:rPr>
                <w:b w:val="0"/>
                <w:i w:val="0"/>
                <w:sz w:val="14"/>
              </w:rPr>
              <w:t xml:space="preserve"> → Armar Respuesta.</w:t>
            </w:r>
          </w:p>
        </w:tc>
      </w:tr>
      <w:tr>
        <w:tc>
          <w:tcPr>
            <w:tcW w:type="dxa" w:w="1928"/>
          </w:tcPr>
          <w:p>
            <w:pPr>
              <w:spacing w:after="40" w:before="40"/>
              <w:jc w:val="left"/>
            </w:pPr>
            <w:r>
              <w:rPr>
                <w:b w:val="0"/>
                <w:i w:val="0"/>
                <w:sz w:val="14"/>
              </w:rPr>
              <w:t>Aceptación y facturación</w:t>
            </w:r>
          </w:p>
        </w:tc>
        <w:tc>
          <w:tcPr>
            <w:tcW w:type="dxa" w:w="1814"/>
          </w:tcPr>
          <w:p>
            <w:pPr>
              <w:spacing w:after="40" w:before="40"/>
              <w:jc w:val="left"/>
            </w:pPr>
            <w:r>
              <w:rPr>
                <w:b w:val="0"/>
                <w:i w:val="0"/>
                <w:sz w:val="14"/>
                <w:rFonts w:ascii="Consolas" w:hAnsi="Consolas" w:cs="Consolas"/>
              </w:rPr>
              <w:t>POST /lead-acepta</w:t>
            </w:r>
          </w:p>
        </w:tc>
        <w:tc>
          <w:tcPr>
            <w:tcW w:type="dxa" w:w="5046"/>
          </w:tcPr>
          <w:p>
            <w:pPr>
              <w:spacing w:after="40" w:before="40"/>
              <w:jc w:val="left"/>
            </w:pPr>
            <w:r>
              <w:rPr>
                <w:b w:val="0"/>
                <w:i w:val="0"/>
                <w:sz w:val="14"/>
              </w:rPr>
              <w:t>Validar Token → Buscar Lead → Marcar Aceptado (UPDATE condicional) → IF - Aceptación Aplicó? → Generar Factura HTML → Gotenberg → Gmail → Insert Factura → Lead a Facturado → Telegram y Notion. Rama alternativa: No-op - Aceptación Duplicada.</w:t>
            </w:r>
          </w:p>
        </w:tc>
      </w:tr>
      <w:tr>
        <w:tc>
          <w:tcPr>
            <w:tcW w:type="dxa" w:w="1928"/>
          </w:tcPr>
          <w:p>
            <w:pPr>
              <w:spacing w:after="40" w:before="40"/>
              <w:jc w:val="left"/>
            </w:pPr>
            <w:r>
              <w:rPr>
                <w:b w:val="0"/>
                <w:i w:val="0"/>
                <w:sz w:val="14"/>
              </w:rPr>
              <w:t>Rechazo de la propuesta</w:t>
            </w:r>
          </w:p>
        </w:tc>
        <w:tc>
          <w:tcPr>
            <w:tcW w:type="dxa" w:w="1814"/>
          </w:tcPr>
          <w:p>
            <w:pPr>
              <w:spacing w:after="40" w:before="40"/>
              <w:jc w:val="left"/>
            </w:pPr>
            <w:r>
              <w:rPr>
                <w:b w:val="0"/>
                <w:i w:val="0"/>
                <w:sz w:val="14"/>
                <w:rFonts w:ascii="Consolas" w:hAnsi="Consolas" w:cs="Consolas"/>
              </w:rPr>
              <w:t>POST /lead-rechaza</w:t>
            </w:r>
          </w:p>
        </w:tc>
        <w:tc>
          <w:tcPr>
            <w:tcW w:type="dxa" w:w="5046"/>
          </w:tcPr>
          <w:p>
            <w:pPr>
              <w:spacing w:after="40" w:before="40"/>
              <w:jc w:val="left"/>
            </w:pPr>
            <w:r>
              <w:rPr>
                <w:b w:val="0"/>
                <w:i w:val="0"/>
                <w:sz w:val="14"/>
              </w:rPr>
              <w:t>Leer Rechazo → UPDATE a PERDIDO → Telegram → Notion.</w:t>
            </w:r>
          </w:p>
        </w:tc>
      </w:tr>
      <w:tr>
        <w:tc>
          <w:tcPr>
            <w:tcW w:type="dxa" w:w="1928"/>
          </w:tcPr>
          <w:p>
            <w:pPr>
              <w:spacing w:after="40" w:before="40"/>
              <w:jc w:val="left"/>
            </w:pPr>
            <w:r>
              <w:rPr>
                <w:b w:val="0"/>
                <w:i w:val="0"/>
                <w:sz w:val="14"/>
              </w:rPr>
              <w:t>Pedido de cambios</w:t>
            </w:r>
          </w:p>
        </w:tc>
        <w:tc>
          <w:tcPr>
            <w:tcW w:type="dxa" w:w="1814"/>
          </w:tcPr>
          <w:p>
            <w:pPr>
              <w:spacing w:after="40" w:before="40"/>
              <w:jc w:val="left"/>
            </w:pPr>
            <w:r>
              <w:rPr>
                <w:b w:val="0"/>
                <w:i w:val="0"/>
                <w:sz w:val="14"/>
                <w:rFonts w:ascii="Consolas" w:hAnsi="Consolas" w:cs="Consolas"/>
              </w:rPr>
              <w:t>POST /lead-modifica</w:t>
            </w:r>
          </w:p>
        </w:tc>
        <w:tc>
          <w:tcPr>
            <w:tcW w:type="dxa" w:w="5046"/>
          </w:tcPr>
          <w:p>
            <w:pPr>
              <w:spacing w:after="40" w:before="40"/>
              <w:jc w:val="left"/>
            </w:pPr>
            <w:r>
              <w:rPr>
                <w:b w:val="0"/>
                <w:i w:val="0"/>
                <w:sz w:val="14"/>
              </w:rPr>
              <w:t>Leer Modifica → UPDATE a EN_SEGUIMIENTO con el mensaje → Telegram.</w:t>
            </w:r>
          </w:p>
        </w:tc>
      </w:tr>
      <w:tr>
        <w:tc>
          <w:tcPr>
            <w:tcW w:type="dxa" w:w="1928"/>
          </w:tcPr>
          <w:p>
            <w:pPr>
              <w:spacing w:after="40" w:before="40"/>
              <w:jc w:val="left"/>
            </w:pPr>
            <w:r>
              <w:rPr>
                <w:b w:val="0"/>
                <w:i w:val="0"/>
                <w:sz w:val="14"/>
              </w:rPr>
              <w:t>Resolución de pedidos de cambio</w:t>
            </w:r>
          </w:p>
        </w:tc>
        <w:tc>
          <w:tcPr>
            <w:tcW w:type="dxa" w:w="1814"/>
          </w:tcPr>
          <w:p>
            <w:pPr>
              <w:spacing w:after="40" w:before="40"/>
              <w:jc w:val="left"/>
            </w:pPr>
            <w:r>
              <w:rPr>
                <w:b w:val="0"/>
                <w:i w:val="0"/>
                <w:sz w:val="14"/>
                <w:rFonts w:ascii="Consolas" w:hAnsi="Consolas" w:cs="Consolas"/>
              </w:rPr>
              <w:t>POST /cambio-aceptar</w:t>
            </w:r>
            <w:r>
              <w:rPr>
                <w:b w:val="0"/>
                <w:i w:val="0"/>
                <w:sz w:val="14"/>
              </w:rPr>
              <w:t xml:space="preserve"> · </w:t>
            </w:r>
            <w:r>
              <w:rPr>
                <w:b w:val="0"/>
                <w:i w:val="0"/>
                <w:sz w:val="14"/>
                <w:rFonts w:ascii="Consolas" w:hAnsi="Consolas" w:cs="Consolas"/>
              </w:rPr>
              <w:t>POST /cambio-rechazar</w:t>
            </w:r>
          </w:p>
        </w:tc>
        <w:tc>
          <w:tcPr>
            <w:tcW w:type="dxa" w:w="5046"/>
          </w:tcPr>
          <w:p>
            <w:pPr>
              <w:spacing w:after="40" w:before="40"/>
              <w:jc w:val="left"/>
            </w:pPr>
            <w:r>
              <w:rPr>
                <w:b w:val="0"/>
                <w:i w:val="0"/>
                <w:sz w:val="14"/>
              </w:rPr>
              <w:t>Leer Aceptar Cambio → Re-Propuesta → Gmail; o Leer Rechazar Cambio → Email No Cambios.</w:t>
            </w:r>
          </w:p>
        </w:tc>
      </w:tr>
      <w:tr>
        <w:tc>
          <w:tcPr>
            <w:tcW w:type="dxa" w:w="1928"/>
          </w:tcPr>
          <w:p>
            <w:pPr>
              <w:spacing w:after="40" w:before="40"/>
              <w:jc w:val="left"/>
            </w:pPr>
            <w:r>
              <w:rPr>
                <w:b w:val="0"/>
                <w:i w:val="0"/>
                <w:sz w:val="14"/>
              </w:rPr>
              <w:t>Pago (modo desarrollo)</w:t>
            </w:r>
          </w:p>
        </w:tc>
        <w:tc>
          <w:tcPr>
            <w:tcW w:type="dxa" w:w="1814"/>
          </w:tcPr>
          <w:p>
            <w:pPr>
              <w:spacing w:after="40" w:before="40"/>
              <w:jc w:val="left"/>
            </w:pPr>
            <w:r>
              <w:rPr>
                <w:b w:val="0"/>
                <w:i w:val="0"/>
                <w:sz w:val="14"/>
                <w:rFonts w:ascii="Consolas" w:hAnsi="Consolas" w:cs="Consolas"/>
              </w:rPr>
              <w:t>GET /pago-confirmado</w:t>
            </w:r>
          </w:p>
        </w:tc>
        <w:tc>
          <w:tcPr>
            <w:tcW w:type="dxa" w:w="5046"/>
          </w:tcPr>
          <w:p>
            <w:pPr>
              <w:spacing w:after="40" w:before="40"/>
              <w:jc w:val="left"/>
            </w:pPr>
            <w:r>
              <w:rPr>
                <w:b w:val="0"/>
                <w:i w:val="0"/>
                <w:sz w:val="14"/>
              </w:rPr>
              <w:t>Validar Pago → Marcar Cobrado (solo desde PENDIENTE) → Telegram → respuesta al cliente. Activo únicamente cuando MP_ACCESS_TOKEN está vacío.</w:t>
            </w:r>
          </w:p>
        </w:tc>
      </w:tr>
      <w:tr>
        <w:tc>
          <w:tcPr>
            <w:tcW w:type="dxa" w:w="1928"/>
          </w:tcPr>
          <w:p>
            <w:pPr>
              <w:spacing w:after="40" w:before="40"/>
              <w:jc w:val="left"/>
            </w:pPr>
            <w:r>
              <w:rPr>
                <w:b w:val="0"/>
                <w:i w:val="0"/>
                <w:sz w:val="14"/>
              </w:rPr>
              <w:t>Confirmación de pago con MercadoPago</w:t>
            </w:r>
          </w:p>
        </w:tc>
        <w:tc>
          <w:tcPr>
            <w:tcW w:type="dxa" w:w="1814"/>
          </w:tcPr>
          <w:p>
            <w:pPr>
              <w:spacing w:after="40" w:before="40"/>
              <w:jc w:val="left"/>
            </w:pPr>
            <w:r>
              <w:rPr>
                <w:b w:val="0"/>
                <w:i w:val="0"/>
                <w:sz w:val="14"/>
                <w:rFonts w:ascii="Consolas" w:hAnsi="Consolas" w:cs="Consolas"/>
              </w:rPr>
              <w:t>POST /mp/notificacion</w:t>
            </w:r>
          </w:p>
        </w:tc>
        <w:tc>
          <w:tcPr>
            <w:tcW w:type="dxa" w:w="5046"/>
          </w:tcPr>
          <w:p>
            <w:pPr>
              <w:spacing w:after="40" w:before="40"/>
              <w:jc w:val="left"/>
            </w:pPr>
            <w:r>
              <w:rPr>
                <w:b w:val="0"/>
                <w:i w:val="0"/>
                <w:sz w:val="14"/>
              </w:rPr>
              <w:t>Leer Notificación MP → Obtener Pago (API de MercadoPago) → Procesar Pago MP (solo si approved) → Marcar Cobrado MP (UPDATE idempotente) → Telegram y Notion.</w:t>
            </w:r>
          </w:p>
        </w:tc>
      </w:tr>
      <w:tr>
        <w:tc>
          <w:tcPr>
            <w:tcW w:type="dxa" w:w="1928"/>
          </w:tcPr>
          <w:p>
            <w:pPr>
              <w:spacing w:after="40" w:before="40"/>
              <w:jc w:val="left"/>
            </w:pPr>
            <w:r>
              <w:rPr>
                <w:b w:val="0"/>
                <w:i w:val="0"/>
                <w:sz w:val="14"/>
              </w:rPr>
              <w:t>Cierre de proyecto</w:t>
            </w:r>
          </w:p>
        </w:tc>
        <w:tc>
          <w:tcPr>
            <w:tcW w:type="dxa" w:w="1814"/>
          </w:tcPr>
          <w:p>
            <w:pPr>
              <w:spacing w:after="40" w:before="40"/>
              <w:jc w:val="left"/>
            </w:pPr>
            <w:r>
              <w:rPr>
                <w:b w:val="0"/>
                <w:i w:val="0"/>
                <w:sz w:val="14"/>
                <w:rFonts w:ascii="Consolas" w:hAnsi="Consolas" w:cs="Consolas"/>
              </w:rPr>
              <w:t>POST /proyecto-cerrado</w:t>
            </w:r>
          </w:p>
        </w:tc>
        <w:tc>
          <w:tcPr>
            <w:tcW w:type="dxa" w:w="5046"/>
          </w:tcPr>
          <w:p>
            <w:pPr>
              <w:spacing w:after="40" w:before="40"/>
              <w:jc w:val="left"/>
            </w:pPr>
            <w:r>
              <w:rPr>
                <w:b w:val="0"/>
                <w:i w:val="0"/>
                <w:sz w:val="14"/>
              </w:rPr>
              <w:t>Datos Cierre → Lead Cerrado → Factura Cobrada → Telegram → Email Testimonio.</w:t>
            </w:r>
          </w:p>
        </w:tc>
      </w:tr>
      <w:tr>
        <w:tc>
          <w:tcPr>
            <w:tcW w:type="dxa" w:w="1928"/>
          </w:tcPr>
          <w:p>
            <w:pPr>
              <w:spacing w:after="40" w:before="40"/>
              <w:jc w:val="left"/>
            </w:pPr>
            <w:r>
              <w:rPr>
                <w:b w:val="0"/>
                <w:i w:val="0"/>
                <w:sz w:val="14"/>
              </w:rPr>
              <w:t>Estado del trabajo</w:t>
            </w:r>
          </w:p>
        </w:tc>
        <w:tc>
          <w:tcPr>
            <w:tcW w:type="dxa" w:w="1814"/>
          </w:tcPr>
          <w:p>
            <w:pPr>
              <w:spacing w:after="40" w:before="40"/>
              <w:jc w:val="left"/>
            </w:pPr>
            <w:r>
              <w:rPr>
                <w:b w:val="0"/>
                <w:i w:val="0"/>
                <w:sz w:val="14"/>
                <w:rFonts w:ascii="Consolas" w:hAnsi="Consolas" w:cs="Consolas"/>
              </w:rPr>
              <w:t>POST /trabajo-estado</w:t>
            </w:r>
          </w:p>
        </w:tc>
        <w:tc>
          <w:tcPr>
            <w:tcW w:type="dxa" w:w="5046"/>
          </w:tcPr>
          <w:p>
            <w:pPr>
              <w:spacing w:after="40" w:before="40"/>
              <w:jc w:val="left"/>
            </w:pPr>
            <w:r>
              <w:rPr>
                <w:b w:val="0"/>
                <w:i w:val="0"/>
                <w:sz w:val="14"/>
              </w:rPr>
              <w:t xml:space="preserve">Validar Estado Trabajo → UPDATE de </w:t>
            </w:r>
            <w:r>
              <w:rPr>
                <w:b w:val="0"/>
                <w:i w:val="0"/>
                <w:sz w:val="14"/>
                <w:rFonts w:ascii="Consolas" w:hAnsi="Consolas" w:cs="Consolas"/>
              </w:rPr>
              <w:t>estado_trabajo</w:t>
            </w:r>
            <w:r>
              <w:rPr>
                <w:b w:val="0"/>
                <w:i w:val="0"/>
                <w:sz w:val="14"/>
              </w:rPr>
              <w:t xml:space="preserve"> → sincronización con Notion.</w:t>
            </w:r>
          </w:p>
        </w:tc>
      </w:tr>
      <w:tr>
        <w:tc>
          <w:tcPr>
            <w:tcW w:type="dxa" w:w="1928"/>
          </w:tcPr>
          <w:p>
            <w:pPr>
              <w:spacing w:after="40" w:before="40"/>
              <w:jc w:val="left"/>
            </w:pPr>
            <w:r>
              <w:rPr>
                <w:b w:val="0"/>
                <w:i w:val="0"/>
                <w:sz w:val="14"/>
              </w:rPr>
              <w:t>Cancelación desde el tablero</w:t>
            </w:r>
          </w:p>
        </w:tc>
        <w:tc>
          <w:tcPr>
            <w:tcW w:type="dxa" w:w="1814"/>
          </w:tcPr>
          <w:p>
            <w:pPr>
              <w:spacing w:after="40" w:before="40"/>
              <w:jc w:val="left"/>
            </w:pPr>
            <w:r>
              <w:rPr>
                <w:b w:val="0"/>
                <w:i w:val="0"/>
                <w:sz w:val="14"/>
                <w:rFonts w:ascii="Consolas" w:hAnsi="Consolas" w:cs="Consolas"/>
              </w:rPr>
              <w:t>POST /lead-cancelar</w:t>
            </w:r>
          </w:p>
        </w:tc>
        <w:tc>
          <w:tcPr>
            <w:tcW w:type="dxa" w:w="5046"/>
          </w:tcPr>
          <w:p>
            <w:pPr>
              <w:spacing w:after="40" w:before="40"/>
              <w:jc w:val="left"/>
            </w:pPr>
            <w:r>
              <w:rPr>
                <w:b w:val="0"/>
                <w:i w:val="0"/>
                <w:sz w:val="14"/>
              </w:rPr>
              <w:t>Leer Cancelar → UPDATE a PERDIDO (si no está CERRADO ni PERDIDO) → Telegram → Notion CANCELADO.</w:t>
            </w:r>
          </w:p>
        </w:tc>
      </w:tr>
      <w:tr>
        <w:tc>
          <w:tcPr>
            <w:tcW w:type="dxa" w:w="1928"/>
          </w:tcPr>
          <w:p>
            <w:pPr>
              <w:spacing w:after="40" w:before="40"/>
              <w:jc w:val="left"/>
            </w:pPr>
            <w:r>
              <w:rPr>
                <w:b w:val="0"/>
                <w:i w:val="0"/>
                <w:sz w:val="14"/>
              </w:rPr>
              <w:t>Seguimiento de propuestas</w:t>
            </w:r>
          </w:p>
        </w:tc>
        <w:tc>
          <w:tcPr>
            <w:tcW w:type="dxa" w:w="1814"/>
          </w:tcPr>
          <w:p>
            <w:pPr>
              <w:spacing w:after="40" w:before="40"/>
              <w:jc w:val="left"/>
            </w:pPr>
            <w:r>
              <w:rPr>
                <w:b w:val="0"/>
                <w:i w:val="0"/>
                <w:sz w:val="14"/>
              </w:rPr>
              <w:t xml:space="preserve">Cron </w:t>
            </w:r>
            <w:r>
              <w:rPr>
                <w:b w:val="0"/>
                <w:i w:val="0"/>
                <w:sz w:val="14"/>
                <w:rFonts w:ascii="Consolas" w:hAnsi="Consolas" w:cs="Consolas"/>
              </w:rPr>
              <w:t>0 9 * * 1-5</w:t>
            </w:r>
          </w:p>
        </w:tc>
        <w:tc>
          <w:tcPr>
            <w:tcW w:type="dxa" w:w="5046"/>
          </w:tcPr>
          <w:p>
            <w:pPr>
              <w:spacing w:after="40" w:before="40"/>
              <w:jc w:val="left"/>
            </w:pPr>
            <w:r>
              <w:rPr>
                <w:b w:val="0"/>
                <w:i w:val="0"/>
                <w:sz w:val="14"/>
              </w:rPr>
              <w:t>Consulta de leads elegibles → Preparar Follow-up → Gmail → Insert seguimiento → UPDATE del lead.</w:t>
            </w:r>
          </w:p>
        </w:tc>
      </w:tr>
      <w:tr>
        <w:tc>
          <w:tcPr>
            <w:tcW w:type="dxa" w:w="1928"/>
          </w:tcPr>
          <w:p>
            <w:pPr>
              <w:spacing w:after="40" w:before="40"/>
              <w:jc w:val="left"/>
            </w:pPr>
            <w:r>
              <w:rPr>
                <w:b w:val="0"/>
                <w:i w:val="0"/>
                <w:sz w:val="14"/>
              </w:rPr>
              <w:t>Recordatorios de pago</w:t>
            </w:r>
          </w:p>
        </w:tc>
        <w:tc>
          <w:tcPr>
            <w:tcW w:type="dxa" w:w="1814"/>
          </w:tcPr>
          <w:p>
            <w:pPr>
              <w:spacing w:after="40" w:before="40"/>
              <w:jc w:val="left"/>
            </w:pPr>
            <w:r>
              <w:rPr>
                <w:b w:val="0"/>
                <w:i w:val="0"/>
                <w:sz w:val="14"/>
              </w:rPr>
              <w:t xml:space="preserve">Cron </w:t>
            </w:r>
            <w:r>
              <w:rPr>
                <w:b w:val="0"/>
                <w:i w:val="0"/>
                <w:sz w:val="14"/>
                <w:rFonts w:ascii="Consolas" w:hAnsi="Consolas" w:cs="Consolas"/>
              </w:rPr>
              <w:t>0 10 * * *</w:t>
            </w:r>
          </w:p>
        </w:tc>
        <w:tc>
          <w:tcPr>
            <w:tcW w:type="dxa" w:w="5046"/>
          </w:tcPr>
          <w:p>
            <w:pPr>
              <w:spacing w:after="40" w:before="40"/>
              <w:jc w:val="left"/>
            </w:pPr>
            <w:r>
              <w:rPr>
                <w:b w:val="0"/>
                <w:i w:val="0"/>
                <w:sz w:val="14"/>
              </w:rPr>
              <w:t>Leer Facturas Pendientes → Filtrar Vencimientos (niveles RECORDATORIO, HOY, VENCIDA, URGENTE) → Gmail → Telegram en el caso urgente.</w:t>
            </w:r>
          </w:p>
        </w:tc>
      </w:tr>
      <w:tr>
        <w:tc>
          <w:tcPr>
            <w:tcW w:type="dxa" w:w="1928"/>
          </w:tcPr>
          <w:p>
            <w:pPr>
              <w:spacing w:after="40" w:before="40"/>
              <w:jc w:val="left"/>
            </w:pPr>
            <w:r>
              <w:rPr>
                <w:b w:val="0"/>
                <w:i w:val="0"/>
                <w:sz w:val="14"/>
              </w:rPr>
              <w:t>Reporte diario de métricas</w:t>
            </w:r>
          </w:p>
        </w:tc>
        <w:tc>
          <w:tcPr>
            <w:tcW w:type="dxa" w:w="1814"/>
          </w:tcPr>
          <w:p>
            <w:pPr>
              <w:spacing w:after="40" w:before="40"/>
              <w:jc w:val="left"/>
            </w:pPr>
            <w:r>
              <w:rPr>
                <w:b w:val="0"/>
                <w:i w:val="0"/>
                <w:sz w:val="14"/>
              </w:rPr>
              <w:t xml:space="preserve">Cron </w:t>
            </w:r>
            <w:r>
              <w:rPr>
                <w:b w:val="0"/>
                <w:i w:val="0"/>
                <w:sz w:val="14"/>
                <w:rFonts w:ascii="Consolas" w:hAnsi="Consolas" w:cs="Consolas"/>
              </w:rPr>
              <w:t>59 23 * * *</w:t>
            </w:r>
          </w:p>
        </w:tc>
        <w:tc>
          <w:tcPr>
            <w:tcW w:type="dxa" w:w="5046"/>
          </w:tcPr>
          <w:p>
            <w:pPr>
              <w:spacing w:after="40" w:before="40"/>
              <w:jc w:val="left"/>
            </w:pPr>
            <w:r>
              <w:rPr>
                <w:b w:val="0"/>
                <w:i w:val="0"/>
                <w:sz w:val="14"/>
              </w:rPr>
              <w:t xml:space="preserve">Consulta de </w:t>
            </w:r>
            <w:r>
              <w:rPr>
                <w:b w:val="0"/>
                <w:i w:val="0"/>
                <w:sz w:val="14"/>
                <w:rFonts w:ascii="Consolas" w:hAnsi="Consolas" w:cs="Consolas"/>
              </w:rPr>
              <w:t>metrics_mensuales</w:t>
            </w:r>
            <w:r>
              <w:rPr>
                <w:b w:val="0"/>
                <w:i w:val="0"/>
                <w:sz w:val="14"/>
              </w:rPr>
              <w:t xml:space="preserve"> → Telegram.</w:t>
            </w:r>
          </w:p>
        </w:tc>
      </w:tr>
      <w:tr>
        <w:tc>
          <w:tcPr>
            <w:tcW w:type="dxa" w:w="1928"/>
          </w:tcPr>
          <w:p>
            <w:pPr>
              <w:spacing w:after="40" w:before="40"/>
              <w:jc w:val="left"/>
            </w:pPr>
            <w:r>
              <w:rPr>
                <w:b w:val="0"/>
                <w:i w:val="0"/>
                <w:sz w:val="14"/>
              </w:rPr>
              <w:t>Manejo de errores</w:t>
            </w:r>
          </w:p>
        </w:tc>
        <w:tc>
          <w:tcPr>
            <w:tcW w:type="dxa" w:w="1814"/>
          </w:tcPr>
          <w:p>
            <w:pPr>
              <w:spacing w:after="40" w:before="40"/>
              <w:jc w:val="left"/>
            </w:pPr>
            <w:r>
              <w:rPr>
                <w:b w:val="0"/>
                <w:i w:val="0"/>
                <w:sz w:val="14"/>
                <w:rFonts w:ascii="Consolas" w:hAnsi="Consolas" w:cs="Consolas"/>
              </w:rPr>
              <w:t>errorTrigger</w:t>
            </w:r>
            <w:r>
              <w:rPr>
                <w:b w:val="0"/>
                <w:i w:val="0"/>
                <w:sz w:val="14"/>
              </w:rPr>
              <w:t xml:space="preserve"> global</w:t>
            </w:r>
          </w:p>
        </w:tc>
        <w:tc>
          <w:tcPr>
            <w:tcW w:type="dxa" w:w="5046"/>
          </w:tcPr>
          <w:p>
            <w:pPr>
              <w:spacing w:after="40" w:before="40"/>
              <w:jc w:val="left"/>
            </w:pPr>
            <w:r>
              <w:rPr>
                <w:b w:val="0"/>
                <w:i w:val="0"/>
                <w:sz w:val="14"/>
              </w:rPr>
              <w:t xml:space="preserve">Formatear Error → Insert en </w:t>
            </w:r>
            <w:r>
              <w:rPr>
                <w:b w:val="0"/>
                <w:i w:val="0"/>
                <w:sz w:val="14"/>
                <w:rFonts w:ascii="Consolas" w:hAnsi="Consolas" w:cs="Consolas"/>
              </w:rPr>
              <w:t>logs</w:t>
            </w:r>
            <w:r>
              <w:rPr>
                <w:b w:val="0"/>
                <w:i w:val="0"/>
                <w:sz w:val="14"/>
              </w:rPr>
              <w:t xml:space="preserve"> → Telegram de error crítico.</w:t>
            </w:r>
          </w:p>
        </w:tc>
      </w:tr>
    </w:tbl>
    <w:p>
      <w:pPr/>
      <w:r>
        <w:rPr>
          <w:b w:val="0"/>
          <w:i/>
          <w:sz w:val="15"/>
        </w:rPr>
        <w:t>Nota. Elaboración propia a partir de workflow/crm_postgres.json. El flujo exportado se incluye íntegro en el repositorio y puede importarse en una instancia de n8n sin modificaciones.</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5000" w:type="pct"/>
      </w:tblPr>
      <w:tblGrid>
        <w:gridCol w:w="2929"/>
        <w:gridCol w:w="2929"/>
        <w:gridCol w:w="2929"/>
      </w:tblGrid>
      <w:tr>
        <w:trPr>
          <w:tblHeader/>
        </w:trPr>
        <w:tc>
          <w:tcPr>
            <w:tcW w:type="dxa" w:w="3402"/>
            <w:shd w:val="clear" w:color="auto" w:fill="1F2937"/>
          </w:tcPr>
          <w:p>
            <w:pPr>
              <w:spacing w:after="40" w:before="40"/>
              <w:jc w:val="left"/>
            </w:pPr>
            <w:r>
              <w:rPr>
                <w:b/>
                <w:i w:val="0"/>
                <w:color w:val="FFFFFF"/>
                <w:sz w:val="14"/>
              </w:rPr>
              <w:t>Tipo de nodo</w:t>
            </w:r>
          </w:p>
        </w:tc>
        <w:tc>
          <w:tcPr>
            <w:tcW w:type="dxa" w:w="1247"/>
            <w:shd w:val="clear" w:color="auto" w:fill="1F2937"/>
          </w:tcPr>
          <w:p>
            <w:pPr>
              <w:spacing w:after="40" w:before="40"/>
              <w:jc w:val="left"/>
            </w:pPr>
            <w:r>
              <w:rPr>
                <w:b/>
                <w:i w:val="0"/>
                <w:color w:val="FFFFFF"/>
                <w:sz w:val="14"/>
              </w:rPr>
              <w:t>Cantidad</w:t>
            </w:r>
          </w:p>
        </w:tc>
        <w:tc>
          <w:tcPr>
            <w:tcW w:type="dxa" w:w="4139"/>
            <w:shd w:val="clear" w:color="auto" w:fill="1F2937"/>
          </w:tcPr>
          <w:p>
            <w:pPr>
              <w:spacing w:after="40" w:before="40"/>
              <w:jc w:val="left"/>
            </w:pPr>
            <w:r>
              <w:rPr>
                <w:b/>
                <w:i w:val="0"/>
                <w:color w:val="FFFFFF"/>
                <w:sz w:val="14"/>
              </w:rPr>
              <w:t>Función</w:t>
            </w:r>
          </w:p>
        </w:tc>
      </w:tr>
      <w:tr>
        <w:tc>
          <w:tcPr>
            <w:tcW w:type="dxa" w:w="3402"/>
          </w:tcPr>
          <w:p>
            <w:pPr>
              <w:spacing w:after="40" w:before="40"/>
              <w:jc w:val="left"/>
            </w:pPr>
            <w:r>
              <w:rPr>
                <w:b w:val="0"/>
                <w:i w:val="0"/>
                <w:sz w:val="14"/>
                <w:rFonts w:ascii="Consolas" w:hAnsi="Consolas" w:cs="Consolas"/>
              </w:rPr>
              <w:t>n8n-nodes-base.postgres</w:t>
            </w:r>
          </w:p>
        </w:tc>
        <w:tc>
          <w:tcPr>
            <w:tcW w:type="dxa" w:w="1247"/>
          </w:tcPr>
          <w:p>
            <w:pPr>
              <w:spacing w:after="40" w:before="40"/>
              <w:jc w:val="left"/>
            </w:pPr>
            <w:r>
              <w:rPr>
                <w:b w:val="0"/>
                <w:i w:val="0"/>
                <w:sz w:val="14"/>
              </w:rPr>
              <w:t>31</w:t>
            </w:r>
          </w:p>
        </w:tc>
        <w:tc>
          <w:tcPr>
            <w:tcW w:type="dxa" w:w="4139"/>
          </w:tcPr>
          <w:p>
            <w:pPr>
              <w:spacing w:after="40" w:before="40"/>
              <w:jc w:val="left"/>
            </w:pPr>
            <w:r>
              <w:rPr>
                <w:b w:val="0"/>
                <w:i w:val="0"/>
                <w:sz w:val="14"/>
              </w:rPr>
              <w:t>Consultas y actualizaciones sobre la base de datos.</w:t>
            </w:r>
          </w:p>
        </w:tc>
      </w:tr>
      <w:tr>
        <w:tc>
          <w:tcPr>
            <w:tcW w:type="dxa" w:w="3402"/>
          </w:tcPr>
          <w:p>
            <w:pPr>
              <w:spacing w:after="40" w:before="40"/>
              <w:jc w:val="left"/>
            </w:pPr>
            <w:r>
              <w:rPr>
                <w:b w:val="0"/>
                <w:i w:val="0"/>
                <w:sz w:val="14"/>
                <w:rFonts w:ascii="Consolas" w:hAnsi="Consolas" w:cs="Consolas"/>
              </w:rPr>
              <w:t>n8n-nodes-base.code</w:t>
            </w:r>
          </w:p>
        </w:tc>
        <w:tc>
          <w:tcPr>
            <w:tcW w:type="dxa" w:w="1247"/>
          </w:tcPr>
          <w:p>
            <w:pPr>
              <w:spacing w:after="40" w:before="40"/>
              <w:jc w:val="left"/>
            </w:pPr>
            <w:r>
              <w:rPr>
                <w:b w:val="0"/>
                <w:i w:val="0"/>
                <w:sz w:val="14"/>
              </w:rPr>
              <w:t>28</w:t>
            </w:r>
          </w:p>
        </w:tc>
        <w:tc>
          <w:tcPr>
            <w:tcW w:type="dxa" w:w="4139"/>
          </w:tcPr>
          <w:p>
            <w:pPr>
              <w:spacing w:after="40" w:before="40"/>
              <w:jc w:val="left"/>
            </w:pPr>
            <w:r>
              <w:rPr>
                <w:b w:val="0"/>
                <w:i w:val="0"/>
                <w:sz w:val="14"/>
              </w:rPr>
              <w:t>Lógica de negocio en JavaScript (normalización, scoring, validación de token, generación de documentos, integración con MercadoPago).</w:t>
            </w:r>
          </w:p>
        </w:tc>
      </w:tr>
      <w:tr>
        <w:tc>
          <w:tcPr>
            <w:tcW w:type="dxa" w:w="3402"/>
          </w:tcPr>
          <w:p>
            <w:pPr>
              <w:spacing w:after="40" w:before="40"/>
              <w:jc w:val="left"/>
            </w:pPr>
            <w:r>
              <w:rPr>
                <w:b w:val="0"/>
                <w:i w:val="0"/>
                <w:sz w:val="14"/>
                <w:rFonts w:ascii="Consolas" w:hAnsi="Consolas" w:cs="Consolas"/>
              </w:rPr>
              <w:t>n8n-nodes-base.respondToWebhook</w:t>
            </w:r>
          </w:p>
        </w:tc>
        <w:tc>
          <w:tcPr>
            <w:tcW w:type="dxa" w:w="1247"/>
          </w:tcPr>
          <w:p>
            <w:pPr>
              <w:spacing w:after="40" w:before="40"/>
              <w:jc w:val="left"/>
            </w:pPr>
            <w:r>
              <w:rPr>
                <w:b w:val="0"/>
                <w:i w:val="0"/>
                <w:sz w:val="14"/>
              </w:rPr>
              <w:t>18</w:t>
            </w:r>
          </w:p>
        </w:tc>
        <w:tc>
          <w:tcPr>
            <w:tcW w:type="dxa" w:w="4139"/>
          </w:tcPr>
          <w:p>
            <w:pPr>
              <w:spacing w:after="40" w:before="40"/>
              <w:jc w:val="left"/>
            </w:pPr>
            <w:r>
              <w:rPr>
                <w:b w:val="0"/>
                <w:i w:val="0"/>
                <w:sz w:val="14"/>
              </w:rPr>
              <w:t>Respuestas HTTP a los llamadores.</w:t>
            </w:r>
          </w:p>
        </w:tc>
      </w:tr>
      <w:tr>
        <w:tc>
          <w:tcPr>
            <w:tcW w:type="dxa" w:w="3402"/>
          </w:tcPr>
          <w:p>
            <w:pPr>
              <w:spacing w:after="40" w:before="40"/>
              <w:jc w:val="left"/>
            </w:pPr>
            <w:r>
              <w:rPr>
                <w:b w:val="0"/>
                <w:i w:val="0"/>
                <w:sz w:val="14"/>
                <w:rFonts w:ascii="Consolas" w:hAnsi="Consolas" w:cs="Consolas"/>
              </w:rPr>
              <w:t>n8n-nodes-base.stickyNote</w:t>
            </w:r>
          </w:p>
        </w:tc>
        <w:tc>
          <w:tcPr>
            <w:tcW w:type="dxa" w:w="1247"/>
          </w:tcPr>
          <w:p>
            <w:pPr>
              <w:spacing w:after="40" w:before="40"/>
              <w:jc w:val="left"/>
            </w:pPr>
            <w:r>
              <w:rPr>
                <w:b w:val="0"/>
                <w:i w:val="0"/>
                <w:sz w:val="14"/>
              </w:rPr>
              <w:t>16</w:t>
            </w:r>
          </w:p>
        </w:tc>
        <w:tc>
          <w:tcPr>
            <w:tcW w:type="dxa" w:w="4139"/>
          </w:tcPr>
          <w:p>
            <w:pPr>
              <w:spacing w:after="40" w:before="40"/>
              <w:jc w:val="left"/>
            </w:pPr>
            <w:r>
              <w:rPr>
                <w:b w:val="0"/>
                <w:i w:val="0"/>
                <w:sz w:val="14"/>
              </w:rPr>
              <w:t>Notas de documentación en el lienzo (no funcionales).</w:t>
            </w:r>
          </w:p>
        </w:tc>
      </w:tr>
      <w:tr>
        <w:tc>
          <w:tcPr>
            <w:tcW w:type="dxa" w:w="3402"/>
          </w:tcPr>
          <w:p>
            <w:pPr>
              <w:spacing w:after="40" w:before="40"/>
              <w:jc w:val="left"/>
            </w:pPr>
            <w:r>
              <w:rPr>
                <w:b w:val="0"/>
                <w:i w:val="0"/>
                <w:sz w:val="14"/>
                <w:rFonts w:ascii="Consolas" w:hAnsi="Consolas" w:cs="Consolas"/>
              </w:rPr>
              <w:t>n8n-nodes-base.telegram</w:t>
            </w:r>
          </w:p>
        </w:tc>
        <w:tc>
          <w:tcPr>
            <w:tcW w:type="dxa" w:w="1247"/>
          </w:tcPr>
          <w:p>
            <w:pPr>
              <w:spacing w:after="40" w:before="40"/>
              <w:jc w:val="left"/>
            </w:pPr>
            <w:r>
              <w:rPr>
                <w:b w:val="0"/>
                <w:i w:val="0"/>
                <w:sz w:val="14"/>
              </w:rPr>
              <w:t>13</w:t>
            </w:r>
          </w:p>
        </w:tc>
        <w:tc>
          <w:tcPr>
            <w:tcW w:type="dxa" w:w="4139"/>
          </w:tcPr>
          <w:p>
            <w:pPr>
              <w:spacing w:after="40" w:before="40"/>
              <w:jc w:val="left"/>
            </w:pPr>
            <w:r>
              <w:rPr>
                <w:b w:val="0"/>
                <w:i w:val="0"/>
                <w:sz w:val="14"/>
              </w:rPr>
              <w:t>Notificaciones al profesional.</w:t>
            </w:r>
          </w:p>
        </w:tc>
      </w:tr>
      <w:tr>
        <w:tc>
          <w:tcPr>
            <w:tcW w:type="dxa" w:w="3402"/>
          </w:tcPr>
          <w:p>
            <w:pPr>
              <w:spacing w:after="40" w:before="40"/>
              <w:jc w:val="left"/>
            </w:pPr>
            <w:r>
              <w:rPr>
                <w:b w:val="0"/>
                <w:i w:val="0"/>
                <w:sz w:val="14"/>
                <w:rFonts w:ascii="Consolas" w:hAnsi="Consolas" w:cs="Consolas"/>
              </w:rPr>
              <w:t>n8n-nodes-base.if</w:t>
            </w:r>
          </w:p>
        </w:tc>
        <w:tc>
          <w:tcPr>
            <w:tcW w:type="dxa" w:w="1247"/>
          </w:tcPr>
          <w:p>
            <w:pPr>
              <w:spacing w:after="40" w:before="40"/>
              <w:jc w:val="left"/>
            </w:pPr>
            <w:r>
              <w:rPr>
                <w:b w:val="0"/>
                <w:i w:val="0"/>
                <w:sz w:val="14"/>
              </w:rPr>
              <w:t>13</w:t>
            </w:r>
          </w:p>
        </w:tc>
        <w:tc>
          <w:tcPr>
            <w:tcW w:type="dxa" w:w="4139"/>
          </w:tcPr>
          <w:p>
            <w:pPr>
              <w:spacing w:after="40" w:before="40"/>
              <w:jc w:val="left"/>
            </w:pPr>
            <w:r>
              <w:rPr>
                <w:b w:val="0"/>
                <w:i w:val="0"/>
                <w:sz w:val="14"/>
              </w:rPr>
              <w:t>Bifurcaciones condicionales.</w:t>
            </w:r>
          </w:p>
        </w:tc>
      </w:tr>
      <w:tr>
        <w:tc>
          <w:tcPr>
            <w:tcW w:type="dxa" w:w="3402"/>
          </w:tcPr>
          <w:p>
            <w:pPr>
              <w:spacing w:after="40" w:before="40"/>
              <w:jc w:val="left"/>
            </w:pPr>
            <w:r>
              <w:rPr>
                <w:b w:val="0"/>
                <w:i w:val="0"/>
                <w:sz w:val="14"/>
                <w:rFonts w:ascii="Consolas" w:hAnsi="Consolas" w:cs="Consolas"/>
              </w:rPr>
              <w:t>n8n-nodes-base.webhook</w:t>
            </w:r>
          </w:p>
        </w:tc>
        <w:tc>
          <w:tcPr>
            <w:tcW w:type="dxa" w:w="1247"/>
          </w:tcPr>
          <w:p>
            <w:pPr>
              <w:spacing w:after="40" w:before="40"/>
              <w:jc w:val="left"/>
            </w:pPr>
            <w:r>
              <w:rPr>
                <w:b w:val="0"/>
                <w:i w:val="0"/>
                <w:sz w:val="14"/>
              </w:rPr>
              <w:t>12</w:t>
            </w:r>
          </w:p>
        </w:tc>
        <w:tc>
          <w:tcPr>
            <w:tcW w:type="dxa" w:w="4139"/>
          </w:tcPr>
          <w:p>
            <w:pPr>
              <w:spacing w:after="40" w:before="40"/>
              <w:jc w:val="left"/>
            </w:pPr>
            <w:r>
              <w:rPr>
                <w:b w:val="0"/>
                <w:i w:val="0"/>
                <w:sz w:val="14"/>
              </w:rPr>
              <w:t>Puntos de entrada (véase la Tabla 10).</w:t>
            </w:r>
          </w:p>
        </w:tc>
      </w:tr>
      <w:tr>
        <w:tc>
          <w:tcPr>
            <w:tcW w:type="dxa" w:w="3402"/>
          </w:tcPr>
          <w:p>
            <w:pPr>
              <w:spacing w:after="40" w:before="40"/>
              <w:jc w:val="left"/>
            </w:pPr>
            <w:r>
              <w:rPr>
                <w:b w:val="0"/>
                <w:i w:val="0"/>
                <w:sz w:val="14"/>
                <w:rFonts w:ascii="Consolas" w:hAnsi="Consolas" w:cs="Consolas"/>
              </w:rPr>
              <w:t>n8n-nodes-base.httpRequest</w:t>
            </w:r>
          </w:p>
        </w:tc>
        <w:tc>
          <w:tcPr>
            <w:tcW w:type="dxa" w:w="1247"/>
          </w:tcPr>
          <w:p>
            <w:pPr>
              <w:spacing w:after="40" w:before="40"/>
              <w:jc w:val="left"/>
            </w:pPr>
            <w:r>
              <w:rPr>
                <w:b w:val="0"/>
                <w:i w:val="0"/>
                <w:sz w:val="14"/>
              </w:rPr>
              <w:t>12</w:t>
            </w:r>
          </w:p>
        </w:tc>
        <w:tc>
          <w:tcPr>
            <w:tcW w:type="dxa" w:w="4139"/>
          </w:tcPr>
          <w:p>
            <w:pPr>
              <w:spacing w:after="40" w:before="40"/>
              <w:jc w:val="left"/>
            </w:pPr>
            <w:r>
              <w:rPr>
                <w:b w:val="0"/>
                <w:i w:val="0"/>
                <w:sz w:val="14"/>
              </w:rPr>
              <w:t>Llamadas a Gotenberg, a la API de Notion y a la API de MercadoPago.</w:t>
            </w:r>
          </w:p>
        </w:tc>
      </w:tr>
      <w:tr>
        <w:tc>
          <w:tcPr>
            <w:tcW w:type="dxa" w:w="3402"/>
          </w:tcPr>
          <w:p>
            <w:pPr>
              <w:spacing w:after="40" w:before="40"/>
              <w:jc w:val="left"/>
            </w:pPr>
            <w:r>
              <w:rPr>
                <w:b w:val="0"/>
                <w:i w:val="0"/>
                <w:sz w:val="14"/>
                <w:rFonts w:ascii="Consolas" w:hAnsi="Consolas" w:cs="Consolas"/>
              </w:rPr>
              <w:t>n8n-nodes-base.gmail</w:t>
            </w:r>
          </w:p>
        </w:tc>
        <w:tc>
          <w:tcPr>
            <w:tcW w:type="dxa" w:w="1247"/>
          </w:tcPr>
          <w:p>
            <w:pPr>
              <w:spacing w:after="40" w:before="40"/>
              <w:jc w:val="left"/>
            </w:pPr>
            <w:r>
              <w:rPr>
                <w:b w:val="0"/>
                <w:i w:val="0"/>
                <w:sz w:val="14"/>
              </w:rPr>
              <w:t>7</w:t>
            </w:r>
          </w:p>
        </w:tc>
        <w:tc>
          <w:tcPr>
            <w:tcW w:type="dxa" w:w="4139"/>
          </w:tcPr>
          <w:p>
            <w:pPr>
              <w:spacing w:after="40" w:before="40"/>
              <w:jc w:val="left"/>
            </w:pPr>
            <w:r>
              <w:rPr>
                <w:b w:val="0"/>
                <w:i w:val="0"/>
                <w:sz w:val="14"/>
              </w:rPr>
              <w:t>Envío de propuestas, facturas, recordatorios y testimonios.</w:t>
            </w:r>
          </w:p>
        </w:tc>
      </w:tr>
      <w:tr>
        <w:tc>
          <w:tcPr>
            <w:tcW w:type="dxa" w:w="3402"/>
          </w:tcPr>
          <w:p>
            <w:pPr>
              <w:spacing w:after="40" w:before="40"/>
              <w:jc w:val="left"/>
            </w:pPr>
            <w:r>
              <w:rPr>
                <w:b w:val="0"/>
                <w:i w:val="0"/>
                <w:sz w:val="14"/>
                <w:rFonts w:ascii="Consolas" w:hAnsi="Consolas" w:cs="Consolas"/>
              </w:rPr>
              <w:t>n8n-nodes-base.scheduleTrigger</w:t>
            </w:r>
          </w:p>
        </w:tc>
        <w:tc>
          <w:tcPr>
            <w:tcW w:type="dxa" w:w="1247"/>
          </w:tcPr>
          <w:p>
            <w:pPr>
              <w:spacing w:after="40" w:before="40"/>
              <w:jc w:val="left"/>
            </w:pPr>
            <w:r>
              <w:rPr>
                <w:b w:val="0"/>
                <w:i w:val="0"/>
                <w:sz w:val="14"/>
              </w:rPr>
              <w:t>3</w:t>
            </w:r>
          </w:p>
        </w:tc>
        <w:tc>
          <w:tcPr>
            <w:tcW w:type="dxa" w:w="4139"/>
          </w:tcPr>
          <w:p>
            <w:pPr>
              <w:spacing w:after="40" w:before="40"/>
              <w:jc w:val="left"/>
            </w:pPr>
            <w:r>
              <w:rPr>
                <w:b w:val="0"/>
                <w:i w:val="0"/>
                <w:sz w:val="14"/>
              </w:rPr>
              <w:t>Disparadores por calendario.</w:t>
            </w:r>
          </w:p>
        </w:tc>
      </w:tr>
      <w:tr>
        <w:tc>
          <w:tcPr>
            <w:tcW w:type="dxa" w:w="3402"/>
          </w:tcPr>
          <w:p>
            <w:pPr>
              <w:spacing w:after="40" w:before="40"/>
              <w:jc w:val="left"/>
            </w:pPr>
            <w:r>
              <w:rPr>
                <w:b w:val="0"/>
                <w:i w:val="0"/>
                <w:sz w:val="14"/>
                <w:rFonts w:ascii="Consolas" w:hAnsi="Consolas" w:cs="Consolas"/>
              </w:rPr>
              <w:t>n8n-nodes-base.noOp</w:t>
            </w:r>
          </w:p>
        </w:tc>
        <w:tc>
          <w:tcPr>
            <w:tcW w:type="dxa" w:w="1247"/>
          </w:tcPr>
          <w:p>
            <w:pPr>
              <w:spacing w:after="40" w:before="40"/>
              <w:jc w:val="left"/>
            </w:pPr>
            <w:r>
              <w:rPr>
                <w:b w:val="0"/>
                <w:i w:val="0"/>
                <w:sz w:val="14"/>
              </w:rPr>
              <w:t>3</w:t>
            </w:r>
          </w:p>
        </w:tc>
        <w:tc>
          <w:tcPr>
            <w:tcW w:type="dxa" w:w="4139"/>
          </w:tcPr>
          <w:p>
            <w:pPr>
              <w:spacing w:after="40" w:before="40"/>
              <w:jc w:val="left"/>
            </w:pPr>
            <w:r>
              <w:rPr>
                <w:b w:val="0"/>
                <w:i w:val="0"/>
                <w:sz w:val="14"/>
              </w:rPr>
              <w:t>Operación nula (rama de aceptación duplicada).</w:t>
            </w:r>
          </w:p>
        </w:tc>
      </w:tr>
      <w:tr>
        <w:tc>
          <w:tcPr>
            <w:tcW w:type="dxa" w:w="3402"/>
          </w:tcPr>
          <w:p>
            <w:pPr>
              <w:spacing w:after="40" w:before="40"/>
              <w:jc w:val="left"/>
            </w:pPr>
            <w:r>
              <w:rPr>
                <w:b w:val="0"/>
                <w:i w:val="0"/>
                <w:sz w:val="14"/>
                <w:rFonts w:ascii="Consolas" w:hAnsi="Consolas" w:cs="Consolas"/>
              </w:rPr>
              <w:t>n8n-nodes-base.errorTrigger</w:t>
            </w:r>
          </w:p>
        </w:tc>
        <w:tc>
          <w:tcPr>
            <w:tcW w:type="dxa" w:w="1247"/>
          </w:tcPr>
          <w:p>
            <w:pPr>
              <w:spacing w:after="40" w:before="40"/>
              <w:jc w:val="left"/>
            </w:pPr>
            <w:r>
              <w:rPr>
                <w:b w:val="0"/>
                <w:i w:val="0"/>
                <w:sz w:val="14"/>
              </w:rPr>
              <w:t>1</w:t>
            </w:r>
          </w:p>
        </w:tc>
        <w:tc>
          <w:tcPr>
            <w:tcW w:type="dxa" w:w="4139"/>
          </w:tcPr>
          <w:p>
            <w:pPr>
              <w:spacing w:after="40" w:before="40"/>
              <w:jc w:val="left"/>
            </w:pPr>
            <w:r>
              <w:rPr>
                <w:b w:val="0"/>
                <w:i w:val="0"/>
                <w:sz w:val="14"/>
              </w:rPr>
              <w:t>Disparador de la rama de manejo de errores.</w:t>
            </w:r>
          </w:p>
        </w:tc>
      </w:tr>
      <w:tr>
        <w:tc>
          <w:tcPr>
            <w:tcW w:type="dxa" w:w="3402"/>
          </w:tcPr>
          <w:p>
            <w:pPr>
              <w:spacing w:after="40" w:before="40"/>
              <w:jc w:val="left"/>
            </w:pPr>
            <w:r>
              <w:rPr>
                <w:b/>
                <w:i w:val="0"/>
                <w:sz w:val="14"/>
              </w:rPr>
              <w:t>Total</w:t>
            </w:r>
          </w:p>
        </w:tc>
        <w:tc>
          <w:tcPr>
            <w:tcW w:type="dxa" w:w="1247"/>
          </w:tcPr>
          <w:p>
            <w:pPr>
              <w:spacing w:after="40" w:before="40"/>
              <w:jc w:val="left"/>
            </w:pPr>
            <w:r>
              <w:rPr>
                <w:b/>
                <w:i w:val="0"/>
                <w:sz w:val="14"/>
              </w:rPr>
              <w:t>157</w:t>
            </w:r>
          </w:p>
        </w:tc>
        <w:tc>
          <w:tcPr>
            <w:tcW w:type="dxa" w:w="4139"/>
          </w:tcPr>
          <w:p>
            <w:pPr>
              <w:spacing w:after="40" w:before="40"/>
              <w:jc w:val="left"/>
            </w:pPr>
            <w:r>
              <w:rPr>
                <w:b w:val="0"/>
                <w:i w:val="0"/>
                <w:sz w:val="14"/>
              </w:rPr>
              <w:t>141 funcionales + 16 notas de documentación.</w:t>
            </w:r>
          </w:p>
        </w:tc>
      </w:tr>
    </w:tbl>
    <w:p>
      <w:pPr/>
      <w:r>
        <w:rPr>
          <w:b w:val="0"/>
          <w:i/>
          <w:sz w:val="15"/>
        </w:rPr>
        <w:t>Nota. Elaboración propia a partir del recuento de nodos de workflow/crm_postgres.json.</w:t>
      </w:r>
    </w:p>
    <w:p w:rsidR="00D60FC7" w:rsidRDefault="00000000">
      <w:pPr>
        <w:pStyle w:val="Ttulo2"/>
      </w:pPr>
      <w:bookmarkStart w:id="57" w:name="_Toc233808463"/>
      <w:r>
        <w:t>Anexo C. Seguridad a nivel de fila (esquema de políticas)</w:t>
      </w:r>
      <w:bookmarkEnd w:id="57"/>
    </w:p>
    <w:p w:rsidR="00D60FC7" w:rsidRDefault="00000000">
      <w:proofErr w:type="spellStart"/>
      <w:proofErr w:type="spellEnd"/>
      <w:proofErr w:type="spellStart"/>
      <w:proofErr w:type="spellEnd"/>
      <w:r>
        <w:rPr>
          <w:b w:val="0"/>
          <w:i w:val="0"/>
        </w:rPr>
        <w:t xml:space="preserve">Se reproduce a continuación el fragmento de </w:t>
      </w:r>
      <w:r>
        <w:rPr>
          <w:rFonts w:ascii="Consolas" w:hAnsi="Consolas" w:cs="Consolas"/>
          <w:b w:val="0"/>
          <w:i w:val="0"/>
        </w:rPr>
        <w:t>db/schema.sql</w:t>
      </w:r>
      <w:r>
        <w:rPr>
          <w:b w:val="0"/>
          <w:i w:val="0"/>
        </w:rPr>
        <w:t xml:space="preserve"> que implementa la seguridad a nivel de fila descrita en §4.6, de modo que el modelo de seguridad pueda auditarse sin recurrir al repositorio. El criterio es de denegación por omisión: habilitada la RLS y ausente una política aplicable, el acceso queda denegado.</w:t>
      </w:r>
    </w:p>
    <w:p>
      <w:pPr>
        <w:spacing w:after="0" w:before="0"/>
        <w:ind w:left="283"/>
        <w:jc w:val="left"/>
      </w:pPr>
      <w:r>
        <w:rPr>
          <w:rFonts w:ascii="Consolas" w:hAnsi="Consolas"/>
          <w:sz w:val="14"/>
          <w:rFonts w:ascii="Consolas" w:hAnsi="Consolas" w:cs="Consolas"/>
        </w:rPr>
        <w:t>-- 1) Habilitar RLS en todas las tablas. Con RLS activa y sin política</w:t>
      </w:r>
    </w:p>
    <w:p>
      <w:pPr>
        <w:spacing w:after="0" w:before="0"/>
        <w:ind w:left="283"/>
        <w:jc w:val="left"/>
      </w:pPr>
      <w:r>
        <w:rPr>
          <w:rFonts w:ascii="Consolas" w:hAnsi="Consolas"/>
          <w:sz w:val="14"/>
          <w:rFonts w:ascii="Consolas" w:hAnsi="Consolas" w:cs="Consolas"/>
        </w:rPr>
        <w:t>--    aplicable, el acceso queda denegado por defecto.</w:t>
      </w:r>
    </w:p>
    <w:p>
      <w:pPr>
        <w:spacing w:after="0" w:before="0"/>
        <w:ind w:left="283"/>
        <w:jc w:val="left"/>
      </w:pPr>
      <w:r>
        <w:rPr>
          <w:rFonts w:ascii="Consolas" w:hAnsi="Consolas"/>
          <w:sz w:val="14"/>
          <w:rFonts w:ascii="Consolas" w:hAnsi="Consolas" w:cs="Consolas"/>
        </w:rPr>
        <w:t>ALTER TABLE leads         ENABLE ROW LEVEL SECURITY;</w:t>
      </w:r>
    </w:p>
    <w:p>
      <w:pPr>
        <w:spacing w:after="0" w:before="0"/>
        <w:ind w:left="283"/>
        <w:jc w:val="left"/>
      </w:pPr>
      <w:r>
        <w:rPr>
          <w:rFonts w:ascii="Consolas" w:hAnsi="Consolas"/>
          <w:sz w:val="14"/>
          <w:rFonts w:ascii="Consolas" w:hAnsi="Consolas" w:cs="Consolas"/>
        </w:rPr>
        <w:t>ALTER TABLE facturas      ENABLE ROW LEVEL SECURITY;</w:t>
      </w:r>
    </w:p>
    <w:p>
      <w:pPr>
        <w:spacing w:after="0" w:before="0"/>
        <w:ind w:left="283"/>
        <w:jc w:val="left"/>
      </w:pPr>
      <w:r>
        <w:rPr>
          <w:rFonts w:ascii="Consolas" w:hAnsi="Consolas"/>
          <w:sz w:val="14"/>
          <w:rFonts w:ascii="Consolas" w:hAnsi="Consolas" w:cs="Consolas"/>
        </w:rPr>
        <w:t>ALTER TABLE seguimientos  ENABLE ROW LEVEL SECURITY;</w:t>
      </w:r>
    </w:p>
    <w:p>
      <w:pPr>
        <w:spacing w:after="0" w:before="0"/>
        <w:ind w:left="283"/>
        <w:jc w:val="left"/>
      </w:pPr>
      <w:r>
        <w:rPr>
          <w:rFonts w:ascii="Consolas" w:hAnsi="Consolas"/>
          <w:sz w:val="14"/>
          <w:rFonts w:ascii="Consolas" w:hAnsi="Consolas" w:cs="Consolas"/>
        </w:rPr>
        <w:t>ALTER TABLE logs          ENABLE ROW LEVEL SECURITY;</w:t>
      </w:r>
    </w:p>
    <w:p>
      <w:pPr>
        <w:spacing w:after="0" w:before="0"/>
        <w:ind w:left="283"/>
        <w:jc w:val="left"/>
      </w:pPr>
      <w:r>
        <w:rPr>
          <w:rFonts w:ascii="Consolas" w:hAnsi="Consolas"/>
          <w:sz w:val="14"/>
          <w:rFonts w:ascii="Consolas" w:hAnsi="Consolas" w:cs="Consolas"/>
        </w:rPr>
        <w:t>ALTER TABLE profiles      ENABLE ROW LEVEL SECURITY;</w:t>
      </w:r>
    </w:p>
    <w:p>
      <w:pPr>
        <w:spacing w:after="0" w:before="0"/>
        <w:ind w:left="283"/>
        <w:jc w:val="left"/>
      </w:pPr>
      <w:r>
        <w:rPr>
          <w:rFonts w:ascii="Consolas" w:hAnsi="Consolas"/>
          <w:sz w:val="14"/>
          <w:rFonts w:ascii="Consolas" w:hAnsi="Consolas" w:cs="Consolas"/>
        </w:rPr>
        <w:t xml:space="preserve"> </w:t>
      </w:r>
    </w:p>
    <w:p>
      <w:pPr>
        <w:spacing w:after="0" w:before="0"/>
        <w:ind w:left="283"/>
        <w:jc w:val="left"/>
      </w:pPr>
      <w:r>
        <w:rPr>
          <w:rFonts w:ascii="Consolas" w:hAnsi="Consolas"/>
          <w:sz w:val="14"/>
          <w:rFonts w:ascii="Consolas" w:hAnsi="Consolas" w:cs="Consolas"/>
        </w:rPr>
        <w:t>-- 2) Lectura de las tablas que alimentan el tablero. No alcanza con estar</w:t>
      </w:r>
    </w:p>
    <w:p>
      <w:pPr>
        <w:spacing w:after="0" w:before="0"/>
        <w:ind w:left="283"/>
        <w:jc w:val="left"/>
      </w:pPr>
      <w:r>
        <w:rPr>
          <w:rFonts w:ascii="Consolas" w:hAnsi="Consolas"/>
          <w:sz w:val="14"/>
          <w:rFonts w:ascii="Consolas" w:hAnsi="Consolas" w:cs="Consolas"/>
        </w:rPr>
        <w:t>--    autenticado: se exige además profiles.role = 'admin'. No se crean</w:t>
      </w:r>
    </w:p>
    <w:p>
      <w:pPr>
        <w:spacing w:after="0" w:before="0"/>
        <w:ind w:left="283"/>
        <w:jc w:val="left"/>
      </w:pPr>
      <w:r>
        <w:rPr>
          <w:rFonts w:ascii="Consolas" w:hAnsi="Consolas"/>
          <w:sz w:val="14"/>
          <w:rFonts w:ascii="Consolas" w:hAnsi="Consolas" w:cs="Consolas"/>
        </w:rPr>
        <w:t>--    políticas de escritura: la inserción y la actualización las realiza</w:t>
      </w:r>
    </w:p>
    <w:p>
      <w:pPr>
        <w:spacing w:after="0" w:before="0"/>
        <w:ind w:left="283"/>
        <w:jc w:val="left"/>
      </w:pPr>
      <w:r>
        <w:rPr>
          <w:rFonts w:ascii="Consolas" w:hAnsi="Consolas"/>
          <w:sz w:val="14"/>
          <w:rFonts w:ascii="Consolas" w:hAnsi="Consolas" w:cs="Consolas"/>
        </w:rPr>
        <w:t>--    n8n con la service_role, que evade la RLS.</w:t>
      </w:r>
    </w:p>
    <w:p>
      <w:pPr>
        <w:spacing w:after="0" w:before="0"/>
        <w:ind w:left="283"/>
        <w:jc w:val="left"/>
      </w:pPr>
      <w:r>
        <w:rPr>
          <w:rFonts w:ascii="Consolas" w:hAnsi="Consolas"/>
          <w:sz w:val="14"/>
          <w:rFonts w:ascii="Consolas" w:hAnsi="Consolas" w:cs="Consolas"/>
        </w:rPr>
        <w:t>DROP POLICY IF EXISTS leads_select_authenticated ON leads;</w:t>
      </w:r>
    </w:p>
    <w:p>
      <w:pPr>
        <w:spacing w:after="0" w:before="0"/>
        <w:ind w:left="283"/>
        <w:jc w:val="left"/>
      </w:pPr>
      <w:r>
        <w:rPr>
          <w:rFonts w:ascii="Consolas" w:hAnsi="Consolas"/>
          <w:sz w:val="14"/>
          <w:rFonts w:ascii="Consolas" w:hAnsi="Consolas" w:cs="Consolas"/>
        </w:rPr>
        <w:t>CREATE POLICY leads_select_authenticated ON leads</w:t>
      </w:r>
    </w:p>
    <w:p>
      <w:pPr>
        <w:spacing w:after="0" w:before="0"/>
        <w:ind w:left="283"/>
        <w:jc w:val="left"/>
      </w:pPr>
      <w:r>
        <w:rPr>
          <w:rFonts w:ascii="Consolas" w:hAnsi="Consolas"/>
          <w:sz w:val="14"/>
          <w:rFonts w:ascii="Consolas" w:hAnsi="Consolas" w:cs="Consolas"/>
        </w:rPr>
        <w:t xml:space="preserve">  FOR SELECT TO authenticated</w:t>
      </w:r>
    </w:p>
    <w:p>
      <w:pPr>
        <w:spacing w:after="0" w:before="0"/>
        <w:ind w:left="283"/>
        <w:jc w:val="left"/>
      </w:pPr>
      <w:r>
        <w:rPr>
          <w:rFonts w:ascii="Consolas" w:hAnsi="Consolas"/>
          <w:sz w:val="14"/>
          <w:rFonts w:ascii="Consolas" w:hAnsi="Consolas" w:cs="Consolas"/>
        </w:rPr>
        <w:t xml:space="preserve">  USING (EXISTS (SELECT 1 FROM profiles WHERE id = auth.uid() AND role = 'admin'));</w:t>
      </w:r>
    </w:p>
    <w:p>
      <w:pPr>
        <w:spacing w:after="0" w:before="0"/>
        <w:ind w:left="283"/>
        <w:jc w:val="left"/>
      </w:pPr>
      <w:r>
        <w:rPr>
          <w:rFonts w:ascii="Consolas" w:hAnsi="Consolas"/>
          <w:sz w:val="14"/>
          <w:rFonts w:ascii="Consolas" w:hAnsi="Consolas" w:cs="Consolas"/>
        </w:rPr>
        <w:t xml:space="preserve"> </w:t>
      </w:r>
    </w:p>
    <w:p>
      <w:pPr>
        <w:spacing w:after="0" w:before="0"/>
        <w:ind w:left="283"/>
        <w:jc w:val="left"/>
      </w:pPr>
      <w:r>
        <w:rPr>
          <w:rFonts w:ascii="Consolas" w:hAnsi="Consolas"/>
          <w:sz w:val="14"/>
          <w:rFonts w:ascii="Consolas" w:hAnsi="Consolas" w:cs="Consolas"/>
        </w:rPr>
        <w:t>DROP POLICY IF EXISTS facturas_select_authenticated ON facturas;</w:t>
      </w:r>
    </w:p>
    <w:p>
      <w:pPr>
        <w:spacing w:after="0" w:before="0"/>
        <w:ind w:left="283"/>
        <w:jc w:val="left"/>
      </w:pPr>
      <w:r>
        <w:rPr>
          <w:rFonts w:ascii="Consolas" w:hAnsi="Consolas"/>
          <w:sz w:val="14"/>
          <w:rFonts w:ascii="Consolas" w:hAnsi="Consolas" w:cs="Consolas"/>
        </w:rPr>
        <w:t>CREATE POLICY facturas_select_authenticated ON facturas</w:t>
      </w:r>
    </w:p>
    <w:p>
      <w:pPr>
        <w:spacing w:after="0" w:before="0"/>
        <w:ind w:left="283"/>
        <w:jc w:val="left"/>
      </w:pPr>
      <w:r>
        <w:rPr>
          <w:rFonts w:ascii="Consolas" w:hAnsi="Consolas"/>
          <w:sz w:val="14"/>
          <w:rFonts w:ascii="Consolas" w:hAnsi="Consolas" w:cs="Consolas"/>
        </w:rPr>
        <w:t xml:space="preserve">  FOR SELECT TO authenticated</w:t>
      </w:r>
    </w:p>
    <w:p>
      <w:pPr>
        <w:spacing w:after="0" w:before="0"/>
        <w:ind w:left="283"/>
        <w:jc w:val="left"/>
      </w:pPr>
      <w:r>
        <w:rPr>
          <w:rFonts w:ascii="Consolas" w:hAnsi="Consolas"/>
          <w:sz w:val="14"/>
          <w:rFonts w:ascii="Consolas" w:hAnsi="Consolas" w:cs="Consolas"/>
        </w:rPr>
        <w:t xml:space="preserve">  USING (EXISTS (SELECT 1 FROM profiles WHERE id = auth.uid() AND role = 'admin'));</w:t>
      </w:r>
    </w:p>
    <w:p>
      <w:pPr>
        <w:spacing w:after="0" w:before="0"/>
        <w:ind w:left="283"/>
        <w:jc w:val="left"/>
      </w:pPr>
      <w:r>
        <w:rPr>
          <w:rFonts w:ascii="Consolas" w:hAnsi="Consolas"/>
          <w:sz w:val="14"/>
          <w:rFonts w:ascii="Consolas" w:hAnsi="Consolas" w:cs="Consolas"/>
        </w:rPr>
        <w:t xml:space="preserve"> </w:t>
      </w:r>
    </w:p>
    <w:p>
      <w:pPr>
        <w:spacing w:after="0" w:before="0"/>
        <w:ind w:left="283"/>
        <w:jc w:val="left"/>
      </w:pPr>
      <w:r>
        <w:rPr>
          <w:rFonts w:ascii="Consolas" w:hAnsi="Consolas"/>
          <w:sz w:val="14"/>
          <w:rFonts w:ascii="Consolas" w:hAnsi="Consolas" w:cs="Consolas"/>
        </w:rPr>
        <w:t>DROP POLICY IF EXISTS seguimientos_select_authenticated ON seguimientos;</w:t>
      </w:r>
    </w:p>
    <w:p>
      <w:pPr>
        <w:spacing w:after="0" w:before="0"/>
        <w:ind w:left="283"/>
        <w:jc w:val="left"/>
      </w:pPr>
      <w:r>
        <w:rPr>
          <w:rFonts w:ascii="Consolas" w:hAnsi="Consolas"/>
          <w:sz w:val="14"/>
          <w:rFonts w:ascii="Consolas" w:hAnsi="Consolas" w:cs="Consolas"/>
        </w:rPr>
        <w:t>CREATE POLICY seguimientos_select_authenticated ON seguimientos</w:t>
      </w:r>
    </w:p>
    <w:p>
      <w:pPr>
        <w:spacing w:after="0" w:before="0"/>
        <w:ind w:left="283"/>
        <w:jc w:val="left"/>
      </w:pPr>
      <w:r>
        <w:rPr>
          <w:rFonts w:ascii="Consolas" w:hAnsi="Consolas"/>
          <w:sz w:val="14"/>
          <w:rFonts w:ascii="Consolas" w:hAnsi="Consolas" w:cs="Consolas"/>
        </w:rPr>
        <w:t xml:space="preserve">  FOR SELECT TO authenticated</w:t>
      </w:r>
    </w:p>
    <w:p>
      <w:pPr>
        <w:spacing w:after="0" w:before="0"/>
        <w:ind w:left="283"/>
        <w:jc w:val="left"/>
      </w:pPr>
      <w:r>
        <w:rPr>
          <w:rFonts w:ascii="Consolas" w:hAnsi="Consolas"/>
          <w:sz w:val="14"/>
          <w:rFonts w:ascii="Consolas" w:hAnsi="Consolas" w:cs="Consolas"/>
        </w:rPr>
        <w:t xml:space="preserve">  USING (EXISTS (SELECT 1 FROM profiles WHERE id = auth.uid() AND role = 'admin'));</w:t>
      </w:r>
    </w:p>
    <w:p>
      <w:pPr>
        <w:spacing w:after="0" w:before="0"/>
        <w:ind w:left="283"/>
        <w:jc w:val="left"/>
      </w:pPr>
      <w:r>
        <w:rPr>
          <w:rFonts w:ascii="Consolas" w:hAnsi="Consolas"/>
          <w:sz w:val="14"/>
          <w:rFonts w:ascii="Consolas" w:hAnsi="Consolas" w:cs="Consolas"/>
        </w:rPr>
        <w:t xml:space="preserve"> </w:t>
      </w:r>
    </w:p>
    <w:p>
      <w:pPr>
        <w:spacing w:after="0" w:before="0"/>
        <w:ind w:left="283"/>
        <w:jc w:val="left"/>
      </w:pPr>
      <w:r>
        <w:rPr>
          <w:rFonts w:ascii="Consolas" w:hAnsi="Consolas"/>
          <w:sz w:val="14"/>
          <w:rFonts w:ascii="Consolas" w:hAnsi="Consolas" w:cs="Consolas"/>
        </w:rPr>
        <w:t>-- 2.1) profiles: cada usuario solo puede leer su propia fila. Nadie puede</w:t>
      </w:r>
    </w:p>
    <w:p>
      <w:pPr>
        <w:spacing w:after="0" w:before="0"/>
        <w:ind w:left="283"/>
        <w:jc w:val="left"/>
      </w:pPr>
      <w:r>
        <w:rPr>
          <w:rFonts w:ascii="Consolas" w:hAnsi="Consolas"/>
          <w:sz w:val="14"/>
          <w:rFonts w:ascii="Consolas" w:hAnsi="Consolas" w:cs="Consolas"/>
        </w:rPr>
        <w:t>--      escribir su propio rol: solo la service_role o el trigger.</w:t>
      </w:r>
    </w:p>
    <w:p>
      <w:pPr>
        <w:spacing w:after="0" w:before="0"/>
        <w:ind w:left="283"/>
        <w:jc w:val="left"/>
      </w:pPr>
      <w:r>
        <w:rPr>
          <w:rFonts w:ascii="Consolas" w:hAnsi="Consolas"/>
          <w:sz w:val="14"/>
          <w:rFonts w:ascii="Consolas" w:hAnsi="Consolas" w:cs="Consolas"/>
        </w:rPr>
        <w:t>DROP POLICY IF EXISTS profiles_select_own ON profiles;</w:t>
      </w:r>
    </w:p>
    <w:p>
      <w:pPr>
        <w:spacing w:after="0" w:before="0"/>
        <w:ind w:left="283"/>
        <w:jc w:val="left"/>
      </w:pPr>
      <w:r>
        <w:rPr>
          <w:rFonts w:ascii="Consolas" w:hAnsi="Consolas"/>
          <w:sz w:val="14"/>
          <w:rFonts w:ascii="Consolas" w:hAnsi="Consolas" w:cs="Consolas"/>
        </w:rPr>
        <w:t>CREATE POLICY profiles_select_own ON profiles</w:t>
      </w:r>
    </w:p>
    <w:p>
      <w:pPr>
        <w:spacing w:after="0" w:before="0"/>
        <w:ind w:left="283"/>
        <w:jc w:val="left"/>
      </w:pPr>
      <w:r>
        <w:rPr>
          <w:rFonts w:ascii="Consolas" w:hAnsi="Consolas"/>
          <w:sz w:val="14"/>
          <w:rFonts w:ascii="Consolas" w:hAnsi="Consolas" w:cs="Consolas"/>
        </w:rPr>
        <w:t xml:space="preserve">  FOR SELECT TO authenticated USING (id = auth.uid());</w:t>
      </w:r>
    </w:p>
    <w:p>
      <w:pPr>
        <w:spacing w:after="0" w:before="0"/>
        <w:ind w:left="283"/>
        <w:jc w:val="left"/>
      </w:pPr>
      <w:r>
        <w:rPr>
          <w:rFonts w:ascii="Consolas" w:hAnsi="Consolas"/>
          <w:sz w:val="14"/>
          <w:rFonts w:ascii="Consolas" w:hAnsi="Consolas" w:cs="Consolas"/>
        </w:rPr>
        <w:t xml:space="preserve"> </w:t>
      </w:r>
    </w:p>
    <w:p>
      <w:pPr>
        <w:spacing w:after="0" w:before="0"/>
        <w:ind w:left="283"/>
        <w:jc w:val="left"/>
      </w:pPr>
      <w:r>
        <w:rPr>
          <w:rFonts w:ascii="Consolas" w:hAnsi="Consolas"/>
          <w:sz w:val="14"/>
          <w:rFonts w:ascii="Consolas" w:hAnsi="Consolas" w:cs="Consolas"/>
        </w:rPr>
        <w:t>-- 3) logs (auditoría y errores) queda sin política: solo la service_role</w:t>
      </w:r>
    </w:p>
    <w:p>
      <w:pPr>
        <w:spacing w:after="0" w:before="0"/>
        <w:ind w:left="283"/>
        <w:jc w:val="left"/>
      </w:pPr>
      <w:r>
        <w:rPr>
          <w:rFonts w:ascii="Consolas" w:hAnsi="Consolas"/>
          <w:sz w:val="14"/>
          <w:rFonts w:ascii="Consolas" w:hAnsi="Consolas" w:cs="Consolas"/>
        </w:rPr>
        <w:t>--    escribe y consulta. La auditoría no se expone al tablero.</w:t>
      </w:r>
    </w:p>
    <w:p>
      <w:pPr>
        <w:spacing w:after="0" w:before="0"/>
        <w:ind w:left="283"/>
        <w:jc w:val="left"/>
      </w:pPr>
      <w:r>
        <w:rPr>
          <w:rFonts w:ascii="Consolas" w:hAnsi="Consolas"/>
          <w:sz w:val="14"/>
          <w:rFonts w:ascii="Consolas" w:hAnsi="Consolas" w:cs="Consolas"/>
        </w:rPr>
        <w:t xml:space="preserve"> </w:t>
      </w:r>
    </w:p>
    <w:p>
      <w:pPr>
        <w:spacing w:after="0" w:before="0"/>
        <w:ind w:left="283"/>
        <w:jc w:val="left"/>
      </w:pPr>
      <w:r>
        <w:rPr>
          <w:rFonts w:ascii="Consolas" w:hAnsi="Consolas"/>
          <w:sz w:val="14"/>
          <w:rFonts w:ascii="Consolas" w:hAnsi="Consolas" w:cs="Consolas"/>
        </w:rPr>
        <w:t>-- 4) Privilegios de tabla. La RLS filtra filas, pero el rol necesita</w:t>
      </w:r>
    </w:p>
    <w:p>
      <w:pPr>
        <w:spacing w:after="0" w:before="0"/>
        <w:ind w:left="283"/>
        <w:jc w:val="left"/>
      </w:pPr>
      <w:r>
        <w:rPr>
          <w:rFonts w:ascii="Consolas" w:hAnsi="Consolas"/>
          <w:sz w:val="14"/>
          <w:rFonts w:ascii="Consolas" w:hAnsi="Consolas" w:cs="Consolas"/>
        </w:rPr>
        <w:t>--    además el privilegio SELECT sobre el objeto.</w:t>
      </w:r>
    </w:p>
    <w:p>
      <w:pPr>
        <w:spacing w:after="0" w:before="0"/>
        <w:ind w:left="283"/>
        <w:jc w:val="left"/>
      </w:pPr>
      <w:r>
        <w:rPr>
          <w:rFonts w:ascii="Consolas" w:hAnsi="Consolas"/>
          <w:sz w:val="14"/>
          <w:rFonts w:ascii="Consolas" w:hAnsi="Consolas" w:cs="Consolas"/>
        </w:rPr>
        <w:t>GRANT SELECT ON leads, facturas, seguimientos, profiles TO authenticated;</w:t>
      </w:r>
    </w:p>
    <w:p>
      <w:pPr>
        <w:spacing w:after="0" w:before="0"/>
        <w:ind w:left="283"/>
        <w:jc w:val="left"/>
      </w:pPr>
      <w:r>
        <w:rPr>
          <w:rFonts w:ascii="Consolas" w:hAnsi="Consolas"/>
          <w:sz w:val="14"/>
          <w:rFonts w:ascii="Consolas" w:hAnsi="Consolas" w:cs="Consolas"/>
        </w:rPr>
        <w:t>GRANT SELECT ON metrics_mensuales, facturas_pendientes TO authenticated;</w:t>
      </w:r>
    </w:p>
    <w:p>
      <w:pPr>
        <w:spacing w:after="0" w:before="0"/>
        <w:ind w:left="283"/>
        <w:jc w:val="left"/>
      </w:pPr>
      <w:r>
        <w:rPr>
          <w:rFonts w:ascii="Consolas" w:hAnsi="Consolas"/>
          <w:sz w:val="14"/>
          <w:rFonts w:ascii="Consolas" w:hAnsi="Consolas" w:cs="Consolas"/>
        </w:rPr>
        <w:t xml:space="preserve"> </w:t>
      </w:r>
    </w:p>
    <w:p>
      <w:pPr>
        <w:spacing w:after="0" w:before="0"/>
        <w:ind w:left="283"/>
        <w:jc w:val="left"/>
      </w:pPr>
      <w:r>
        <w:rPr>
          <w:rFonts w:ascii="Consolas" w:hAnsi="Consolas"/>
          <w:sz w:val="14"/>
          <w:rFonts w:ascii="Consolas" w:hAnsi="Consolas" w:cs="Consolas"/>
        </w:rPr>
        <w:t>-- 5) Escritura de n8n con la service_role.</w:t>
      </w:r>
    </w:p>
    <w:p>
      <w:pPr>
        <w:spacing w:after="0" w:before="0"/>
        <w:ind w:left="283"/>
        <w:jc w:val="left"/>
      </w:pPr>
      <w:r>
        <w:rPr>
          <w:rFonts w:ascii="Consolas" w:hAnsi="Consolas"/>
          <w:sz w:val="14"/>
          <w:rFonts w:ascii="Consolas" w:hAnsi="Consolas" w:cs="Consolas"/>
        </w:rPr>
        <w:t>GRANT SELECT, INSERT, UPDATE, DELETE</w:t>
      </w:r>
    </w:p>
    <w:p>
      <w:pPr>
        <w:spacing w:after="0" w:before="0"/>
        <w:ind w:left="283"/>
        <w:jc w:val="left"/>
      </w:pPr>
      <w:r>
        <w:rPr>
          <w:rFonts w:ascii="Consolas" w:hAnsi="Consolas"/>
          <w:sz w:val="14"/>
          <w:rFonts w:ascii="Consolas" w:hAnsi="Consolas" w:cs="Consolas"/>
        </w:rPr>
        <w:t xml:space="preserve">  ON leads, facturas, seguimientos, logs, profiles TO service_role;</w:t>
      </w:r>
    </w:p>
    <w:p>
      <w:pPr>
        <w:spacing w:after="0" w:before="0"/>
        <w:ind w:left="283"/>
        <w:jc w:val="left"/>
      </w:pPr>
      <w:r>
        <w:rPr>
          <w:rFonts w:ascii="Consolas" w:hAnsi="Consolas"/>
          <w:sz w:val="14"/>
          <w:rFonts w:ascii="Consolas" w:hAnsi="Consolas" w:cs="Consolas"/>
        </w:rPr>
        <w:t>GRANT SELECT ON metrics_mensuales, facturas_pendientes TO service_role;</w:t>
      </w:r>
    </w:p>
    <w:p>
      <w:pPr>
        <w:spacing w:after="0" w:before="0"/>
        <w:ind w:left="283"/>
        <w:jc w:val="left"/>
      </w:pPr>
      <w:r>
        <w:rPr>
          <w:rFonts w:ascii="Consolas" w:hAnsi="Consolas"/>
          <w:sz w:val="14"/>
          <w:rFonts w:ascii="Consolas" w:hAnsi="Consolas" w:cs="Consolas"/>
        </w:rPr>
        <w:t xml:space="preserve"> </w:t>
      </w:r>
    </w:p>
    <w:p>
      <w:pPr>
        <w:spacing w:after="0" w:before="0"/>
        <w:ind w:left="283"/>
        <w:jc w:val="left"/>
      </w:pPr>
      <w:r>
        <w:rPr>
          <w:rFonts w:ascii="Consolas" w:hAnsi="Consolas"/>
          <w:sz w:val="14"/>
          <w:rFonts w:ascii="Consolas" w:hAnsi="Consolas" w:cs="Consolas"/>
        </w:rPr>
        <w:t>-- 6) El rol público (anon) no debe leer las tablas de negocio ni las vistas.</w:t>
      </w:r>
    </w:p>
    <w:p>
      <w:pPr>
        <w:spacing w:after="0" w:before="0"/>
        <w:ind w:left="283"/>
        <w:jc w:val="left"/>
      </w:pPr>
      <w:r>
        <w:rPr>
          <w:rFonts w:ascii="Consolas" w:hAnsi="Consolas"/>
          <w:sz w:val="14"/>
          <w:rFonts w:ascii="Consolas" w:hAnsi="Consolas" w:cs="Consolas"/>
        </w:rPr>
        <w:t>REVOKE ALL ON leads, facturas, seguimientos, logs, profiles FROM anon;</w:t>
      </w:r>
    </w:p>
    <w:p>
      <w:pPr>
        <w:spacing w:after="0" w:before="0"/>
        <w:ind w:left="283"/>
        <w:jc w:val="left"/>
      </w:pPr>
      <w:r>
        <w:rPr>
          <w:rFonts w:ascii="Consolas" w:hAnsi="Consolas"/>
          <w:sz w:val="14"/>
          <w:rFonts w:ascii="Consolas" w:hAnsi="Consolas" w:cs="Consolas"/>
        </w:rPr>
        <w:t>REVOKE ALL ON metrics_mensuales, facturas_pendientes FROM anon;</w:t>
      </w:r>
    </w:p>
    <w:p>
      <w:pPr>
        <w:spacing w:after="0" w:before="0"/>
        <w:ind w:left="283"/>
        <w:jc w:val="left"/>
      </w:pPr>
      <w:r>
        <w:rPr>
          <w:rFonts w:ascii="Consolas" w:hAnsi="Consolas"/>
          <w:sz w:val="14"/>
          <w:rFonts w:ascii="Consolas" w:hAnsi="Consolas" w:cs="Consolas"/>
        </w:rPr>
        <w:t xml:space="preserve"> </w:t>
      </w:r>
    </w:p>
    <w:p>
      <w:pPr>
        <w:spacing w:after="0" w:before="0"/>
        <w:ind w:left="283"/>
        <w:jc w:val="left"/>
      </w:pPr>
      <w:r>
        <w:rPr>
          <w:rFonts w:ascii="Consolas" w:hAnsi="Consolas"/>
          <w:sz w:val="14"/>
          <w:rFonts w:ascii="Consolas" w:hAnsi="Consolas" w:cs="Consolas"/>
        </w:rPr>
        <w:t>-- 7) Vistas declaradas con security_invoker: respetan las políticas de las</w:t>
      </w:r>
    </w:p>
    <w:p>
      <w:pPr>
        <w:spacing w:after="0" w:before="0"/>
        <w:ind w:left="283"/>
        <w:jc w:val="left"/>
      </w:pPr>
      <w:r>
        <w:rPr>
          <w:rFonts w:ascii="Consolas" w:hAnsi="Consolas"/>
          <w:sz w:val="14"/>
          <w:rFonts w:ascii="Consolas" w:hAnsi="Consolas" w:cs="Consolas"/>
        </w:rPr>
        <w:t>--    tablas subyacentes en lugar de las del propietario de la vista.</w:t>
      </w:r>
    </w:p>
    <w:p>
      <w:pPr>
        <w:spacing w:after="0" w:before="0"/>
        <w:ind w:left="283"/>
        <w:jc w:val="left"/>
      </w:pPr>
      <w:r>
        <w:rPr>
          <w:rFonts w:ascii="Consolas" w:hAnsi="Consolas"/>
          <w:sz w:val="14"/>
          <w:rFonts w:ascii="Consolas" w:hAnsi="Consolas" w:cs="Consolas"/>
        </w:rPr>
        <w:t>--    CREATE OR REPLACE VIEW metrics_mensuales  WITH (security_invoker = true) AS …</w:t>
      </w:r>
    </w:p>
    <w:p>
      <w:pPr>
        <w:spacing w:after="0" w:before="0"/>
        <w:ind w:left="283"/>
        <w:jc w:val="left"/>
      </w:pPr>
      <w:r>
        <w:rPr>
          <w:rFonts w:ascii="Consolas" w:hAnsi="Consolas"/>
          <w:sz w:val="14"/>
          <w:rFonts w:ascii="Consolas" w:hAnsi="Consolas" w:cs="Consolas"/>
        </w:rPr>
        <w:t>--    CREATE OR REPLACE VIEW facturas_pendientes WITH (security_invoker = true) AS …</w:t>
      </w:r>
    </w:p>
    <w:p>
      <w:pPr/>
      <w:r>
        <w:rPr>
          <w:b w:val="0"/>
          <w:i w:val="0"/>
        </w:rPr>
        <w:t>Obsérvese la consecuencia señalada en §4.6: no existen políticas de INSERT, UPDATE ni DELETE. La seguridad a nivel de fila protege la lectura; la integridad de los datos depende por completo de la custodia de la clave de servicio.</w:t>
      </w:r>
    </w:p>
    <w:p w:rsidR="00D60FC7" w:rsidRDefault="00000000">
      <w:pPr>
        <w:pStyle w:val="Ttulo2"/>
      </w:pPr>
      <w:bookmarkStart w:id="58" w:name="_Toc233808464"/>
      <w:r>
        <w:t>Anexo D. Contrato de datos del formulario</w:t>
      </w:r>
      <w:bookmarkEnd w:id="58"/>
    </w:p>
    <w:p w:rsidR="00D60FC7" w:rsidRDefault="00000000">
      <w:proofErr w:type="spellStart"/>
      <w:proofErr w:type="spellEnd"/>
      <w:proofErr w:type="spellStart"/>
      <w:proofErr w:type="spellEnd"/>
      <w:proofErr w:type="spellStart"/>
      <w:proofErr w:type="spellEnd"/>
      <w:proofErr w:type="spellStart"/>
      <w:proofErr w:type="spellEnd"/>
      <w:r>
        <w:rPr>
          <w:b w:val="0"/>
          <w:i w:val="0"/>
        </w:rPr>
        <w:t xml:space="preserve">El formulario envía al webhook de captación </w:t>
      </w:r>
      <w:r>
        <w:rPr>
          <w:rFonts w:ascii="Consolas" w:hAnsi="Consolas" w:cs="Consolas"/>
          <w:b w:val="0"/>
          <w:i w:val="0"/>
        </w:rPr>
        <w:t>POST /lead/nuevo</w:t>
      </w:r>
      <w:r>
        <w:rPr>
          <w:b w:val="0"/>
          <w:i w:val="0"/>
        </w:rPr>
        <w:t xml:space="preserve"> un objeto JSON con la estructura que se detalla a continuación. La Tabla 17 especifica el contrato de entrada campo por campo, con su tipo, obligatoriedad y restricciones; después se reproducen un ejemplo de petición y las tres respuestas posibles.</w:t>
      </w:r>
    </w:p>
    <w:p>
      <w:pPr>
        <w:keepNext/>
      </w:pPr>
      <w:r>
        <w:rPr>
          <w:b w:val="0"/>
          <w:i w:val="0"/>
        </w:rPr>
        <w:t>Tabla 17. Contrato de datos de entrada del webhook de captación</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5000" w:type="pct"/>
      </w:tblPr>
      <w:tblGrid>
        <w:gridCol w:w="2197"/>
        <w:gridCol w:w="2197"/>
        <w:gridCol w:w="2197"/>
        <w:gridCol w:w="2197"/>
      </w:tblGrid>
      <w:tr>
        <w:trPr>
          <w:tblHeader/>
        </w:trPr>
        <w:tc>
          <w:tcPr>
            <w:tcW w:type="dxa" w:w="1474"/>
            <w:shd w:val="clear" w:color="auto" w:fill="1F2937"/>
          </w:tcPr>
          <w:p>
            <w:pPr>
              <w:spacing w:after="40" w:before="40"/>
              <w:jc w:val="left"/>
            </w:pPr>
            <w:r>
              <w:rPr>
                <w:b/>
                <w:i w:val="0"/>
                <w:color w:val="FFFFFF"/>
                <w:sz w:val="14"/>
              </w:rPr>
              <w:t>Campo</w:t>
            </w:r>
          </w:p>
        </w:tc>
        <w:tc>
          <w:tcPr>
            <w:tcW w:type="dxa" w:w="1020"/>
            <w:shd w:val="clear" w:color="auto" w:fill="1F2937"/>
          </w:tcPr>
          <w:p>
            <w:pPr>
              <w:spacing w:after="40" w:before="40"/>
              <w:jc w:val="left"/>
            </w:pPr>
            <w:r>
              <w:rPr>
                <w:b/>
                <w:i w:val="0"/>
                <w:color w:val="FFFFFF"/>
                <w:sz w:val="14"/>
              </w:rPr>
              <w:t>Tipo</w:t>
            </w:r>
          </w:p>
        </w:tc>
        <w:tc>
          <w:tcPr>
            <w:tcW w:type="dxa" w:w="1134"/>
            <w:shd w:val="clear" w:color="auto" w:fill="1F2937"/>
          </w:tcPr>
          <w:p>
            <w:pPr>
              <w:spacing w:after="40" w:before="40"/>
              <w:jc w:val="left"/>
            </w:pPr>
            <w:r>
              <w:rPr>
                <w:b/>
                <w:i w:val="0"/>
                <w:color w:val="FFFFFF"/>
                <w:sz w:val="14"/>
              </w:rPr>
              <w:t>Obligatorio</w:t>
            </w:r>
          </w:p>
        </w:tc>
        <w:tc>
          <w:tcPr>
            <w:tcW w:type="dxa" w:w="5159"/>
            <w:shd w:val="clear" w:color="auto" w:fill="1F2937"/>
          </w:tcPr>
          <w:p>
            <w:pPr>
              <w:spacing w:after="40" w:before="40"/>
              <w:jc w:val="left"/>
            </w:pPr>
            <w:r>
              <w:rPr>
                <w:b/>
                <w:i w:val="0"/>
                <w:color w:val="FFFFFF"/>
                <w:sz w:val="14"/>
              </w:rPr>
              <w:t>Restricción y normalización aplicada</w:t>
            </w:r>
          </w:p>
        </w:tc>
      </w:tr>
      <w:tr>
        <w:tc>
          <w:tcPr>
            <w:tcW w:type="dxa" w:w="1474"/>
          </w:tcPr>
          <w:p>
            <w:pPr>
              <w:spacing w:after="40" w:before="40"/>
              <w:jc w:val="left"/>
            </w:pPr>
            <w:r>
              <w:rPr>
                <w:b w:val="0"/>
                <w:i w:val="0"/>
                <w:sz w:val="14"/>
                <w:rFonts w:ascii="Consolas" w:hAnsi="Consolas" w:cs="Consolas"/>
              </w:rPr>
              <w:t>nombre</w:t>
            </w:r>
          </w:p>
        </w:tc>
        <w:tc>
          <w:tcPr>
            <w:tcW w:type="dxa" w:w="1020"/>
          </w:tcPr>
          <w:p>
            <w:pPr>
              <w:spacing w:after="40" w:before="40"/>
              <w:jc w:val="left"/>
            </w:pPr>
            <w:r>
              <w:rPr>
                <w:b w:val="0"/>
                <w:i w:val="0"/>
                <w:sz w:val="14"/>
              </w:rPr>
              <w:t>string</w:t>
            </w:r>
          </w:p>
        </w:tc>
        <w:tc>
          <w:tcPr>
            <w:tcW w:type="dxa" w:w="1134"/>
          </w:tcPr>
          <w:p>
            <w:pPr>
              <w:spacing w:after="40" w:before="40"/>
              <w:jc w:val="left"/>
            </w:pPr>
            <w:r>
              <w:rPr>
                <w:b w:val="0"/>
                <w:i w:val="0"/>
                <w:sz w:val="14"/>
              </w:rPr>
              <w:t>Sí</w:t>
            </w:r>
          </w:p>
        </w:tc>
        <w:tc>
          <w:tcPr>
            <w:tcW w:type="dxa" w:w="5159"/>
          </w:tcPr>
          <w:p>
            <w:pPr>
              <w:spacing w:after="40" w:before="40"/>
              <w:jc w:val="left"/>
            </w:pPr>
            <w:r>
              <w:rPr>
                <w:b w:val="0"/>
                <w:i w:val="0"/>
                <w:sz w:val="14"/>
              </w:rPr>
              <w:t>Se recortan los espacios sobrantes. Debe tener al menos 2 caracteres.</w:t>
            </w:r>
          </w:p>
        </w:tc>
      </w:tr>
      <w:tr>
        <w:tc>
          <w:tcPr>
            <w:tcW w:type="dxa" w:w="1474"/>
          </w:tcPr>
          <w:p>
            <w:pPr>
              <w:spacing w:after="40" w:before="40"/>
              <w:jc w:val="left"/>
            </w:pPr>
            <w:r>
              <w:rPr>
                <w:b w:val="0"/>
                <w:i w:val="0"/>
                <w:sz w:val="14"/>
                <w:rFonts w:ascii="Consolas" w:hAnsi="Consolas" w:cs="Consolas"/>
              </w:rPr>
              <w:t>email</w:t>
            </w:r>
          </w:p>
        </w:tc>
        <w:tc>
          <w:tcPr>
            <w:tcW w:type="dxa" w:w="1020"/>
          </w:tcPr>
          <w:p>
            <w:pPr>
              <w:spacing w:after="40" w:before="40"/>
              <w:jc w:val="left"/>
            </w:pPr>
            <w:r>
              <w:rPr>
                <w:b w:val="0"/>
                <w:i w:val="0"/>
                <w:sz w:val="14"/>
              </w:rPr>
              <w:t>string</w:t>
            </w:r>
          </w:p>
        </w:tc>
        <w:tc>
          <w:tcPr>
            <w:tcW w:type="dxa" w:w="1134"/>
          </w:tcPr>
          <w:p>
            <w:pPr>
              <w:spacing w:after="40" w:before="40"/>
              <w:jc w:val="left"/>
            </w:pPr>
            <w:r>
              <w:rPr>
                <w:b w:val="0"/>
                <w:i w:val="0"/>
                <w:sz w:val="14"/>
              </w:rPr>
              <w:t>Sí</w:t>
            </w:r>
          </w:p>
        </w:tc>
        <w:tc>
          <w:tcPr>
            <w:tcW w:type="dxa" w:w="5159"/>
          </w:tcPr>
          <w:p>
            <w:pPr>
              <w:spacing w:after="40" w:before="40"/>
              <w:jc w:val="left"/>
            </w:pPr>
            <w:r>
              <w:rPr>
                <w:b w:val="0"/>
                <w:i w:val="0"/>
                <w:sz w:val="14"/>
              </w:rPr>
              <w:t>Se convierte a minúsculas y se recorta. Debe contener «@».</w:t>
            </w:r>
          </w:p>
        </w:tc>
      </w:tr>
      <w:tr>
        <w:tc>
          <w:tcPr>
            <w:tcW w:type="dxa" w:w="1474"/>
          </w:tcPr>
          <w:p>
            <w:pPr>
              <w:spacing w:after="40" w:before="40"/>
              <w:jc w:val="left"/>
            </w:pPr>
            <w:r>
              <w:rPr>
                <w:b w:val="0"/>
                <w:i w:val="0"/>
                <w:sz w:val="14"/>
                <w:rFonts w:ascii="Consolas" w:hAnsi="Consolas" w:cs="Consolas"/>
              </w:rPr>
              <w:t>telefono</w:t>
            </w:r>
          </w:p>
        </w:tc>
        <w:tc>
          <w:tcPr>
            <w:tcW w:type="dxa" w:w="1020"/>
          </w:tcPr>
          <w:p>
            <w:pPr>
              <w:spacing w:after="40" w:before="40"/>
              <w:jc w:val="left"/>
            </w:pPr>
            <w:r>
              <w:rPr>
                <w:b w:val="0"/>
                <w:i w:val="0"/>
                <w:sz w:val="14"/>
              </w:rPr>
              <w:t>string</w:t>
            </w:r>
          </w:p>
        </w:tc>
        <w:tc>
          <w:tcPr>
            <w:tcW w:type="dxa" w:w="1134"/>
          </w:tcPr>
          <w:p>
            <w:pPr>
              <w:spacing w:after="40" w:before="40"/>
              <w:jc w:val="left"/>
            </w:pPr>
            <w:r>
              <w:rPr>
                <w:b w:val="0"/>
                <w:i w:val="0"/>
                <w:sz w:val="14"/>
              </w:rPr>
              <w:t>No</w:t>
            </w:r>
          </w:p>
        </w:tc>
        <w:tc>
          <w:tcPr>
            <w:tcW w:type="dxa" w:w="5159"/>
          </w:tcPr>
          <w:p>
            <w:pPr>
              <w:spacing w:after="40" w:before="40"/>
              <w:jc w:val="left"/>
            </w:pPr>
            <w:r>
              <w:rPr>
                <w:b w:val="0"/>
                <w:i w:val="0"/>
                <w:sz w:val="14"/>
              </w:rPr>
              <w:t>Se recorta. Suma 5 puntos al score si supera los 6 caracteres.</w:t>
            </w:r>
          </w:p>
        </w:tc>
      </w:tr>
      <w:tr>
        <w:tc>
          <w:tcPr>
            <w:tcW w:type="dxa" w:w="1474"/>
          </w:tcPr>
          <w:p>
            <w:pPr>
              <w:spacing w:after="40" w:before="40"/>
              <w:jc w:val="left"/>
            </w:pPr>
            <w:r>
              <w:rPr>
                <w:b w:val="0"/>
                <w:i w:val="0"/>
                <w:sz w:val="14"/>
                <w:rFonts w:ascii="Consolas" w:hAnsi="Consolas" w:cs="Consolas"/>
              </w:rPr>
              <w:t>servicio</w:t>
            </w:r>
          </w:p>
        </w:tc>
        <w:tc>
          <w:tcPr>
            <w:tcW w:type="dxa" w:w="1020"/>
          </w:tcPr>
          <w:p>
            <w:pPr>
              <w:spacing w:after="40" w:before="40"/>
              <w:jc w:val="left"/>
            </w:pPr>
            <w:r>
              <w:rPr>
                <w:b w:val="0"/>
                <w:i w:val="0"/>
                <w:sz w:val="14"/>
              </w:rPr>
              <w:t>string</w:t>
            </w:r>
          </w:p>
        </w:tc>
        <w:tc>
          <w:tcPr>
            <w:tcW w:type="dxa" w:w="1134"/>
          </w:tcPr>
          <w:p>
            <w:pPr>
              <w:spacing w:after="40" w:before="40"/>
              <w:jc w:val="left"/>
            </w:pPr>
            <w:r>
              <w:rPr>
                <w:b w:val="0"/>
                <w:i w:val="0"/>
                <w:sz w:val="14"/>
              </w:rPr>
              <w:t>Sí</w:t>
            </w:r>
          </w:p>
        </w:tc>
        <w:tc>
          <w:tcPr>
            <w:tcW w:type="dxa" w:w="5159"/>
          </w:tcPr>
          <w:p>
            <w:pPr>
              <w:spacing w:after="40" w:before="40"/>
              <w:jc w:val="left"/>
            </w:pPr>
            <w:r>
              <w:rPr>
                <w:b w:val="0"/>
                <w:i w:val="0"/>
                <w:sz w:val="14"/>
              </w:rPr>
              <w:t xml:space="preserve">Se traduce a la lista blanca de nueve valores (§4.3.1). Valor de respaldo: </w:t>
            </w:r>
            <w:r>
              <w:rPr>
                <w:b w:val="0"/>
                <w:i w:val="0"/>
                <w:sz w:val="14"/>
                <w:rFonts w:ascii="Consolas" w:hAnsi="Consolas" w:cs="Consolas"/>
              </w:rPr>
              <w:t>desarrollo_web</w:t>
            </w:r>
            <w:r>
              <w:rPr>
                <w:b w:val="0"/>
                <w:i w:val="0"/>
                <w:sz w:val="14"/>
              </w:rPr>
              <w:t>.</w:t>
            </w:r>
          </w:p>
        </w:tc>
      </w:tr>
      <w:tr>
        <w:tc>
          <w:tcPr>
            <w:tcW w:type="dxa" w:w="1474"/>
          </w:tcPr>
          <w:p>
            <w:pPr>
              <w:spacing w:after="40" w:before="40"/>
              <w:jc w:val="left"/>
            </w:pPr>
            <w:r>
              <w:rPr>
                <w:b w:val="0"/>
                <w:i w:val="0"/>
                <w:sz w:val="14"/>
                <w:rFonts w:ascii="Consolas" w:hAnsi="Consolas" w:cs="Consolas"/>
              </w:rPr>
              <w:t>presupuesto</w:t>
            </w:r>
          </w:p>
        </w:tc>
        <w:tc>
          <w:tcPr>
            <w:tcW w:type="dxa" w:w="1020"/>
          </w:tcPr>
          <w:p>
            <w:pPr>
              <w:spacing w:after="40" w:before="40"/>
              <w:jc w:val="left"/>
            </w:pPr>
            <w:r>
              <w:rPr>
                <w:b w:val="0"/>
                <w:i w:val="0"/>
                <w:sz w:val="14"/>
              </w:rPr>
              <w:t>number</w:t>
            </w:r>
          </w:p>
        </w:tc>
        <w:tc>
          <w:tcPr>
            <w:tcW w:type="dxa" w:w="1134"/>
          </w:tcPr>
          <w:p>
            <w:pPr>
              <w:spacing w:after="40" w:before="40"/>
              <w:jc w:val="left"/>
            </w:pPr>
            <w:r>
              <w:rPr>
                <w:b w:val="0"/>
                <w:i w:val="0"/>
                <w:sz w:val="14"/>
              </w:rPr>
              <w:t>Sí</w:t>
            </w:r>
          </w:p>
        </w:tc>
        <w:tc>
          <w:tcPr>
            <w:tcW w:type="dxa" w:w="5159"/>
          </w:tcPr>
          <w:p>
            <w:pPr>
              <w:spacing w:after="40" w:before="40"/>
              <w:jc w:val="left"/>
            </w:pPr>
            <w:r>
              <w:rPr>
                <w:b w:val="0"/>
                <w:i w:val="0"/>
                <w:sz w:val="14"/>
              </w:rPr>
              <w:t>Se interpreta como entero. Debe ser mayor que cero. El formulario lo acota entre 100 y 5000.</w:t>
            </w:r>
          </w:p>
        </w:tc>
      </w:tr>
      <w:tr>
        <w:tc>
          <w:tcPr>
            <w:tcW w:type="dxa" w:w="1474"/>
          </w:tcPr>
          <w:p>
            <w:pPr>
              <w:spacing w:after="40" w:before="40"/>
              <w:jc w:val="left"/>
            </w:pPr>
            <w:r>
              <w:rPr>
                <w:b w:val="0"/>
                <w:i w:val="0"/>
                <w:sz w:val="14"/>
                <w:rFonts w:ascii="Consolas" w:hAnsi="Consolas" w:cs="Consolas"/>
              </w:rPr>
              <w:t>urgencia</w:t>
            </w:r>
          </w:p>
        </w:tc>
        <w:tc>
          <w:tcPr>
            <w:tcW w:type="dxa" w:w="1020"/>
          </w:tcPr>
          <w:p>
            <w:pPr>
              <w:spacing w:after="40" w:before="40"/>
              <w:jc w:val="left"/>
            </w:pPr>
            <w:r>
              <w:rPr>
                <w:b w:val="0"/>
                <w:i w:val="0"/>
                <w:sz w:val="14"/>
              </w:rPr>
              <w:t>string</w:t>
            </w:r>
          </w:p>
        </w:tc>
        <w:tc>
          <w:tcPr>
            <w:tcW w:type="dxa" w:w="1134"/>
          </w:tcPr>
          <w:p>
            <w:pPr>
              <w:spacing w:after="40" w:before="40"/>
              <w:jc w:val="left"/>
            </w:pPr>
            <w:r>
              <w:rPr>
                <w:b w:val="0"/>
                <w:i w:val="0"/>
                <w:sz w:val="14"/>
              </w:rPr>
              <w:t>Sí</w:t>
            </w:r>
          </w:p>
        </w:tc>
        <w:tc>
          <w:tcPr>
            <w:tcW w:type="dxa" w:w="5159"/>
          </w:tcPr>
          <w:p>
            <w:pPr>
              <w:spacing w:after="40" w:before="40"/>
              <w:jc w:val="left"/>
            </w:pPr>
            <w:r>
              <w:rPr>
                <w:b w:val="0"/>
                <w:i w:val="0"/>
                <w:sz w:val="14"/>
              </w:rPr>
              <w:t xml:space="preserve">Uno de </w:t>
            </w:r>
            <w:r>
              <w:rPr>
                <w:b w:val="0"/>
                <w:i w:val="0"/>
                <w:sz w:val="14"/>
                <w:rFonts w:ascii="Consolas" w:hAnsi="Consolas" w:cs="Consolas"/>
              </w:rPr>
              <w:t>alta</w:t>
            </w:r>
            <w:r>
              <w:rPr>
                <w:b w:val="0"/>
                <w:i w:val="0"/>
                <w:sz w:val="14"/>
              </w:rPr>
              <w:t xml:space="preserve">, </w:t>
            </w:r>
            <w:r>
              <w:rPr>
                <w:b w:val="0"/>
                <w:i w:val="0"/>
                <w:sz w:val="14"/>
                <w:rFonts w:ascii="Consolas" w:hAnsi="Consolas" w:cs="Consolas"/>
              </w:rPr>
              <w:t>media</w:t>
            </w:r>
            <w:r>
              <w:rPr>
                <w:b w:val="0"/>
                <w:i w:val="0"/>
                <w:sz w:val="14"/>
              </w:rPr>
              <w:t xml:space="preserve"> o </w:t>
            </w:r>
            <w:r>
              <w:rPr>
                <w:b w:val="0"/>
                <w:i w:val="0"/>
                <w:sz w:val="14"/>
                <w:rFonts w:ascii="Consolas" w:hAnsi="Consolas" w:cs="Consolas"/>
              </w:rPr>
              <w:t>baja</w:t>
            </w:r>
            <w:r>
              <w:rPr>
                <w:b w:val="0"/>
                <w:i w:val="0"/>
                <w:sz w:val="14"/>
              </w:rPr>
              <w:t xml:space="preserve">. Valor de respaldo: </w:t>
            </w:r>
            <w:r>
              <w:rPr>
                <w:b w:val="0"/>
                <w:i w:val="0"/>
                <w:sz w:val="14"/>
                <w:rFonts w:ascii="Consolas" w:hAnsi="Consolas" w:cs="Consolas"/>
              </w:rPr>
              <w:t>media</w:t>
            </w:r>
            <w:r>
              <w:rPr>
                <w:b w:val="0"/>
                <w:i w:val="0"/>
                <w:sz w:val="14"/>
              </w:rPr>
              <w:t>.</w:t>
            </w:r>
          </w:p>
        </w:tc>
      </w:tr>
      <w:tr>
        <w:tc>
          <w:tcPr>
            <w:tcW w:type="dxa" w:w="1474"/>
          </w:tcPr>
          <w:p>
            <w:pPr>
              <w:spacing w:after="40" w:before="40"/>
              <w:jc w:val="left"/>
            </w:pPr>
            <w:r>
              <w:rPr>
                <w:b w:val="0"/>
                <w:i w:val="0"/>
                <w:sz w:val="14"/>
                <w:rFonts w:ascii="Consolas" w:hAnsi="Consolas" w:cs="Consolas"/>
              </w:rPr>
              <w:t>descripcion</w:t>
            </w:r>
          </w:p>
        </w:tc>
        <w:tc>
          <w:tcPr>
            <w:tcW w:type="dxa" w:w="1020"/>
          </w:tcPr>
          <w:p>
            <w:pPr>
              <w:spacing w:after="40" w:before="40"/>
              <w:jc w:val="left"/>
            </w:pPr>
            <w:r>
              <w:rPr>
                <w:b w:val="0"/>
                <w:i w:val="0"/>
                <w:sz w:val="14"/>
              </w:rPr>
              <w:t>string</w:t>
            </w:r>
          </w:p>
        </w:tc>
        <w:tc>
          <w:tcPr>
            <w:tcW w:type="dxa" w:w="1134"/>
          </w:tcPr>
          <w:p>
            <w:pPr>
              <w:spacing w:after="40" w:before="40"/>
              <w:jc w:val="left"/>
            </w:pPr>
            <w:r>
              <w:rPr>
                <w:b w:val="0"/>
                <w:i w:val="0"/>
                <w:sz w:val="14"/>
              </w:rPr>
              <w:t>No</w:t>
            </w:r>
          </w:p>
        </w:tc>
        <w:tc>
          <w:tcPr>
            <w:tcW w:type="dxa" w:w="5159"/>
          </w:tcPr>
          <w:p>
            <w:pPr>
              <w:spacing w:after="40" w:before="40"/>
              <w:jc w:val="left"/>
            </w:pPr>
            <w:r>
              <w:rPr>
                <w:b w:val="0"/>
                <w:i w:val="0"/>
                <w:sz w:val="14"/>
              </w:rPr>
              <w:t>Se recorta y se trunca a 2000 caracteres. Suma 5 puntos si supera los 50.</w:t>
            </w:r>
          </w:p>
        </w:tc>
      </w:tr>
      <w:tr>
        <w:tc>
          <w:tcPr>
            <w:tcW w:type="dxa" w:w="1474"/>
          </w:tcPr>
          <w:p>
            <w:pPr>
              <w:spacing w:after="40" w:before="40"/>
              <w:jc w:val="left"/>
            </w:pPr>
            <w:r>
              <w:rPr>
                <w:b w:val="0"/>
                <w:i w:val="0"/>
                <w:sz w:val="14"/>
                <w:rFonts w:ascii="Consolas" w:hAnsi="Consolas" w:cs="Consolas"/>
              </w:rPr>
              <w:t>fuente</w:t>
            </w:r>
          </w:p>
        </w:tc>
        <w:tc>
          <w:tcPr>
            <w:tcW w:type="dxa" w:w="1020"/>
          </w:tcPr>
          <w:p>
            <w:pPr>
              <w:spacing w:after="40" w:before="40"/>
              <w:jc w:val="left"/>
            </w:pPr>
            <w:r>
              <w:rPr>
                <w:b w:val="0"/>
                <w:i w:val="0"/>
                <w:sz w:val="14"/>
              </w:rPr>
              <w:t>string</w:t>
            </w:r>
          </w:p>
        </w:tc>
        <w:tc>
          <w:tcPr>
            <w:tcW w:type="dxa" w:w="1134"/>
          </w:tcPr>
          <w:p>
            <w:pPr>
              <w:spacing w:after="40" w:before="40"/>
              <w:jc w:val="left"/>
            </w:pPr>
            <w:r>
              <w:rPr>
                <w:b w:val="0"/>
                <w:i w:val="0"/>
                <w:sz w:val="14"/>
              </w:rPr>
              <w:t>No</w:t>
            </w:r>
          </w:p>
        </w:tc>
        <w:tc>
          <w:tcPr>
            <w:tcW w:type="dxa" w:w="5159"/>
          </w:tcPr>
          <w:p>
            <w:pPr>
              <w:spacing w:after="40" w:before="40"/>
              <w:jc w:val="left"/>
            </w:pPr>
            <w:r>
              <w:rPr>
                <w:b w:val="0"/>
                <w:i w:val="0"/>
                <w:sz w:val="14"/>
              </w:rPr>
              <w:t xml:space="preserve">Metadato de origen. Valor por omisión: </w:t>
            </w:r>
            <w:r>
              <w:rPr>
                <w:b w:val="0"/>
                <w:i w:val="0"/>
                <w:sz w:val="14"/>
                <w:rFonts w:ascii="Consolas" w:hAnsi="Consolas" w:cs="Consolas"/>
              </w:rPr>
              <w:t>webhook</w:t>
            </w:r>
            <w:r>
              <w:rPr>
                <w:b w:val="0"/>
                <w:i w:val="0"/>
                <w:sz w:val="14"/>
              </w:rPr>
              <w:t>.</w:t>
            </w:r>
          </w:p>
        </w:tc>
      </w:tr>
    </w:tbl>
    <w:p>
      <w:pPr/>
      <w:r>
        <w:rPr>
          <w:b w:val="0"/>
          <w:i/>
          <w:sz w:val="15"/>
        </w:rPr>
        <w:t>Nota. Elaboración propia a partir de src/app/components/lead-form.tsx y del nodo Code - Normalizar Lead del flujo exportado.</w:t>
      </w:r>
    </w:p>
    <w:p>
      <w:pPr/>
      <w:r>
        <w:rPr>
          <w:b w:val="0"/>
          <w:i w:val="0"/>
        </w:rPr>
        <w:t>Ejemplo de petición:</w:t>
      </w:r>
    </w:p>
    <w:p>
      <w:pPr>
        <w:spacing w:after="0" w:before="0"/>
        <w:ind w:left="283"/>
        <w:jc w:val="left"/>
      </w:pPr>
      <w:r>
        <w:rPr>
          <w:rFonts w:ascii="Consolas" w:hAnsi="Consolas"/>
          <w:sz w:val="14"/>
          <w:rFonts w:ascii="Consolas" w:hAnsi="Consolas" w:cs="Consolas"/>
        </w:rPr>
        <w:t>POST /webhook/lead/nuevo HTTP/1.1</w:t>
      </w:r>
    </w:p>
    <w:p>
      <w:pPr>
        <w:spacing w:after="0" w:before="0"/>
        <w:ind w:left="283"/>
        <w:jc w:val="left"/>
      </w:pPr>
      <w:r>
        <w:rPr>
          <w:rFonts w:ascii="Consolas" w:hAnsi="Consolas"/>
          <w:sz w:val="14"/>
          <w:rFonts w:ascii="Consolas" w:hAnsi="Consolas" w:cs="Consolas"/>
        </w:rPr>
        <w:t>Content-Type: application/json</w:t>
      </w:r>
    </w:p>
    <w:p>
      <w:pPr>
        <w:spacing w:after="0" w:before="0"/>
        <w:ind w:left="283"/>
        <w:jc w:val="left"/>
      </w:pPr>
      <w:r>
        <w:rPr>
          <w:rFonts w:ascii="Consolas" w:hAnsi="Consolas"/>
          <w:sz w:val="14"/>
          <w:rFonts w:ascii="Consolas" w:hAnsi="Consolas" w:cs="Consolas"/>
        </w:rPr>
        <w:t xml:space="preserve"> </w:t>
      </w:r>
    </w:p>
    <w:p>
      <w:pPr>
        <w:spacing w:after="0" w:before="0"/>
        <w:ind w:left="283"/>
        <w:jc w:val="left"/>
      </w:pPr>
      <w:r>
        <w:rPr>
          <w:rFonts w:ascii="Consolas" w:hAnsi="Consolas"/>
          <w:sz w:val="14"/>
          <w:rFonts w:ascii="Consolas" w:hAnsi="Consolas" w:cs="Consolas"/>
        </w:rPr>
        <w:t>{</w:t>
      </w:r>
    </w:p>
    <w:p>
      <w:pPr>
        <w:spacing w:after="0" w:before="0"/>
        <w:ind w:left="283"/>
        <w:jc w:val="left"/>
      </w:pPr>
      <w:r>
        <w:rPr>
          <w:rFonts w:ascii="Consolas" w:hAnsi="Consolas"/>
          <w:sz w:val="14"/>
          <w:rFonts w:ascii="Consolas" w:hAnsi="Consolas" w:cs="Consolas"/>
        </w:rPr>
        <w:t xml:space="preserve">  "nombre":      "Cliente Demo 1",</w:t>
      </w:r>
    </w:p>
    <w:p>
      <w:pPr>
        <w:spacing w:after="0" w:before="0"/>
        <w:ind w:left="283"/>
        <w:jc w:val="left"/>
      </w:pPr>
      <w:r>
        <w:rPr>
          <w:rFonts w:ascii="Consolas" w:hAnsi="Consolas"/>
          <w:sz w:val="14"/>
          <w:rFonts w:ascii="Consolas" w:hAnsi="Consolas" w:cs="Consolas"/>
        </w:rPr>
        <w:t xml:space="preserve">  "email":       "cliente.demo1@ejemplo.com",</w:t>
      </w:r>
    </w:p>
    <w:p>
      <w:pPr>
        <w:spacing w:after="0" w:before="0"/>
        <w:ind w:left="283"/>
        <w:jc w:val="left"/>
      </w:pPr>
      <w:r>
        <w:rPr>
          <w:rFonts w:ascii="Consolas" w:hAnsi="Consolas"/>
          <w:sz w:val="14"/>
          <w:rFonts w:ascii="Consolas" w:hAnsi="Consolas" w:cs="Consolas"/>
        </w:rPr>
        <w:t xml:space="preserve">  "telefono":    "+54 261 555 0100",</w:t>
      </w:r>
    </w:p>
    <w:p>
      <w:pPr>
        <w:spacing w:after="0" w:before="0"/>
        <w:ind w:left="283"/>
        <w:jc w:val="left"/>
      </w:pPr>
      <w:r>
        <w:rPr>
          <w:rFonts w:ascii="Consolas" w:hAnsi="Consolas"/>
          <w:sz w:val="14"/>
          <w:rFonts w:ascii="Consolas" w:hAnsi="Consolas" w:cs="Consolas"/>
        </w:rPr>
        <w:t xml:space="preserve">  "servicio":    "Desarrollo Web",</w:t>
      </w:r>
    </w:p>
    <w:p>
      <w:pPr>
        <w:spacing w:after="0" w:before="0"/>
        <w:ind w:left="283"/>
        <w:jc w:val="left"/>
      </w:pPr>
      <w:r>
        <w:rPr>
          <w:rFonts w:ascii="Consolas" w:hAnsi="Consolas"/>
          <w:sz w:val="14"/>
          <w:rFonts w:ascii="Consolas" w:hAnsi="Consolas" w:cs="Consolas"/>
        </w:rPr>
        <w:t xml:space="preserve">  "presupuesto": 5000,</w:t>
      </w:r>
    </w:p>
    <w:p>
      <w:pPr>
        <w:spacing w:after="0" w:before="0"/>
        <w:ind w:left="283"/>
        <w:jc w:val="left"/>
      </w:pPr>
      <w:r>
        <w:rPr>
          <w:rFonts w:ascii="Consolas" w:hAnsi="Consolas"/>
          <w:sz w:val="14"/>
          <w:rFonts w:ascii="Consolas" w:hAnsi="Consolas" w:cs="Consolas"/>
        </w:rPr>
        <w:t xml:space="preserve">  "urgencia":    "alta",</w:t>
      </w:r>
    </w:p>
    <w:p>
      <w:pPr>
        <w:spacing w:after="0" w:before="0"/>
        <w:ind w:left="283"/>
        <w:jc w:val="left"/>
      </w:pPr>
      <w:r>
        <w:rPr>
          <w:rFonts w:ascii="Consolas" w:hAnsi="Consolas"/>
          <w:sz w:val="14"/>
          <w:rFonts w:ascii="Consolas" w:hAnsi="Consolas" w:cs="Consolas"/>
        </w:rPr>
        <w:t xml:space="preserve">  "descripcion": "Necesito una tienda en línea con pasarela de pago y panel de gestión.",</w:t>
      </w:r>
    </w:p>
    <w:p>
      <w:pPr>
        <w:spacing w:after="0" w:before="0"/>
        <w:ind w:left="283"/>
        <w:jc w:val="left"/>
      </w:pPr>
      <w:r>
        <w:rPr>
          <w:rFonts w:ascii="Consolas" w:hAnsi="Consolas"/>
          <w:sz w:val="14"/>
          <w:rFonts w:ascii="Consolas" w:hAnsi="Consolas" w:cs="Consolas"/>
        </w:rPr>
        <w:t xml:space="preserve">  "fuente":      "formulario_web"</w:t>
      </w:r>
    </w:p>
    <w:p>
      <w:pPr>
        <w:spacing w:after="0" w:before="0"/>
        <w:ind w:left="283"/>
        <w:jc w:val="left"/>
      </w:pPr>
      <w:r>
        <w:rPr>
          <w:rFonts w:ascii="Consolas" w:hAnsi="Consolas"/>
          <w:sz w:val="14"/>
          <w:rFonts w:ascii="Consolas" w:hAnsi="Consolas" w:cs="Consolas"/>
        </w:rPr>
        <w:t>}</w:t>
      </w:r>
    </w:p>
    <w:p>
      <w:pPr/>
      <w:r>
        <w:rPr>
          <w:b w:val="0"/>
          <w:i w:val="0"/>
        </w:rPr>
        <w:t>Respuesta satisfactoria (200):</w:t>
      </w:r>
    </w:p>
    <w:p>
      <w:pPr>
        <w:spacing w:after="0" w:before="0"/>
        <w:ind w:left="283"/>
        <w:jc w:val="left"/>
      </w:pPr>
      <w:r>
        <w:rPr>
          <w:rFonts w:ascii="Consolas" w:hAnsi="Consolas"/>
          <w:sz w:val="14"/>
          <w:rFonts w:ascii="Consolas" w:hAnsi="Consolas" w:cs="Consolas"/>
        </w:rPr>
        <w:t>{ "status": "ok", "lead_id": "LD-1754400000000-A1B2", "tier": "HOT" }</w:t>
      </w:r>
    </w:p>
    <w:p>
      <w:pPr/>
      <w:r>
        <w:rPr>
          <w:b w:val="0"/>
          <w:i w:val="0"/>
        </w:rPr>
        <w:t xml:space="preserve">Respuesta ante datos inválidos: el nodo de normalización interrumpe el flujo con un error, no se inserta ninguna fila y la rama de manejo de errores registra el evento en la tabla </w:t>
      </w:r>
      <w:r>
        <w:rPr>
          <w:rFonts w:ascii="Consolas" w:hAnsi="Consolas" w:cs="Consolas"/>
          <w:b w:val="0"/>
          <w:i w:val="0"/>
        </w:rPr>
        <w:t>logs</w:t>
      </w:r>
      <w:r>
        <w:rPr>
          <w:b w:val="0"/>
          <w:i w:val="0"/>
        </w:rPr>
        <w:t xml:space="preserve"> y notifica por Telegram.</w:t>
      </w:r>
    </w:p>
    <w:p>
      <w:pPr/>
      <w:r>
        <w:rPr>
          <w:b w:val="0"/>
          <w:i w:val="0"/>
        </w:rPr>
        <w:t xml:space="preserve">El webhook de aceptación </w:t>
      </w:r>
      <w:r>
        <w:rPr>
          <w:rFonts w:ascii="Consolas" w:hAnsi="Consolas" w:cs="Consolas"/>
          <w:b w:val="0"/>
          <w:i w:val="0"/>
        </w:rPr>
        <w:t>POST /lead-acepta</w:t>
      </w:r>
      <w:r>
        <w:rPr>
          <w:b w:val="0"/>
          <w:i w:val="0"/>
        </w:rPr>
        <w:t xml:space="preserve"> recibe </w:t>
      </w:r>
      <w:r>
        <w:rPr>
          <w:rFonts w:ascii="Consolas" w:hAnsi="Consolas" w:cs="Consolas"/>
          <w:b w:val="0"/>
          <w:i w:val="0"/>
        </w:rPr>
        <w:t>{ lead_id, token }</w:t>
      </w:r>
      <w:r>
        <w:rPr>
          <w:b w:val="0"/>
          <w:i w:val="0"/>
        </w:rPr>
        <w:t xml:space="preserve"> y devuelve uno de tres desenlaces, que la página pública traduce a un mensaje para el cliente:</w:t>
      </w:r>
    </w:p>
    <w:p>
      <w:pPr>
        <w:spacing w:after="0" w:before="0"/>
        <w:ind w:left="283"/>
        <w:jc w:val="left"/>
      </w:pPr>
      <w:r>
        <w:rPr>
          <w:rFonts w:ascii="Consolas" w:hAnsi="Consolas"/>
          <w:sz w:val="14"/>
          <w:rFonts w:ascii="Consolas" w:hAnsi="Consolas" w:cs="Consolas"/>
        </w:rPr>
        <w:t>{ "status": "ok",        "mensaje": "Propuesta aceptada." }        // token válido, primera vez</w:t>
      </w:r>
    </w:p>
    <w:p>
      <w:pPr>
        <w:spacing w:after="0" w:before="0"/>
        <w:ind w:left="283"/>
        <w:jc w:val="left"/>
      </w:pPr>
      <w:r>
        <w:rPr>
          <w:rFonts w:ascii="Consolas" w:hAnsi="Consolas"/>
          <w:sz w:val="14"/>
          <w:rFonts w:ascii="Consolas" w:hAnsi="Consolas" w:cs="Consolas"/>
        </w:rPr>
        <w:t>{ "status": "duplicado", "mensaje": "El enlace ya fue procesado." } // 0 filas afectadas</w:t>
      </w:r>
    </w:p>
    <w:p>
      <w:pPr>
        <w:spacing w:after="0" w:before="0"/>
        <w:ind w:left="283"/>
        <w:jc w:val="left"/>
      </w:pPr>
      <w:r>
        <w:rPr>
          <w:rFonts w:ascii="Consolas" w:hAnsi="Consolas"/>
          <w:sz w:val="14"/>
          <w:rFonts w:ascii="Consolas" w:hAnsi="Consolas" w:cs="Consolas"/>
        </w:rPr>
        <w:t>{ "status": "invalido",  "mensaje": "Enlace inválido o vencido." }  // token inexistente</w:t>
      </w:r>
    </w:p>
    <w:p>
      <w:pPr/>
      <w:r>
        <w:rPr>
          <w:b w:val="0"/>
          <w:i w:val="0"/>
        </w:rPr>
        <w:t>Sobre el segundo desenlace, véase la observación de §4.3.2: hoy agrupa dos situaciones distintas —enlace ya usado y oportunidad expirada— que convendría distinguir.</w:t>
      </w:r>
    </w:p>
    <w:p w:rsidR="00D60FC7" w:rsidRDefault="00000000">
      <w:pPr>
        <w:pStyle w:val="Ttulo2"/>
      </w:pPr>
      <w:bookmarkStart w:id="59" w:name="_Toc233808465"/>
      <w:r>
        <w:t>Anexo E. Matriz de trazabilidad</w:t>
      </w:r>
      <w:bookmarkEnd w:id="59"/>
    </w:p>
    <w:p w:rsidR="00D60FC7" w:rsidRDefault="00000000">
      <w:r>
        <w:rPr>
          <w:b w:val="0"/>
          <w:i w:val="0"/>
        </w:rPr>
        <w:t>Este anexo reúne la trazabilidad completa del trabajo en tres matrices. La Tabla 18 vincula el objetivo general, la pregunta de investigación y los cinco objetivos específicos con la sección de diseño que los implementa, el escenario que los valida y la conclusión que los retoma. La Tabla 19 traza los once requisitos funcionales y la Tabla 20, los siete requisitos no funcionales. Las dos últimas no figuraban en versiones anteriores del trabajo, que trazaba objetivos pero no requisitos, con lo que la trazabilidad quedaba incompleta en su mitad.</w:t>
      </w:r>
    </w:p>
    <w:p w:rsidR="00D60FC7" w:rsidRDefault="00000000">
      <w:pPr>
        <w:spacing w:after="120" w:line="240" w:lineRule="auto"/>
        <w:jc w:val="center"/>
      </w:pPr>
      <w:r>
        <w:rPr>
          <w:sz w:val="20"/>
          <w:szCs w:val="20"/>
        </w:rPr>
        <w:t>Tabla 18. Matriz de trazabilidad objetivos → diseño → validación → conclusión</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5000" w:type="pct"/>
      </w:tblPr>
      <w:tblGrid>
        <w:gridCol w:w="1758"/>
        <w:gridCol w:w="1758"/>
        <w:gridCol w:w="1758"/>
        <w:gridCol w:w="1758"/>
        <w:gridCol w:w="1758"/>
      </w:tblGrid>
      <w:tr>
        <w:trPr>
          <w:tblHeader/>
        </w:trPr>
        <w:tc>
          <w:tcPr>
            <w:tcW w:type="dxa" w:w="2381"/>
            <w:shd w:val="clear" w:color="auto" w:fill="1F2937"/>
          </w:tcPr>
          <w:p>
            <w:pPr>
              <w:spacing w:after="40" w:before="40"/>
              <w:jc w:val="left"/>
            </w:pPr>
            <w:r>
              <w:rPr>
                <w:b/>
                <w:i w:val="0"/>
                <w:color w:val="FFFFFF"/>
                <w:sz w:val="14"/>
              </w:rPr>
              <w:t>Elemento</w:t>
            </w:r>
          </w:p>
        </w:tc>
        <w:tc>
          <w:tcPr>
            <w:tcW w:type="dxa" w:w="1644"/>
            <w:shd w:val="clear" w:color="auto" w:fill="1F2937"/>
          </w:tcPr>
          <w:p>
            <w:pPr>
              <w:spacing w:after="40" w:before="40"/>
              <w:jc w:val="left"/>
            </w:pPr>
            <w:r>
              <w:rPr>
                <w:b/>
                <w:i w:val="0"/>
                <w:color w:val="FFFFFF"/>
                <w:sz w:val="14"/>
              </w:rPr>
              <w:t>Diseño</w:t>
            </w:r>
          </w:p>
        </w:tc>
        <w:tc>
          <w:tcPr>
            <w:tcW w:type="dxa" w:w="1247"/>
            <w:shd w:val="clear" w:color="auto" w:fill="1F2937"/>
          </w:tcPr>
          <w:p>
            <w:pPr>
              <w:spacing w:after="40" w:before="40"/>
              <w:jc w:val="left"/>
            </w:pPr>
            <w:r>
              <w:rPr>
                <w:b/>
                <w:i w:val="0"/>
                <w:color w:val="FFFFFF"/>
                <w:sz w:val="14"/>
              </w:rPr>
              <w:t>Validación</w:t>
            </w:r>
          </w:p>
        </w:tc>
        <w:tc>
          <w:tcPr>
            <w:tcW w:type="dxa" w:w="2608"/>
            <w:shd w:val="clear" w:color="auto" w:fill="1F2937"/>
          </w:tcPr>
          <w:p>
            <w:pPr>
              <w:spacing w:after="40" w:before="40"/>
              <w:jc w:val="left"/>
            </w:pPr>
            <w:r>
              <w:rPr>
                <w:b/>
                <w:i w:val="0"/>
                <w:color w:val="FFFFFF"/>
                <w:sz w:val="14"/>
              </w:rPr>
              <w:t>Resultado</w:t>
            </w:r>
          </w:p>
        </w:tc>
        <w:tc>
          <w:tcPr>
            <w:tcW w:type="dxa" w:w="907"/>
            <w:shd w:val="clear" w:color="auto" w:fill="1F2937"/>
          </w:tcPr>
          <w:p>
            <w:pPr>
              <w:spacing w:after="40" w:before="40"/>
              <w:jc w:val="left"/>
            </w:pPr>
            <w:r>
              <w:rPr>
                <w:b/>
                <w:i w:val="0"/>
                <w:color w:val="FFFFFF"/>
                <w:sz w:val="14"/>
              </w:rPr>
              <w:t>Conclusión</w:t>
            </w:r>
          </w:p>
        </w:tc>
      </w:tr>
      <w:tr>
        <w:tc>
          <w:tcPr>
            <w:tcW w:type="dxa" w:w="2381"/>
          </w:tcPr>
          <w:p>
            <w:pPr>
              <w:spacing w:after="40" w:before="40"/>
              <w:jc w:val="left"/>
            </w:pPr>
            <w:r>
              <w:rPr>
                <w:b/>
                <w:i w:val="0"/>
                <w:sz w:val="14"/>
              </w:rPr>
              <w:t>Objetivo general</w:t>
            </w:r>
            <w:r>
              <w:rPr>
                <w:b w:val="0"/>
                <w:i w:val="0"/>
                <w:sz w:val="14"/>
              </w:rPr>
              <w:t xml:space="preserve"> (§1.5): viabilidad técnica de la automatización de extremo a extremo</w:t>
            </w:r>
          </w:p>
        </w:tc>
        <w:tc>
          <w:tcPr>
            <w:tcW w:type="dxa" w:w="1644"/>
          </w:tcPr>
          <w:p>
            <w:pPr>
              <w:spacing w:after="40" w:before="40"/>
              <w:jc w:val="left"/>
            </w:pPr>
            <w:r>
              <w:rPr>
                <w:b w:val="0"/>
                <w:i w:val="0"/>
                <w:sz w:val="14"/>
              </w:rPr>
              <w:t>§4.1 a §4.8 (sistema completo)</w:t>
            </w:r>
          </w:p>
        </w:tc>
        <w:tc>
          <w:tcPr>
            <w:tcW w:type="dxa" w:w="1247"/>
          </w:tcPr>
          <w:p>
            <w:pPr>
              <w:spacing w:after="40" w:before="40"/>
              <w:jc w:val="left"/>
            </w:pPr>
            <w:r>
              <w:rPr>
                <w:b w:val="0"/>
                <w:i w:val="0"/>
                <w:sz w:val="14"/>
              </w:rPr>
              <w:t>E1–E13</w:t>
            </w:r>
          </w:p>
        </w:tc>
        <w:tc>
          <w:tcPr>
            <w:tcW w:type="dxa" w:w="2608"/>
          </w:tcPr>
          <w:p>
            <w:pPr>
              <w:spacing w:after="40" w:before="40"/>
              <w:jc w:val="left"/>
            </w:pPr>
            <w:r>
              <w:rPr>
                <w:b w:val="0"/>
                <w:i w:val="0"/>
                <w:sz w:val="14"/>
              </w:rPr>
              <w:t xml:space="preserve">Alcanzado en cuanto a viabilidad técnica y trazabilidad. </w:t>
            </w:r>
            <w:r>
              <w:rPr>
                <w:b/>
                <w:i w:val="0"/>
                <w:sz w:val="14"/>
              </w:rPr>
              <w:t>No</w:t>
            </w:r>
            <w:r>
              <w:rPr>
                <w:b w:val="0"/>
                <w:i w:val="0"/>
                <w:sz w:val="14"/>
              </w:rPr>
              <w:t xml:space="preserve"> se midió la magnitud de la reducción de la carga administrativa: excluida del alcance (§1.7).</w:t>
            </w:r>
          </w:p>
        </w:tc>
        <w:tc>
          <w:tcPr>
            <w:tcW w:type="dxa" w:w="907"/>
          </w:tcPr>
          <w:p>
            <w:pPr>
              <w:spacing w:after="40" w:before="40"/>
              <w:jc w:val="left"/>
            </w:pPr>
            <w:r>
              <w:rPr>
                <w:b w:val="0"/>
                <w:i w:val="0"/>
                <w:sz w:val="14"/>
              </w:rPr>
              <w:t>Cap. 7</w:t>
            </w:r>
          </w:p>
        </w:tc>
      </w:tr>
      <w:tr>
        <w:tc>
          <w:tcPr>
            <w:tcW w:type="dxa" w:w="2381"/>
          </w:tcPr>
          <w:p>
            <w:pPr>
              <w:spacing w:after="40" w:before="40"/>
              <w:jc w:val="left"/>
            </w:pPr>
            <w:r>
              <w:rPr>
                <w:b/>
                <w:i w:val="0"/>
                <w:sz w:val="14"/>
              </w:rPr>
              <w:t>Pregunta de investigación</w:t>
            </w:r>
            <w:r>
              <w:rPr>
                <w:b w:val="0"/>
                <w:i w:val="0"/>
                <w:sz w:val="14"/>
              </w:rPr>
              <w:t xml:space="preserve"> (§1.3): automatización sin sacrificar trazabilidad ni control</w:t>
            </w:r>
          </w:p>
        </w:tc>
        <w:tc>
          <w:tcPr>
            <w:tcW w:type="dxa" w:w="1644"/>
          </w:tcPr>
          <w:p>
            <w:pPr>
              <w:spacing w:after="40" w:before="40"/>
              <w:jc w:val="left"/>
            </w:pPr>
            <w:r>
              <w:rPr>
                <w:b w:val="0"/>
                <w:i w:val="0"/>
                <w:sz w:val="14"/>
              </w:rPr>
              <w:t>§4.1, §4.4, §4.6, §4.2.5, §4.3.7</w:t>
            </w:r>
          </w:p>
        </w:tc>
        <w:tc>
          <w:tcPr>
            <w:tcW w:type="dxa" w:w="1247"/>
          </w:tcPr>
          <w:p>
            <w:pPr>
              <w:spacing w:after="40" w:before="40"/>
              <w:jc w:val="left"/>
            </w:pPr>
            <w:r>
              <w:rPr>
                <w:b w:val="0"/>
                <w:i w:val="0"/>
                <w:sz w:val="14"/>
              </w:rPr>
              <w:t>E1–E13 y Tabla 8</w:t>
            </w:r>
          </w:p>
        </w:tc>
        <w:tc>
          <w:tcPr>
            <w:tcW w:type="dxa" w:w="2608"/>
          </w:tcPr>
          <w:p>
            <w:pPr>
              <w:spacing w:after="40" w:before="40"/>
              <w:jc w:val="left"/>
            </w:pPr>
            <w:r>
              <w:rPr>
                <w:b w:val="0"/>
                <w:i w:val="0"/>
                <w:sz w:val="14"/>
              </w:rPr>
              <w:t>Respondida afirmativamente en viabilidad y trazabilidad; el control del profesional se materializa en el tablero interno. La magnitud del ahorro queda fuera de lo acreditado.</w:t>
            </w:r>
          </w:p>
        </w:tc>
        <w:tc>
          <w:tcPr>
            <w:tcW w:type="dxa" w:w="907"/>
          </w:tcPr>
          <w:p>
            <w:pPr>
              <w:spacing w:after="40" w:before="40"/>
              <w:jc w:val="left"/>
            </w:pPr>
            <w:r>
              <w:rPr>
                <w:b w:val="0"/>
                <w:i w:val="0"/>
                <w:sz w:val="14"/>
              </w:rPr>
              <w:t>Cap. 7</w:t>
            </w:r>
          </w:p>
        </w:tc>
      </w:tr>
      <w:tr>
        <w:tc>
          <w:tcPr>
            <w:tcW w:type="dxa" w:w="2381"/>
          </w:tcPr>
          <w:p>
            <w:pPr>
              <w:spacing w:after="40" w:before="40"/>
              <w:jc w:val="left"/>
            </w:pPr>
            <w:r>
              <w:rPr>
                <w:b w:val="0"/>
                <w:i w:val="0"/>
                <w:sz w:val="14"/>
              </w:rPr>
              <w:t>OE1 — captación</w:t>
            </w:r>
          </w:p>
        </w:tc>
        <w:tc>
          <w:tcPr>
            <w:tcW w:type="dxa" w:w="1644"/>
          </w:tcPr>
          <w:p>
            <w:pPr>
              <w:spacing w:after="40" w:before="40"/>
              <w:jc w:val="left"/>
            </w:pPr>
            <w:r>
              <w:rPr>
                <w:b w:val="0"/>
                <w:i w:val="0"/>
                <w:sz w:val="14"/>
              </w:rPr>
              <w:t>§4.2.1</w:t>
            </w:r>
          </w:p>
        </w:tc>
        <w:tc>
          <w:tcPr>
            <w:tcW w:type="dxa" w:w="1247"/>
          </w:tcPr>
          <w:p>
            <w:pPr>
              <w:spacing w:after="40" w:before="40"/>
              <w:jc w:val="left"/>
            </w:pPr>
            <w:r>
              <w:rPr>
                <w:b w:val="0"/>
                <w:i w:val="0"/>
                <w:sz w:val="14"/>
              </w:rPr>
              <w:t>E1–E4</w:t>
            </w:r>
          </w:p>
        </w:tc>
        <w:tc>
          <w:tcPr>
            <w:tcW w:type="dxa" w:w="2608"/>
          </w:tcPr>
          <w:p>
            <w:pPr>
              <w:spacing w:after="40" w:before="40"/>
              <w:jc w:val="left"/>
            </w:pPr>
            <w:r>
              <w:rPr>
                <w:b w:val="0"/>
                <w:i w:val="0"/>
                <w:sz w:val="14"/>
              </w:rPr>
              <w:t>Verificado. E1–E4 en verde en la corrida del 22/8/2026, docs/evidencia-validacion.md: el alta válida persiste el lead y la inválida se rechaza sin escribir en leads.</w:t>
            </w:r>
          </w:p>
        </w:tc>
        <w:tc>
          <w:tcPr>
            <w:tcW w:type="dxa" w:w="907"/>
          </w:tcPr>
          <w:p>
            <w:pPr>
              <w:spacing w:after="40" w:before="40"/>
              <w:jc w:val="left"/>
            </w:pPr>
            <w:r>
              <w:rPr>
                <w:b w:val="0"/>
                <w:i w:val="0"/>
                <w:sz w:val="14"/>
              </w:rPr>
              <w:t>Cap. 7</w:t>
            </w:r>
          </w:p>
        </w:tc>
      </w:tr>
      <w:tr>
        <w:tc>
          <w:tcPr>
            <w:tcW w:type="dxa" w:w="2381"/>
          </w:tcPr>
          <w:p>
            <w:pPr>
              <w:spacing w:after="40" w:before="40"/>
              <w:jc w:val="left"/>
            </w:pPr>
            <w:r>
              <w:rPr>
                <w:b w:val="0"/>
                <w:i w:val="0"/>
                <w:sz w:val="14"/>
              </w:rPr>
              <w:t>OE2 — normalización y scoring</w:t>
            </w:r>
          </w:p>
        </w:tc>
        <w:tc>
          <w:tcPr>
            <w:tcW w:type="dxa" w:w="1644"/>
          </w:tcPr>
          <w:p>
            <w:pPr>
              <w:spacing w:after="40" w:before="40"/>
              <w:jc w:val="left"/>
            </w:pPr>
            <w:r>
              <w:rPr>
                <w:b w:val="0"/>
                <w:i w:val="0"/>
                <w:sz w:val="14"/>
              </w:rPr>
              <w:t>§4.3.1 y Tabla 5</w:t>
            </w:r>
          </w:p>
        </w:tc>
        <w:tc>
          <w:tcPr>
            <w:tcW w:type="dxa" w:w="1247"/>
          </w:tcPr>
          <w:p>
            <w:pPr>
              <w:spacing w:after="40" w:before="40"/>
              <w:jc w:val="left"/>
            </w:pPr>
            <w:r>
              <w:rPr>
                <w:b w:val="0"/>
                <w:i w:val="0"/>
                <w:sz w:val="14"/>
              </w:rPr>
              <w:t>E1–E3</w:t>
            </w:r>
          </w:p>
        </w:tc>
        <w:tc>
          <w:tcPr>
            <w:tcW w:type="dxa" w:w="2608"/>
          </w:tcPr>
          <w:p>
            <w:pPr>
              <w:spacing w:after="40" w:before="40"/>
              <w:jc w:val="left"/>
            </w:pPr>
            <w:r>
              <w:rPr>
                <w:b w:val="0"/>
                <w:i w:val="0"/>
                <w:sz w:val="14"/>
              </w:rPr>
              <w:t>Verificado. E1, E2 y E3 en verde en la corrida del 22/8/2026, docs/evidencia-validacion.md, con el desglose del score coincidiendo con la Tabla 5 (100 HOT, 47 WARM, 20 COLD).</w:t>
            </w:r>
          </w:p>
        </w:tc>
        <w:tc>
          <w:tcPr>
            <w:tcW w:type="dxa" w:w="907"/>
          </w:tcPr>
          <w:p>
            <w:pPr>
              <w:spacing w:after="40" w:before="40"/>
              <w:jc w:val="left"/>
            </w:pPr>
            <w:r>
              <w:rPr>
                <w:b w:val="0"/>
                <w:i w:val="0"/>
                <w:sz w:val="14"/>
              </w:rPr>
              <w:t>Cap. 7</w:t>
            </w:r>
          </w:p>
        </w:tc>
      </w:tr>
      <w:tr>
        <w:tc>
          <w:tcPr>
            <w:tcW w:type="dxa" w:w="2381"/>
          </w:tcPr>
          <w:p>
            <w:pPr>
              <w:spacing w:after="40" w:before="40"/>
              <w:jc w:val="left"/>
            </w:pPr>
            <w:r>
              <w:rPr>
                <w:b w:val="0"/>
                <w:i w:val="0"/>
                <w:sz w:val="14"/>
              </w:rPr>
              <w:t>OE3 — ciclo comercial</w:t>
            </w:r>
          </w:p>
        </w:tc>
        <w:tc>
          <w:tcPr>
            <w:tcW w:type="dxa" w:w="1644"/>
          </w:tcPr>
          <w:p>
            <w:pPr>
              <w:spacing w:after="40" w:before="40"/>
              <w:jc w:val="left"/>
            </w:pPr>
            <w:r>
              <w:rPr>
                <w:b w:val="0"/>
                <w:i w:val="0"/>
                <w:sz w:val="14"/>
              </w:rPr>
              <w:t>§4.3.2 a §4.3.4, §4.3.7, §4.5</w:t>
            </w:r>
          </w:p>
        </w:tc>
        <w:tc>
          <w:tcPr>
            <w:tcW w:type="dxa" w:w="1247"/>
          </w:tcPr>
          <w:p>
            <w:pPr>
              <w:spacing w:after="40" w:before="40"/>
              <w:jc w:val="left"/>
            </w:pPr>
            <w:r>
              <w:rPr>
                <w:b w:val="0"/>
                <w:i w:val="0"/>
                <w:sz w:val="14"/>
              </w:rPr>
              <w:t>E5, E6, E8, E9, E10</w:t>
            </w:r>
          </w:p>
        </w:tc>
        <w:tc>
          <w:tcPr>
            <w:tcW w:type="dxa" w:w="2608"/>
          </w:tcPr>
          <w:p>
            <w:pPr>
              <w:spacing w:after="40" w:before="40"/>
              <w:jc w:val="left"/>
            </w:pPr>
            <w:r>
              <w:rPr>
                <w:b w:val="0"/>
                <w:i w:val="0"/>
                <w:sz w:val="14"/>
              </w:rPr>
              <w:t>Verificado. E5, E6, E8, E9 y E10 en verde en la corrida del 22/8/2026, docs/evidencia-validacion.md. Salvedad declarada: el cobro se verifica contra la API de MercadoPago, pero la pasarela no se validó con una operación en producción (§4.3.3, E14).</w:t>
            </w:r>
          </w:p>
        </w:tc>
        <w:tc>
          <w:tcPr>
            <w:tcW w:type="dxa" w:w="907"/>
          </w:tcPr>
          <w:p>
            <w:pPr>
              <w:spacing w:after="40" w:before="40"/>
              <w:jc w:val="left"/>
            </w:pPr>
            <w:r>
              <w:rPr>
                <w:b w:val="0"/>
                <w:i w:val="0"/>
                <w:sz w:val="14"/>
              </w:rPr>
              <w:t>Cap. 7</w:t>
            </w:r>
          </w:p>
        </w:tc>
      </w:tr>
      <w:tr>
        <w:tc>
          <w:tcPr>
            <w:tcW w:type="dxa" w:w="2381"/>
          </w:tcPr>
          <w:p>
            <w:pPr>
              <w:spacing w:after="40" w:before="40"/>
              <w:jc w:val="left"/>
            </w:pPr>
            <w:r>
              <w:rPr>
                <w:b w:val="0"/>
                <w:i w:val="0"/>
                <w:sz w:val="14"/>
              </w:rPr>
              <w:t>OE4 — modelo de datos, RLS y tablero</w:t>
            </w:r>
          </w:p>
        </w:tc>
        <w:tc>
          <w:tcPr>
            <w:tcW w:type="dxa" w:w="1644"/>
          </w:tcPr>
          <w:p>
            <w:pPr>
              <w:spacing w:after="40" w:before="40"/>
              <w:jc w:val="left"/>
            </w:pPr>
            <w:r>
              <w:rPr>
                <w:b w:val="0"/>
                <w:i w:val="0"/>
                <w:sz w:val="14"/>
              </w:rPr>
              <w:t>§4.2.5, §4.4, §4.6</w:t>
            </w:r>
          </w:p>
        </w:tc>
        <w:tc>
          <w:tcPr>
            <w:tcW w:type="dxa" w:w="1247"/>
          </w:tcPr>
          <w:p>
            <w:pPr>
              <w:spacing w:after="40" w:before="40"/>
              <w:jc w:val="left"/>
            </w:pPr>
            <w:r>
              <w:rPr>
                <w:b w:val="0"/>
                <w:i w:val="0"/>
                <w:sz w:val="14"/>
              </w:rPr>
              <w:t>E7</w:t>
            </w:r>
          </w:p>
        </w:tc>
        <w:tc>
          <w:tcPr>
            <w:tcW w:type="dxa" w:w="2608"/>
          </w:tcPr>
          <w:p>
            <w:pPr>
              <w:spacing w:after="40" w:before="40"/>
              <w:jc w:val="left"/>
            </w:pPr>
            <w:r>
              <w:rPr>
                <w:b w:val="0"/>
                <w:i w:val="0"/>
                <w:sz w:val="14"/>
              </w:rPr>
              <w:t>Verificado parcialmente. El modelo de datos y la seguridad a nivel de fila se comprueban con npm run test:rls (24 casos rol por rol sobre un PostgreSQL real). La actualización en tiempo real del tablero (E7) NO pudo verificarse: la tabla leads no está incluida en la publicación supabase_realtime de la instancia.</w:t>
            </w:r>
          </w:p>
        </w:tc>
        <w:tc>
          <w:tcPr>
            <w:tcW w:type="dxa" w:w="907"/>
          </w:tcPr>
          <w:p>
            <w:pPr>
              <w:spacing w:after="40" w:before="40"/>
              <w:jc w:val="left"/>
            </w:pPr>
            <w:r>
              <w:rPr>
                <w:b w:val="0"/>
                <w:i w:val="0"/>
                <w:sz w:val="14"/>
              </w:rPr>
              <w:t>Cap. 7</w:t>
            </w:r>
          </w:p>
        </w:tc>
      </w:tr>
      <w:tr>
        <w:tc>
          <w:tcPr>
            <w:tcW w:type="dxa" w:w="2381"/>
          </w:tcPr>
          <w:p>
            <w:pPr>
              <w:spacing w:after="40" w:before="40"/>
              <w:jc w:val="left"/>
            </w:pPr>
            <w:r>
              <w:rPr>
                <w:b w:val="0"/>
                <w:i w:val="0"/>
                <w:sz w:val="14"/>
              </w:rPr>
              <w:t>OE5 — procesos programados</w:t>
            </w:r>
          </w:p>
        </w:tc>
        <w:tc>
          <w:tcPr>
            <w:tcW w:type="dxa" w:w="1644"/>
          </w:tcPr>
          <w:p>
            <w:pPr>
              <w:spacing w:after="40" w:before="40"/>
              <w:jc w:val="left"/>
            </w:pPr>
            <w:r>
              <w:rPr>
                <w:b w:val="0"/>
                <w:i w:val="0"/>
                <w:sz w:val="14"/>
              </w:rPr>
              <w:t>§4.3.5</w:t>
            </w:r>
          </w:p>
        </w:tc>
        <w:tc>
          <w:tcPr>
            <w:tcW w:type="dxa" w:w="1247"/>
          </w:tcPr>
          <w:p>
            <w:pPr>
              <w:spacing w:after="40" w:before="40"/>
              <w:jc w:val="left"/>
            </w:pPr>
            <w:r>
              <w:rPr>
                <w:b w:val="0"/>
                <w:i w:val="0"/>
                <w:sz w:val="14"/>
              </w:rPr>
              <w:t>E11, E12, E13</w:t>
            </w:r>
          </w:p>
        </w:tc>
        <w:tc>
          <w:tcPr>
            <w:tcW w:type="dxa" w:w="2608"/>
          </w:tcPr>
          <w:p>
            <w:pPr>
              <w:spacing w:after="40" w:before="40"/>
              <w:jc w:val="left"/>
            </w:pPr>
            <w:r>
              <w:rPr>
                <w:b w:val="0"/>
                <w:i w:val="0"/>
                <w:sz w:val="14"/>
              </w:rPr>
              <w:t>Verificado parcialmente. Los procesos de seguimiento y recordatorios de pago (E11, E12) se dispararon manualmente el 23-ago-2026, lo que reveló y permitió corregir tres defectos de expresión reales; el reporte diario (E13) se disparó pero no produjo evidencia, porque no queda actividad de agosto persistida en la base para que la vista metrics_mensuales agregue.</w:t>
            </w:r>
          </w:p>
        </w:tc>
        <w:tc>
          <w:tcPr>
            <w:tcW w:type="dxa" w:w="907"/>
          </w:tcPr>
          <w:p>
            <w:pPr>
              <w:spacing w:after="40" w:before="40"/>
              <w:jc w:val="left"/>
            </w:pPr>
            <w:r>
              <w:rPr>
                <w:b w:val="0"/>
                <w:i w:val="0"/>
                <w:sz w:val="14"/>
              </w:rPr>
              <w:t>Cap. 7</w:t>
            </w:r>
          </w:p>
        </w:tc>
      </w:tr>
    </w:tbl>
    <w:p>
      <w:pPr/>
      <w:r>
        <w:rPr>
          <w:b w:val="0"/>
          <w:i/>
          <w:sz w:val="15"/>
        </w:rPr>
        <w:t>Nota. Elaboración propia. Las celdas «[registrar]» dependen de la reejecución de los escenarios conforme al protocolo de la Tabla 4.</w:t>
      </w:r>
    </w:p>
    <w:p>
      <w:pPr>
        <w:keepNext/>
      </w:pPr>
      <w:r>
        <w:rPr>
          <w:b w:val="0"/>
          <w:i w:val="0"/>
        </w:rPr>
        <w:t>Tabla 19. Trazabilidad de los requisitos funcionales</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5000" w:type="pct"/>
      </w:tblPr>
      <w:tblGrid>
        <w:gridCol w:w="2197"/>
        <w:gridCol w:w="2197"/>
        <w:gridCol w:w="2197"/>
        <w:gridCol w:w="2197"/>
      </w:tblGrid>
      <w:tr>
        <w:trPr>
          <w:tblHeader/>
        </w:trPr>
        <w:tc>
          <w:tcPr>
            <w:tcW w:type="dxa" w:w="3175"/>
            <w:shd w:val="clear" w:color="auto" w:fill="1F2937"/>
          </w:tcPr>
          <w:p>
            <w:pPr>
              <w:spacing w:after="40" w:before="40"/>
              <w:jc w:val="left"/>
            </w:pPr>
            <w:r>
              <w:rPr>
                <w:b/>
                <w:i w:val="0"/>
                <w:color w:val="FFFFFF"/>
                <w:sz w:val="14"/>
              </w:rPr>
              <w:t>Requisito funcional</w:t>
            </w:r>
          </w:p>
        </w:tc>
        <w:tc>
          <w:tcPr>
            <w:tcW w:type="dxa" w:w="1587"/>
            <w:shd w:val="clear" w:color="auto" w:fill="1F2937"/>
          </w:tcPr>
          <w:p>
            <w:pPr>
              <w:spacing w:after="40" w:before="40"/>
              <w:jc w:val="left"/>
            </w:pPr>
            <w:r>
              <w:rPr>
                <w:b/>
                <w:i w:val="0"/>
                <w:color w:val="FFFFFF"/>
                <w:sz w:val="14"/>
              </w:rPr>
              <w:t>Diseño</w:t>
            </w:r>
          </w:p>
        </w:tc>
        <w:tc>
          <w:tcPr>
            <w:tcW w:type="dxa" w:w="2268"/>
            <w:shd w:val="clear" w:color="auto" w:fill="1F2937"/>
          </w:tcPr>
          <w:p>
            <w:pPr>
              <w:spacing w:after="40" w:before="40"/>
              <w:jc w:val="left"/>
            </w:pPr>
            <w:r>
              <w:rPr>
                <w:b/>
                <w:i w:val="0"/>
                <w:color w:val="FFFFFF"/>
                <w:sz w:val="14"/>
              </w:rPr>
              <w:t>Escenario que lo verifica</w:t>
            </w:r>
          </w:p>
        </w:tc>
        <w:tc>
          <w:tcPr>
            <w:tcW w:type="dxa" w:w="1757"/>
            <w:shd w:val="clear" w:color="auto" w:fill="1F2937"/>
          </w:tcPr>
          <w:p>
            <w:pPr>
              <w:spacing w:after="40" w:before="40"/>
              <w:jc w:val="left"/>
            </w:pPr>
            <w:r>
              <w:rPr>
                <w:b/>
                <w:i w:val="0"/>
                <w:color w:val="FFFFFF"/>
                <w:sz w:val="14"/>
              </w:rPr>
              <w:t>Resultado</w:t>
            </w:r>
          </w:p>
        </w:tc>
      </w:tr>
      <w:tr>
        <w:tc>
          <w:tcPr>
            <w:tcW w:type="dxa" w:w="3175"/>
          </w:tcPr>
          <w:p>
            <w:pPr>
              <w:spacing w:after="40" w:before="40"/>
              <w:jc w:val="left"/>
            </w:pPr>
            <w:r>
              <w:rPr>
                <w:b w:val="0"/>
                <w:i w:val="0"/>
                <w:sz w:val="14"/>
              </w:rPr>
              <w:t>RF1 — formulario público con validación</w:t>
            </w:r>
          </w:p>
        </w:tc>
        <w:tc>
          <w:tcPr>
            <w:tcW w:type="dxa" w:w="1587"/>
          </w:tcPr>
          <w:p>
            <w:pPr>
              <w:spacing w:after="40" w:before="40"/>
              <w:jc w:val="left"/>
            </w:pPr>
            <w:r>
              <w:rPr>
                <w:b w:val="0"/>
                <w:i w:val="0"/>
                <w:sz w:val="14"/>
              </w:rPr>
              <w:t>§4.2.1</w:t>
            </w:r>
          </w:p>
        </w:tc>
        <w:tc>
          <w:tcPr>
            <w:tcW w:type="dxa" w:w="2268"/>
          </w:tcPr>
          <w:p>
            <w:pPr>
              <w:spacing w:after="40" w:before="40"/>
              <w:jc w:val="left"/>
            </w:pPr>
            <w:r>
              <w:rPr>
                <w:b w:val="0"/>
                <w:i w:val="0"/>
                <w:sz w:val="14"/>
              </w:rPr>
              <w:t>E1, E4</w:t>
            </w:r>
          </w:p>
        </w:tc>
        <w:tc>
          <w:tcPr>
            <w:tcW w:type="dxa" w:w="1757"/>
          </w:tcPr>
          <w:p>
            <w:pPr>
              <w:spacing w:after="40" w:before="40"/>
              <w:jc w:val="left"/>
            </w:pPr>
            <w:r>
              <w:rPr>
                <w:b w:val="0"/>
                <w:i w:val="0"/>
                <w:sz w:val="14"/>
              </w:rPr>
              <w:t>Verificado (E1, E4).</w:t>
            </w:r>
          </w:p>
        </w:tc>
      </w:tr>
      <w:tr>
        <w:tc>
          <w:tcPr>
            <w:tcW w:type="dxa" w:w="3175"/>
          </w:tcPr>
          <w:p>
            <w:pPr>
              <w:spacing w:after="40" w:before="40"/>
              <w:jc w:val="left"/>
            </w:pPr>
            <w:r>
              <w:rPr>
                <w:b w:val="0"/>
                <w:i w:val="0"/>
                <w:sz w:val="14"/>
              </w:rPr>
              <w:t>RF2 — normalización y rechazo de datos inválidos</w:t>
            </w:r>
          </w:p>
        </w:tc>
        <w:tc>
          <w:tcPr>
            <w:tcW w:type="dxa" w:w="1587"/>
          </w:tcPr>
          <w:p>
            <w:pPr>
              <w:spacing w:after="40" w:before="40"/>
              <w:jc w:val="left"/>
            </w:pPr>
            <w:r>
              <w:rPr>
                <w:b w:val="0"/>
                <w:i w:val="0"/>
                <w:sz w:val="14"/>
              </w:rPr>
              <w:t>§4.3.1</w:t>
            </w:r>
          </w:p>
        </w:tc>
        <w:tc>
          <w:tcPr>
            <w:tcW w:type="dxa" w:w="2268"/>
          </w:tcPr>
          <w:p>
            <w:pPr>
              <w:spacing w:after="40" w:before="40"/>
              <w:jc w:val="left"/>
            </w:pPr>
            <w:r>
              <w:rPr>
                <w:b w:val="0"/>
                <w:i w:val="0"/>
                <w:sz w:val="14"/>
              </w:rPr>
              <w:t>E1, E4</w:t>
            </w:r>
          </w:p>
        </w:tc>
        <w:tc>
          <w:tcPr>
            <w:tcW w:type="dxa" w:w="1757"/>
          </w:tcPr>
          <w:p>
            <w:pPr>
              <w:spacing w:after="40" w:before="40"/>
              <w:jc w:val="left"/>
            </w:pPr>
            <w:r>
              <w:rPr>
                <w:b w:val="0"/>
                <w:i w:val="0"/>
                <w:sz w:val="14"/>
              </w:rPr>
              <w:t>Verificado (E1, E4): la entrada inválida no persiste y queda en logs.</w:t>
            </w:r>
          </w:p>
        </w:tc>
      </w:tr>
      <w:tr>
        <w:tc>
          <w:tcPr>
            <w:tcW w:type="dxa" w:w="3175"/>
          </w:tcPr>
          <w:p>
            <w:pPr>
              <w:spacing w:after="40" w:before="40"/>
              <w:jc w:val="left"/>
            </w:pPr>
            <w:r>
              <w:rPr>
                <w:b w:val="0"/>
                <w:i w:val="0"/>
                <w:sz w:val="14"/>
              </w:rPr>
              <w:t>RF3 — cálculo de score y clasificación en niveles</w:t>
            </w:r>
          </w:p>
        </w:tc>
        <w:tc>
          <w:tcPr>
            <w:tcW w:type="dxa" w:w="1587"/>
          </w:tcPr>
          <w:p>
            <w:pPr>
              <w:spacing w:after="40" w:before="40"/>
              <w:jc w:val="left"/>
            </w:pPr>
            <w:r>
              <w:rPr>
                <w:b w:val="0"/>
                <w:i w:val="0"/>
                <w:sz w:val="14"/>
              </w:rPr>
              <w:t>§4.3.1, Tabla 5</w:t>
            </w:r>
          </w:p>
        </w:tc>
        <w:tc>
          <w:tcPr>
            <w:tcW w:type="dxa" w:w="2268"/>
          </w:tcPr>
          <w:p>
            <w:pPr>
              <w:spacing w:after="40" w:before="40"/>
              <w:jc w:val="left"/>
            </w:pPr>
            <w:r>
              <w:rPr>
                <w:b w:val="0"/>
                <w:i w:val="0"/>
                <w:sz w:val="14"/>
              </w:rPr>
              <w:t>E1, E2, E3</w:t>
            </w:r>
          </w:p>
        </w:tc>
        <w:tc>
          <w:tcPr>
            <w:tcW w:type="dxa" w:w="1757"/>
          </w:tcPr>
          <w:p>
            <w:pPr>
              <w:spacing w:after="40" w:before="40"/>
              <w:jc w:val="left"/>
            </w:pPr>
            <w:r>
              <w:rPr>
                <w:b w:val="0"/>
                <w:i w:val="0"/>
                <w:sz w:val="14"/>
              </w:rPr>
              <w:t>Verificado (E1, E2, E3): 100 HOT, 47 WARM y 20 COLD, con el desglose de la Tabla 5.</w:t>
            </w:r>
          </w:p>
        </w:tc>
      </w:tr>
      <w:tr>
        <w:tc>
          <w:tcPr>
            <w:tcW w:type="dxa" w:w="3175"/>
          </w:tcPr>
          <w:p>
            <w:pPr>
              <w:spacing w:after="40" w:before="40"/>
              <w:jc w:val="left"/>
            </w:pPr>
            <w:r>
              <w:rPr>
                <w:b w:val="0"/>
                <w:i w:val="0"/>
                <w:sz w:val="14"/>
              </w:rPr>
              <w:t>RF4 — envío de propuesta a HOT y WARM</w:t>
            </w:r>
          </w:p>
        </w:tc>
        <w:tc>
          <w:tcPr>
            <w:tcW w:type="dxa" w:w="1587"/>
          </w:tcPr>
          <w:p>
            <w:pPr>
              <w:spacing w:after="40" w:before="40"/>
              <w:jc w:val="left"/>
            </w:pPr>
            <w:r>
              <w:rPr>
                <w:b w:val="0"/>
                <w:i w:val="0"/>
                <w:sz w:val="14"/>
              </w:rPr>
              <w:t>§4.3.1</w:t>
            </w:r>
          </w:p>
        </w:tc>
        <w:tc>
          <w:tcPr>
            <w:tcW w:type="dxa" w:w="2268"/>
          </w:tcPr>
          <w:p>
            <w:pPr>
              <w:spacing w:after="40" w:before="40"/>
              <w:jc w:val="left"/>
            </w:pPr>
            <w:r>
              <w:rPr>
                <w:b w:val="0"/>
                <w:i w:val="0"/>
                <w:sz w:val="14"/>
              </w:rPr>
              <w:t>E1, E2 (y E3 como caso negativo)</w:t>
            </w:r>
          </w:p>
        </w:tc>
        <w:tc>
          <w:tcPr>
            <w:tcW w:type="dxa" w:w="1757"/>
          </w:tcPr>
          <w:p>
            <w:pPr>
              <w:spacing w:after="40" w:before="40"/>
              <w:jc w:val="left"/>
            </w:pPr>
            <w:r>
              <w:rPr>
                <w:b w:val="0"/>
                <w:i w:val="0"/>
                <w:sz w:val="14"/>
              </w:rPr>
              <w:t>Verificado (E1, E2 reciben propuesta; E3 no la recibe y queda en NUEVO).</w:t>
            </w:r>
          </w:p>
        </w:tc>
      </w:tr>
      <w:tr>
        <w:tc>
          <w:tcPr>
            <w:tcW w:type="dxa" w:w="3175"/>
          </w:tcPr>
          <w:p>
            <w:pPr>
              <w:spacing w:after="40" w:before="40"/>
              <w:jc w:val="left"/>
            </w:pPr>
            <w:r>
              <w:rPr>
                <w:b w:val="0"/>
                <w:i w:val="0"/>
                <w:sz w:val="14"/>
              </w:rPr>
              <w:t>RF5 — aceptación con token de un solo uso</w:t>
            </w:r>
          </w:p>
        </w:tc>
        <w:tc>
          <w:tcPr>
            <w:tcW w:type="dxa" w:w="1587"/>
          </w:tcPr>
          <w:p>
            <w:pPr>
              <w:spacing w:after="40" w:before="40"/>
              <w:jc w:val="left"/>
            </w:pPr>
            <w:r>
              <w:rPr>
                <w:b w:val="0"/>
                <w:i w:val="0"/>
                <w:sz w:val="14"/>
              </w:rPr>
              <w:t>§4.3.2, §4.2.6</w:t>
            </w:r>
          </w:p>
        </w:tc>
        <w:tc>
          <w:tcPr>
            <w:tcW w:type="dxa" w:w="2268"/>
          </w:tcPr>
          <w:p>
            <w:pPr>
              <w:spacing w:after="40" w:before="40"/>
              <w:jc w:val="left"/>
            </w:pPr>
            <w:r>
              <w:rPr>
                <w:b w:val="0"/>
                <w:i w:val="0"/>
                <w:sz w:val="14"/>
              </w:rPr>
              <w:t>E5, E6</w:t>
            </w:r>
          </w:p>
        </w:tc>
        <w:tc>
          <w:tcPr>
            <w:tcW w:type="dxa" w:w="1757"/>
          </w:tcPr>
          <w:p>
            <w:pPr>
              <w:spacing w:after="40" w:before="40"/>
              <w:jc w:val="left"/>
            </w:pPr>
            <w:r>
              <w:rPr>
                <w:b w:val="0"/>
                <w:i w:val="0"/>
                <w:sz w:val="14"/>
              </w:rPr>
              <w:t>Verificado (E5, E6): cuatro invocaciones del mismo enlace dejan una sola factura.</w:t>
            </w:r>
          </w:p>
        </w:tc>
      </w:tr>
      <w:tr>
        <w:tc>
          <w:tcPr>
            <w:tcW w:type="dxa" w:w="3175"/>
          </w:tcPr>
          <w:p>
            <w:pPr>
              <w:spacing w:after="40" w:before="40"/>
              <w:jc w:val="left"/>
            </w:pPr>
            <w:r>
              <w:rPr>
                <w:b w:val="0"/>
                <w:i w:val="0"/>
                <w:sz w:val="14"/>
              </w:rPr>
              <w:t>RF6 — generación y envío de la factura en PDF</w:t>
            </w:r>
          </w:p>
        </w:tc>
        <w:tc>
          <w:tcPr>
            <w:tcW w:type="dxa" w:w="1587"/>
          </w:tcPr>
          <w:p>
            <w:pPr>
              <w:spacing w:after="40" w:before="40"/>
              <w:jc w:val="left"/>
            </w:pPr>
            <w:r>
              <w:rPr>
                <w:b w:val="0"/>
                <w:i w:val="0"/>
                <w:sz w:val="14"/>
              </w:rPr>
              <w:t>§4.3.2</w:t>
            </w:r>
          </w:p>
        </w:tc>
        <w:tc>
          <w:tcPr>
            <w:tcW w:type="dxa" w:w="2268"/>
          </w:tcPr>
          <w:p>
            <w:pPr>
              <w:spacing w:after="40" w:before="40"/>
              <w:jc w:val="left"/>
            </w:pPr>
            <w:r>
              <w:rPr>
                <w:b w:val="0"/>
                <w:i w:val="0"/>
                <w:sz w:val="14"/>
              </w:rPr>
              <w:t>E5</w:t>
            </w:r>
          </w:p>
        </w:tc>
        <w:tc>
          <w:tcPr>
            <w:tcW w:type="dxa" w:w="1757"/>
          </w:tcPr>
          <w:p>
            <w:pPr>
              <w:spacing w:after="40" w:before="40"/>
              <w:jc w:val="left"/>
            </w:pPr>
            <w:r>
              <w:rPr>
                <w:b w:val="0"/>
                <w:i w:val="0"/>
                <w:sz w:val="14"/>
              </w:rPr>
              <w:t>Verificado (E5): se emite la factura con vencimiento a 15 días de la emisión.</w:t>
            </w:r>
          </w:p>
        </w:tc>
      </w:tr>
      <w:tr>
        <w:tc>
          <w:tcPr>
            <w:tcW w:type="dxa" w:w="3175"/>
          </w:tcPr>
          <w:p>
            <w:pPr>
              <w:spacing w:after="40" w:before="40"/>
              <w:jc w:val="left"/>
            </w:pPr>
            <w:r>
              <w:rPr>
                <w:b w:val="0"/>
                <w:i w:val="0"/>
                <w:sz w:val="14"/>
              </w:rPr>
              <w:t>RF7 — registro del cobro y cierre del proyecto</w:t>
            </w:r>
          </w:p>
        </w:tc>
        <w:tc>
          <w:tcPr>
            <w:tcW w:type="dxa" w:w="1587"/>
          </w:tcPr>
          <w:p>
            <w:pPr>
              <w:spacing w:after="40" w:before="40"/>
              <w:jc w:val="left"/>
            </w:pPr>
            <w:r>
              <w:rPr>
                <w:b w:val="0"/>
                <w:i w:val="0"/>
                <w:sz w:val="14"/>
              </w:rPr>
              <w:t>§4.3.3, §4.3.4</w:t>
            </w:r>
          </w:p>
        </w:tc>
        <w:tc>
          <w:tcPr>
            <w:tcW w:type="dxa" w:w="2268"/>
          </w:tcPr>
          <w:p>
            <w:pPr>
              <w:spacing w:after="40" w:before="40"/>
              <w:jc w:val="left"/>
            </w:pPr>
            <w:r>
              <w:rPr>
                <w:b w:val="0"/>
                <w:i w:val="0"/>
                <w:sz w:val="14"/>
              </w:rPr>
              <w:t>E5 y verificación manual del cierre</w:t>
            </w:r>
          </w:p>
        </w:tc>
        <w:tc>
          <w:tcPr>
            <w:tcW w:type="dxa" w:w="1757"/>
          </w:tcPr>
          <w:p>
            <w:pPr>
              <w:spacing w:after="40" w:before="40"/>
              <w:jc w:val="left"/>
            </w:pPr>
            <w:r>
              <w:rPr>
                <w:b w:val="0"/>
                <w:i w:val="0"/>
                <w:sz w:val="14"/>
              </w:rPr>
              <w:t>Verificado parcialmente: el registro del cobro se comprueba en el modo de desarrollo (pago idempotente). El cierre del proyecto no tiene escenario propio (E14 pendiente).</w:t>
            </w:r>
          </w:p>
        </w:tc>
      </w:tr>
      <w:tr>
        <w:tc>
          <w:tcPr>
            <w:tcW w:type="dxa" w:w="3175"/>
          </w:tcPr>
          <w:p>
            <w:pPr>
              <w:spacing w:after="40" w:before="40"/>
              <w:jc w:val="left"/>
            </w:pPr>
            <w:r>
              <w:rPr>
                <w:b w:val="0"/>
                <w:i w:val="0"/>
                <w:sz w:val="14"/>
              </w:rPr>
              <w:t>RF8 — seguimientos automáticos de propuestas sin respuesta</w:t>
            </w:r>
          </w:p>
        </w:tc>
        <w:tc>
          <w:tcPr>
            <w:tcW w:type="dxa" w:w="1587"/>
          </w:tcPr>
          <w:p>
            <w:pPr>
              <w:spacing w:after="40" w:before="40"/>
              <w:jc w:val="left"/>
            </w:pPr>
            <w:r>
              <w:rPr>
                <w:b w:val="0"/>
                <w:i w:val="0"/>
                <w:sz w:val="14"/>
              </w:rPr>
              <w:t>§4.3.5</w:t>
            </w:r>
          </w:p>
        </w:tc>
        <w:tc>
          <w:tcPr>
            <w:tcW w:type="dxa" w:w="2268"/>
          </w:tcPr>
          <w:p>
            <w:pPr>
              <w:spacing w:after="40" w:before="40"/>
              <w:jc w:val="left"/>
            </w:pPr>
            <w:r>
              <w:rPr>
                <w:b w:val="0"/>
                <w:i w:val="0"/>
                <w:sz w:val="14"/>
              </w:rPr>
              <w:t>E11</w:t>
            </w:r>
          </w:p>
        </w:tc>
        <w:tc>
          <w:tcPr>
            <w:tcW w:type="dxa" w:w="1757"/>
          </w:tcPr>
          <w:p>
            <w:pPr>
              <w:spacing w:after="40" w:before="40"/>
              <w:jc w:val="left"/>
            </w:pPr>
            <w:r>
              <w:rPr>
                <w:b w:val="0"/>
                <w:i w:val="0"/>
                <w:sz w:val="14"/>
              </w:rPr>
              <w:t>Verificado parcialmente (E11): el correo, la fila de seguimiento y el incremento del contador se confirman en la base; la transición a PERDIDO tras el tercer intento reveló una expresión ambigua (corregida) y dejó un caso de prueba sin completarla.</w:t>
            </w:r>
          </w:p>
        </w:tc>
      </w:tr>
      <w:tr>
        <w:tc>
          <w:tcPr>
            <w:tcW w:type="dxa" w:w="3175"/>
          </w:tcPr>
          <w:p>
            <w:pPr>
              <w:spacing w:after="40" w:before="40"/>
              <w:jc w:val="left"/>
            </w:pPr>
            <w:r>
              <w:rPr>
                <w:b w:val="0"/>
                <w:i w:val="0"/>
                <w:sz w:val="14"/>
              </w:rPr>
              <w:t>RF9 — recordatorios de facturas por vencer o vencidas</w:t>
            </w:r>
          </w:p>
        </w:tc>
        <w:tc>
          <w:tcPr>
            <w:tcW w:type="dxa" w:w="1587"/>
          </w:tcPr>
          <w:p>
            <w:pPr>
              <w:spacing w:after="40" w:before="40"/>
              <w:jc w:val="left"/>
            </w:pPr>
            <w:r>
              <w:rPr>
                <w:b w:val="0"/>
                <w:i w:val="0"/>
                <w:sz w:val="14"/>
              </w:rPr>
              <w:t>§4.3.5</w:t>
            </w:r>
          </w:p>
        </w:tc>
        <w:tc>
          <w:tcPr>
            <w:tcW w:type="dxa" w:w="2268"/>
          </w:tcPr>
          <w:p>
            <w:pPr>
              <w:spacing w:after="40" w:before="40"/>
              <w:jc w:val="left"/>
            </w:pPr>
            <w:r>
              <w:rPr>
                <w:b w:val="0"/>
                <w:i w:val="0"/>
                <w:sz w:val="14"/>
              </w:rPr>
              <w:t>E12</w:t>
            </w:r>
          </w:p>
        </w:tc>
        <w:tc>
          <w:tcPr>
            <w:tcW w:type="dxa" w:w="1757"/>
          </w:tcPr>
          <w:p>
            <w:pPr>
              <w:spacing w:after="40" w:before="40"/>
              <w:jc w:val="left"/>
            </w:pPr>
            <w:r>
              <w:rPr>
                <w:b w:val="0"/>
                <w:i w:val="0"/>
                <w:sz w:val="14"/>
              </w:rPr>
              <w:t>Verificado parcialmente (E12): se confirma el envío de correo y la notificación de Telegram para el nivel URGENTE; el nivel RECORDATORIO no se ejercitó por falta de datos de prueba en ese rango de vencimiento.</w:t>
            </w:r>
          </w:p>
        </w:tc>
      </w:tr>
      <w:tr>
        <w:tc>
          <w:tcPr>
            <w:tcW w:type="dxa" w:w="3175"/>
          </w:tcPr>
          <w:p>
            <w:pPr>
              <w:spacing w:after="40" w:before="40"/>
              <w:jc w:val="left"/>
            </w:pPr>
            <w:r>
              <w:rPr>
                <w:b w:val="0"/>
                <w:i w:val="0"/>
                <w:sz w:val="14"/>
              </w:rPr>
              <w:t>RF10 — notificaciones por Telegram y reporte diario</w:t>
            </w:r>
          </w:p>
        </w:tc>
        <w:tc>
          <w:tcPr>
            <w:tcW w:type="dxa" w:w="1587"/>
          </w:tcPr>
          <w:p>
            <w:pPr>
              <w:spacing w:after="40" w:before="40"/>
              <w:jc w:val="left"/>
            </w:pPr>
            <w:r>
              <w:rPr>
                <w:b w:val="0"/>
                <w:i w:val="0"/>
                <w:sz w:val="14"/>
              </w:rPr>
              <w:t>§4.3.5, §4.3.6</w:t>
            </w:r>
          </w:p>
        </w:tc>
        <w:tc>
          <w:tcPr>
            <w:tcW w:type="dxa" w:w="2268"/>
          </w:tcPr>
          <w:p>
            <w:pPr>
              <w:spacing w:after="40" w:before="40"/>
              <w:jc w:val="left"/>
            </w:pPr>
            <w:r>
              <w:rPr>
                <w:b w:val="0"/>
                <w:i w:val="0"/>
                <w:sz w:val="14"/>
              </w:rPr>
              <w:t>E13</w:t>
            </w:r>
          </w:p>
        </w:tc>
        <w:tc>
          <w:tcPr>
            <w:tcW w:type="dxa" w:w="1757"/>
          </w:tcPr>
          <w:p>
            <w:pPr>
              <w:spacing w:after="40" w:before="40"/>
              <w:jc w:val="left"/>
            </w:pPr>
            <w:r>
              <w:rPr>
                <w:b w:val="0"/>
                <w:i w:val="0"/>
                <w:sz w:val="14"/>
              </w:rPr>
              <w:t>Verificado parcialmente (E13): el reporte diario no produjo evidencia (sin actividad de agosto persistida para agregar); en cambio, al ejercitar E12 se detectó y corrigió que las notificaciones de Telegram de todo el sistema estaban rotas por una variable de entorno vacía y una credencial de bot vencida.</w:t>
            </w:r>
          </w:p>
        </w:tc>
      </w:tr>
      <w:tr>
        <w:tc>
          <w:tcPr>
            <w:tcW w:type="dxa" w:w="3175"/>
          </w:tcPr>
          <w:p>
            <w:pPr>
              <w:spacing w:after="40" w:before="40"/>
              <w:jc w:val="left"/>
            </w:pPr>
            <w:r>
              <w:rPr>
                <w:b w:val="0"/>
                <w:i w:val="0"/>
                <w:sz w:val="14"/>
              </w:rPr>
              <w:t>RF11 — tablero autenticado con métricas en tiempo real</w:t>
            </w:r>
          </w:p>
        </w:tc>
        <w:tc>
          <w:tcPr>
            <w:tcW w:type="dxa" w:w="1587"/>
          </w:tcPr>
          <w:p>
            <w:pPr>
              <w:spacing w:after="40" w:before="40"/>
              <w:jc w:val="left"/>
            </w:pPr>
            <w:r>
              <w:rPr>
                <w:b w:val="0"/>
                <w:i w:val="0"/>
                <w:sz w:val="14"/>
              </w:rPr>
              <w:t>§4.2.5, §4.4</w:t>
            </w:r>
          </w:p>
        </w:tc>
        <w:tc>
          <w:tcPr>
            <w:tcW w:type="dxa" w:w="2268"/>
          </w:tcPr>
          <w:p>
            <w:pPr>
              <w:spacing w:after="40" w:before="40"/>
              <w:jc w:val="left"/>
            </w:pPr>
            <w:r>
              <w:rPr>
                <w:b w:val="0"/>
                <w:i w:val="0"/>
                <w:sz w:val="14"/>
              </w:rPr>
              <w:t>E7</w:t>
            </w:r>
          </w:p>
        </w:tc>
        <w:tc>
          <w:tcPr>
            <w:tcW w:type="dxa" w:w="1757"/>
          </w:tcPr>
          <w:p>
            <w:pPr>
              <w:spacing w:after="40" w:before="40"/>
              <w:jc w:val="left"/>
            </w:pPr>
            <w:r>
              <w:rPr>
                <w:b w:val="0"/>
                <w:i w:val="0"/>
                <w:sz w:val="14"/>
              </w:rPr>
              <w:t>Verificado parcialmente: el tablero lee y muestra los cuatro conjuntos de datos, pero la actualización en vivo (E7) no pudo comprobarse — ver OE4.</w:t>
            </w:r>
          </w:p>
        </w:tc>
      </w:tr>
    </w:tbl>
    <w:p>
      <w:pPr/>
      <w:r>
        <w:rPr>
          <w:b w:val="0"/>
          <w:i/>
          <w:sz w:val="15"/>
        </w:rPr>
        <w:t>Nota. Elaboración propia.</w:t>
      </w:r>
    </w:p>
    <w:p>
      <w:pPr>
        <w:keepNext/>
      </w:pPr>
      <w:r>
        <w:rPr>
          <w:b w:val="0"/>
          <w:i w:val="0"/>
        </w:rPr>
        <w:t>Tabla 20. Trazabilidad de los requisitos no funcionales</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5000" w:type="pct"/>
      </w:tblPr>
      <w:tblGrid>
        <w:gridCol w:w="2197"/>
        <w:gridCol w:w="2197"/>
        <w:gridCol w:w="2197"/>
        <w:gridCol w:w="2197"/>
      </w:tblGrid>
      <w:tr>
        <w:trPr>
          <w:tblHeader/>
        </w:trPr>
        <w:tc>
          <w:tcPr>
            <w:tcW w:type="dxa" w:w="2608"/>
            <w:shd w:val="clear" w:color="auto" w:fill="1F2937"/>
          </w:tcPr>
          <w:p>
            <w:pPr>
              <w:spacing w:after="40" w:before="40"/>
              <w:jc w:val="left"/>
            </w:pPr>
            <w:r>
              <w:rPr>
                <w:b/>
                <w:i w:val="0"/>
                <w:color w:val="FFFFFF"/>
                <w:sz w:val="14"/>
              </w:rPr>
              <w:t>Requisito no funcional</w:t>
            </w:r>
          </w:p>
        </w:tc>
        <w:tc>
          <w:tcPr>
            <w:tcW w:type="dxa" w:w="1587"/>
            <w:shd w:val="clear" w:color="auto" w:fill="1F2937"/>
          </w:tcPr>
          <w:p>
            <w:pPr>
              <w:spacing w:after="40" w:before="40"/>
              <w:jc w:val="left"/>
            </w:pPr>
            <w:r>
              <w:rPr>
                <w:b/>
                <w:i w:val="0"/>
                <w:color w:val="FFFFFF"/>
                <w:sz w:val="14"/>
              </w:rPr>
              <w:t>Diseño</w:t>
            </w:r>
          </w:p>
        </w:tc>
        <w:tc>
          <w:tcPr>
            <w:tcW w:type="dxa" w:w="3345"/>
            <w:shd w:val="clear" w:color="auto" w:fill="1F2937"/>
          </w:tcPr>
          <w:p>
            <w:pPr>
              <w:spacing w:after="40" w:before="40"/>
              <w:jc w:val="left"/>
            </w:pPr>
            <w:r>
              <w:rPr>
                <w:b/>
                <w:i w:val="0"/>
                <w:color w:val="FFFFFF"/>
                <w:sz w:val="14"/>
              </w:rPr>
              <w:t>Método de verificación (Tabla 2)</w:t>
            </w:r>
          </w:p>
        </w:tc>
        <w:tc>
          <w:tcPr>
            <w:tcW w:type="dxa" w:w="1247"/>
            <w:shd w:val="clear" w:color="auto" w:fill="1F2937"/>
          </w:tcPr>
          <w:p>
            <w:pPr>
              <w:spacing w:after="40" w:before="40"/>
              <w:jc w:val="left"/>
            </w:pPr>
            <w:r>
              <w:rPr>
                <w:b/>
                <w:i w:val="0"/>
                <w:color w:val="FFFFFF"/>
                <w:sz w:val="14"/>
              </w:rPr>
              <w:t>Resultado</w:t>
            </w:r>
          </w:p>
        </w:tc>
      </w:tr>
      <w:tr>
        <w:tc>
          <w:tcPr>
            <w:tcW w:type="dxa" w:w="2608"/>
          </w:tcPr>
          <w:p>
            <w:pPr>
              <w:spacing w:after="40" w:before="40"/>
              <w:jc w:val="left"/>
            </w:pPr>
            <w:r>
              <w:rPr>
                <w:b w:val="0"/>
                <w:i w:val="0"/>
                <w:sz w:val="14"/>
              </w:rPr>
              <w:t>RNF1 — acceso restringido y RLS</w:t>
            </w:r>
          </w:p>
        </w:tc>
        <w:tc>
          <w:tcPr>
            <w:tcW w:type="dxa" w:w="1587"/>
          </w:tcPr>
          <w:p>
            <w:pPr>
              <w:spacing w:after="40" w:before="40"/>
              <w:jc w:val="left"/>
            </w:pPr>
            <w:r>
              <w:rPr>
                <w:b w:val="0"/>
                <w:i w:val="0"/>
                <w:sz w:val="14"/>
              </w:rPr>
              <w:t>§4.2.3, §4.6, Anexo C</w:t>
            </w:r>
          </w:p>
        </w:tc>
        <w:tc>
          <w:tcPr>
            <w:tcW w:type="dxa" w:w="3345"/>
          </w:tcPr>
          <w:p>
            <w:pPr>
              <w:spacing w:after="40" w:before="40"/>
              <w:jc w:val="left"/>
            </w:pPr>
            <w:r>
              <w:rPr>
                <w:b w:val="0"/>
                <w:i w:val="0"/>
                <w:sz w:val="14"/>
              </w:rPr>
              <w:t>Tres intentos de lectura con distinto rol; intento de escritura con clave pública.</w:t>
            </w:r>
          </w:p>
        </w:tc>
        <w:tc>
          <w:tcPr>
            <w:tcW w:type="dxa" w:w="1247"/>
          </w:tcPr>
          <w:p>
            <w:pPr>
              <w:spacing w:after="40" w:before="40"/>
              <w:jc w:val="left"/>
            </w:pPr>
            <w:r>
              <w:rPr>
                <w:b w:val="0"/>
                <w:i w:val="0"/>
                <w:sz w:val="14"/>
              </w:rPr>
              <w:t>Verificado. npm run test:rls ejecuta 24 casos rol por rol sobre un PostgreSQL real: anon sin acceso, usuario autenticado sin rol admin con 0 filas, admin con lectura, logs cerrada incluso para admin y escritura denegada desde el navegador.</w:t>
            </w:r>
          </w:p>
        </w:tc>
      </w:tr>
      <w:tr>
        <w:tc>
          <w:tcPr>
            <w:tcW w:type="dxa" w:w="2608"/>
          </w:tcPr>
          <w:p>
            <w:pPr>
              <w:spacing w:after="40" w:before="40"/>
              <w:jc w:val="left"/>
            </w:pPr>
            <w:r>
              <w:rPr>
                <w:b w:val="0"/>
                <w:i w:val="0"/>
                <w:sz w:val="14"/>
              </w:rPr>
              <w:t>RNF2 — token de un solo uso</w:t>
            </w:r>
          </w:p>
        </w:tc>
        <w:tc>
          <w:tcPr>
            <w:tcW w:type="dxa" w:w="1587"/>
          </w:tcPr>
          <w:p>
            <w:pPr>
              <w:spacing w:after="40" w:before="40"/>
              <w:jc w:val="left"/>
            </w:pPr>
            <w:r>
              <w:rPr>
                <w:b w:val="0"/>
                <w:i w:val="0"/>
                <w:sz w:val="14"/>
              </w:rPr>
              <w:t>§4.3.2</w:t>
            </w:r>
          </w:p>
        </w:tc>
        <w:tc>
          <w:tcPr>
            <w:tcW w:type="dxa" w:w="3345"/>
          </w:tcPr>
          <w:p>
            <w:pPr>
              <w:spacing w:after="40" w:before="40"/>
              <w:jc w:val="left"/>
            </w:pPr>
            <w:r>
              <w:rPr>
                <w:b w:val="0"/>
                <w:i w:val="0"/>
                <w:sz w:val="14"/>
              </w:rPr>
              <w:t>Dos invocaciones secuenciales y dos concurrentes (E6).</w:t>
            </w:r>
          </w:p>
        </w:tc>
        <w:tc>
          <w:tcPr>
            <w:tcW w:type="dxa" w:w="1247"/>
          </w:tcPr>
          <w:p>
            <w:pPr>
              <w:spacing w:after="40" w:before="40"/>
              <w:jc w:val="left"/>
            </w:pPr>
            <w:r>
              <w:rPr>
                <w:b w:val="0"/>
                <w:i w:val="0"/>
                <w:sz w:val="14"/>
              </w:rPr>
              <w:t>Verificado (E6): cuatro invocaciones —dos concurrentes y dos consecutivas— del mismo enlace producen exactamente una fila en facturas.</w:t>
            </w:r>
          </w:p>
        </w:tc>
      </w:tr>
      <w:tr>
        <w:tc>
          <w:tcPr>
            <w:tcW w:type="dxa" w:w="2608"/>
          </w:tcPr>
          <w:p>
            <w:pPr>
              <w:spacing w:after="40" w:before="40"/>
              <w:jc w:val="left"/>
            </w:pPr>
            <w:r>
              <w:rPr>
                <w:b w:val="0"/>
                <w:i w:val="0"/>
                <w:sz w:val="14"/>
              </w:rPr>
              <w:t>RNF3 — detención controlada y registro del error</w:t>
            </w:r>
          </w:p>
        </w:tc>
        <w:tc>
          <w:tcPr>
            <w:tcW w:type="dxa" w:w="1587"/>
          </w:tcPr>
          <w:p>
            <w:pPr>
              <w:spacing w:after="40" w:before="40"/>
              <w:jc w:val="left"/>
            </w:pPr>
            <w:r>
              <w:rPr>
                <w:b w:val="0"/>
                <w:i w:val="0"/>
                <w:sz w:val="14"/>
              </w:rPr>
              <w:t>§4.3.1, §4.3.6, §4.2.4</w:t>
            </w:r>
          </w:p>
        </w:tc>
        <w:tc>
          <w:tcPr>
            <w:tcW w:type="dxa" w:w="3345"/>
          </w:tcPr>
          <w:p>
            <w:pPr>
              <w:spacing w:after="40" w:before="40"/>
              <w:jc w:val="left"/>
            </w:pPr>
            <w:r>
              <w:rPr>
                <w:b w:val="0"/>
                <w:i w:val="0"/>
                <w:sz w:val="14"/>
              </w:rPr>
              <w:t>Tres entradas inválidas (E4) y construcción sin variables de entorno.</w:t>
            </w:r>
          </w:p>
        </w:tc>
        <w:tc>
          <w:tcPr>
            <w:tcW w:type="dxa" w:w="1247"/>
          </w:tcPr>
          <w:p>
            <w:pPr>
              <w:spacing w:after="40" w:before="40"/>
              <w:jc w:val="left"/>
            </w:pPr>
            <w:r>
              <w:rPr>
                <w:b w:val="0"/>
                <w:i w:val="0"/>
                <w:sz w:val="14"/>
              </w:rPr>
              <w:t>Verificado (E4) para la entrada inválida: el flujo se detiene, no persiste el lead y deja el registro en logs. La construcción del frontend sin variables de entorno también termina con código 0.</w:t>
            </w:r>
          </w:p>
        </w:tc>
      </w:tr>
      <w:tr>
        <w:tc>
          <w:tcPr>
            <w:tcW w:type="dxa" w:w="2608"/>
          </w:tcPr>
          <w:p>
            <w:pPr>
              <w:spacing w:after="40" w:before="40"/>
              <w:jc w:val="left"/>
            </w:pPr>
            <w:r>
              <w:rPr>
                <w:b w:val="0"/>
                <w:i w:val="0"/>
                <w:sz w:val="14"/>
              </w:rPr>
              <w:t>RNF4 — lógica concentrada en el orquestador</w:t>
            </w:r>
          </w:p>
        </w:tc>
        <w:tc>
          <w:tcPr>
            <w:tcW w:type="dxa" w:w="1587"/>
          </w:tcPr>
          <w:p>
            <w:pPr>
              <w:spacing w:after="40" w:before="40"/>
              <w:jc w:val="left"/>
            </w:pPr>
            <w:r>
              <w:rPr>
                <w:b w:val="0"/>
                <w:i w:val="0"/>
                <w:sz w:val="14"/>
              </w:rPr>
              <w:t>§4.1, §4.5</w:t>
            </w:r>
          </w:p>
        </w:tc>
        <w:tc>
          <w:tcPr>
            <w:tcW w:type="dxa" w:w="3345"/>
          </w:tcPr>
          <w:p>
            <w:pPr>
              <w:spacing w:after="40" w:before="40"/>
              <w:jc w:val="left"/>
            </w:pPr>
            <w:r>
              <w:rPr>
                <w:b w:val="0"/>
                <w:i w:val="0"/>
                <w:sz w:val="14"/>
              </w:rPr>
              <w:t xml:space="preserve">Inspección estática del directorio </w:t>
            </w:r>
            <w:r>
              <w:rPr>
                <w:b w:val="0"/>
                <w:i w:val="0"/>
                <w:sz w:val="14"/>
                <w:rFonts w:ascii="Consolas" w:hAnsi="Consolas" w:cs="Consolas"/>
              </w:rPr>
              <w:t>src/</w:t>
            </w:r>
            <w:r>
              <w:rPr>
                <w:b w:val="0"/>
                <w:i w:val="0"/>
                <w:sz w:val="14"/>
              </w:rPr>
              <w:t>.</w:t>
            </w:r>
          </w:p>
        </w:tc>
        <w:tc>
          <w:tcPr>
            <w:tcW w:type="dxa" w:w="1247"/>
          </w:tcPr>
          <w:p>
            <w:pPr>
              <w:spacing w:after="40" w:before="40"/>
              <w:jc w:val="left"/>
            </w:pPr>
            <w:r>
              <w:rPr>
                <w:b w:val="0"/>
                <w:i w:val="0"/>
                <w:sz w:val="14"/>
              </w:rPr>
              <w:t>Verificado por inspección estática de src/: 0 llamadas a insert, update, upsert o delete sobre las tablas de negocio; las únicas consultas son de lectura sobre leads, metrics_mensuales, facturas_pendientes y profiles.</w:t>
            </w:r>
          </w:p>
        </w:tc>
      </w:tr>
      <w:tr>
        <w:tc>
          <w:tcPr>
            <w:tcW w:type="dxa" w:w="2608"/>
          </w:tcPr>
          <w:p>
            <w:pPr>
              <w:spacing w:after="40" w:before="40"/>
              <w:jc w:val="left"/>
            </w:pPr>
            <w:r>
              <w:rPr>
                <w:b w:val="0"/>
                <w:i w:val="0"/>
                <w:sz w:val="14"/>
              </w:rPr>
              <w:t>RNF5 — interacción y mensajes en español</w:t>
            </w:r>
          </w:p>
        </w:tc>
        <w:tc>
          <w:tcPr>
            <w:tcW w:type="dxa" w:w="1587"/>
          </w:tcPr>
          <w:p>
            <w:pPr>
              <w:spacing w:after="40" w:before="40"/>
              <w:jc w:val="left"/>
            </w:pPr>
            <w:r>
              <w:rPr>
                <w:b w:val="0"/>
                <w:i w:val="0"/>
                <w:sz w:val="14"/>
              </w:rPr>
              <w:t>§4.2.2, §4.2.1</w:t>
            </w:r>
          </w:p>
        </w:tc>
        <w:tc>
          <w:tcPr>
            <w:tcW w:type="dxa" w:w="3345"/>
          </w:tcPr>
          <w:p>
            <w:pPr>
              <w:spacing w:after="40" w:before="40"/>
              <w:jc w:val="left"/>
            </w:pPr>
            <w:r>
              <w:rPr>
                <w:b w:val="0"/>
                <w:i w:val="0"/>
                <w:sz w:val="14"/>
              </w:rPr>
              <w:t>Revisión en tres anchos de pantalla y recuento de códigos traducidos.</w:t>
            </w:r>
          </w:p>
        </w:tc>
        <w:tc>
          <w:tcPr>
            <w:tcW w:type="dxa" w:w="1247"/>
          </w:tcPr>
          <w:p>
            <w:pPr>
              <w:spacing w:after="40" w:before="40"/>
              <w:jc w:val="left"/>
            </w:pPr>
            <w:r>
              <w:rPr>
                <w:b w:val="0"/>
                <w:i w:val="0"/>
                <w:sz w:val="14"/>
              </w:rPr>
              <w:t>Verificado parcialmente: la interfaz no desborda horizontalmente y los mensajes de error de autenticación se muestran en español. Falta el recuento formal de códigos cubiertos por translateAuthError sobre el total posible.</w:t>
            </w:r>
          </w:p>
        </w:tc>
      </w:tr>
      <w:tr>
        <w:tc>
          <w:tcPr>
            <w:tcW w:type="dxa" w:w="2608"/>
          </w:tcPr>
          <w:p>
            <w:pPr>
              <w:spacing w:after="40" w:before="40"/>
              <w:jc w:val="left"/>
            </w:pPr>
            <w:r>
              <w:rPr>
                <w:b w:val="0"/>
                <w:i w:val="0"/>
                <w:sz w:val="14"/>
              </w:rPr>
              <w:t>RNF6 — actualidad del dato en el tablero</w:t>
            </w:r>
          </w:p>
        </w:tc>
        <w:tc>
          <w:tcPr>
            <w:tcW w:type="dxa" w:w="1587"/>
          </w:tcPr>
          <w:p>
            <w:pPr>
              <w:spacing w:after="40" w:before="40"/>
              <w:jc w:val="left"/>
            </w:pPr>
            <w:r>
              <w:rPr>
                <w:b w:val="0"/>
                <w:i w:val="0"/>
                <w:sz w:val="14"/>
              </w:rPr>
              <w:t>§4.2.5, §4.7</w:t>
            </w:r>
          </w:p>
        </w:tc>
        <w:tc>
          <w:tcPr>
            <w:tcW w:type="dxa" w:w="3345"/>
          </w:tcPr>
          <w:p>
            <w:pPr>
              <w:spacing w:after="40" w:before="40"/>
              <w:jc w:val="left"/>
            </w:pPr>
            <w:r>
              <w:rPr>
                <w:b w:val="0"/>
                <w:i w:val="0"/>
                <w:sz w:val="14"/>
              </w:rPr>
              <w:t>20 altas consecutivas midiendo la latencia hasta el repintado (E7).</w:t>
            </w:r>
          </w:p>
        </w:tc>
        <w:tc>
          <w:tcPr>
            <w:tcW w:type="dxa" w:w="1247"/>
          </w:tcPr>
          <w:p>
            <w:pPr>
              <w:spacing w:after="40" w:before="40"/>
              <w:jc w:val="left"/>
            </w:pPr>
            <w:r>
              <w:rPr>
                <w:b w:val="0"/>
                <w:i w:val="0"/>
                <w:sz w:val="14"/>
              </w:rPr>
              <w:t>NO verificado. La medición de latencia (scripts/medir-realtime.mjs) no recibe ningún evento porque leads no está en la publicación supabase_realtime de la instancia. Hasta habilitar Realtime para esa tabla, el umbral de 3 s no puede comprobarse.</w:t>
            </w:r>
          </w:p>
        </w:tc>
      </w:tr>
      <w:tr>
        <w:tc>
          <w:tcPr>
            <w:tcW w:type="dxa" w:w="2608"/>
          </w:tcPr>
          <w:p>
            <w:pPr>
              <w:spacing w:after="40" w:before="40"/>
              <w:jc w:val="left"/>
            </w:pPr>
            <w:r>
              <w:rPr>
                <w:b w:val="0"/>
                <w:i w:val="0"/>
                <w:sz w:val="14"/>
              </w:rPr>
              <w:t>RNF7 — puesta en marcha reproducible</w:t>
            </w:r>
          </w:p>
        </w:tc>
        <w:tc>
          <w:tcPr>
            <w:tcW w:type="dxa" w:w="1587"/>
          </w:tcPr>
          <w:p>
            <w:pPr>
              <w:spacing w:after="40" w:before="40"/>
              <w:jc w:val="left"/>
            </w:pPr>
            <w:r>
              <w:rPr>
                <w:b w:val="0"/>
                <w:i w:val="0"/>
                <w:sz w:val="14"/>
              </w:rPr>
              <w:t>§4.1, Anexo G</w:t>
            </w:r>
          </w:p>
        </w:tc>
        <w:tc>
          <w:tcPr>
            <w:tcW w:type="dxa" w:w="3345"/>
          </w:tcPr>
          <w:p>
            <w:pPr>
              <w:spacing w:after="40" w:before="40"/>
              <w:jc w:val="left"/>
            </w:pPr>
            <w:r>
              <w:rPr>
                <w:b w:val="0"/>
                <w:i w:val="0"/>
                <w:sz w:val="14"/>
              </w:rPr>
              <w:t xml:space="preserve">Levantar el entorno desde cero con </w:t>
            </w:r>
            <w:r>
              <w:rPr>
                <w:b w:val="0"/>
                <w:i w:val="0"/>
                <w:sz w:val="14"/>
                <w:rFonts w:ascii="Consolas" w:hAnsi="Consolas" w:cs="Consolas"/>
              </w:rPr>
              <w:t>docker compose up -d</w:t>
            </w:r>
            <w:r>
              <w:rPr>
                <w:b w:val="0"/>
                <w:i w:val="0"/>
                <w:sz w:val="14"/>
              </w:rPr>
              <w:t>.</w:t>
            </w:r>
          </w:p>
        </w:tc>
        <w:tc>
          <w:tcPr>
            <w:tcW w:type="dxa" w:w="1247"/>
          </w:tcPr>
          <w:p>
            <w:pPr>
              <w:spacing w:after="40" w:before="40"/>
              <w:jc w:val="left"/>
            </w:pPr>
            <w:r>
              <w:rPr>
                <w:b w:val="0"/>
                <w:i w:val="0"/>
                <w:sz w:val="14"/>
              </w:rPr>
              <w:t>Verificado: el entorno de orquestación y el conversor de documentos se levantan con docker compose up -d y los webhooks quedan operativos sin editar archivos versionados.</w:t>
            </w:r>
          </w:p>
        </w:tc>
      </w:tr>
    </w:tbl>
    <w:p>
      <w:pPr/>
      <w:r>
        <w:rPr>
          <w:b w:val="0"/>
          <w:i/>
          <w:sz w:val="15"/>
        </w:rPr>
        <w:t>Nota. Elaboración propia.</w:t>
      </w:r>
    </w:p>
    <w:p w:rsidR="00D60FC7" w:rsidRDefault="00D60FC7"/>
    <w:p>
      <w:r>
        <w:br w:type="page"/>
      </w:r>
    </w:p>
    <w:p>
      <w:pPr>
        <w:pStyle w:val="Ttulo2"/>
      </w:pPr>
      <w:r>
        <w:rPr>
          <w:b w:val="0"/>
          <w:i w:val="0"/>
        </w:rPr>
        <w:t>Anexo F. Esquema de la base de datos (DDL)</w:t>
      </w:r>
    </w:p>
    <w:p>
      <w:pPr/>
      <w:r>
        <w:rPr>
          <w:b w:val="0"/>
          <w:i w:val="0"/>
        </w:rPr>
        <w:t xml:space="preserve">Se reproduce el archivo </w:t>
      </w:r>
      <w:r>
        <w:rPr>
          <w:rFonts w:ascii="Consolas" w:hAnsi="Consolas" w:cs="Consolas"/>
          <w:b w:val="0"/>
          <w:i w:val="0"/>
        </w:rPr>
        <w:t>db/schema.sql</w:t>
      </w:r>
      <w:r>
        <w:rPr>
          <w:b w:val="0"/>
          <w:i w:val="0"/>
        </w:rPr>
        <w:t xml:space="preserve"> del repositorio declarado en §4.1, que es la fuente de verdad del modelo de datos descrito en §4.4 y representado en la Figura 2. El fragmento correspondiente a la seguridad a nivel de fila se reproduce por separado en el Anexo C. El archivo es idempotente: puede ejecutarse varias veces sobre la misma base sin efectos colaterales.</w:t>
      </w:r>
    </w:p>
    <w:p>
      <w:pPr>
        <w:spacing w:after="0" w:before="0"/>
        <w:ind w:left="283"/>
        <w:jc w:val="left"/>
      </w:pPr>
      <w:r>
        <w:rPr>
          <w:rFonts w:ascii="Consolas" w:hAnsi="Consolas"/>
          <w:sz w:val="14"/>
          <w:rFonts w:ascii="Consolas" w:hAnsi="Consolas" w:cs="Consolas"/>
        </w:rPr>
        <w:t>CREATE EXTENSION IF NOT EXISTS pgcrypto;</w:t>
      </w:r>
    </w:p>
    <w:p>
      <w:pPr>
        <w:spacing w:after="0" w:before="0"/>
        <w:ind w:left="283"/>
        <w:jc w:val="left"/>
      </w:pPr>
      <w:r>
        <w:rPr>
          <w:rFonts w:ascii="Consolas" w:hAnsi="Consolas"/>
          <w:sz w:val="14"/>
          <w:rFonts w:ascii="Consolas" w:hAnsi="Consolas" w:cs="Consolas"/>
        </w:rPr>
        <w:t xml:space="preserve"> </w:t>
      </w:r>
    </w:p>
    <w:p>
      <w:pPr>
        <w:spacing w:after="0" w:before="0"/>
        <w:ind w:left="283"/>
        <w:jc w:val="left"/>
      </w:pPr>
      <w:r>
        <w:rPr>
          <w:rFonts w:ascii="Consolas" w:hAnsi="Consolas"/>
          <w:sz w:val="14"/>
          <w:rFonts w:ascii="Consolas" w:hAnsi="Consolas" w:cs="Consolas"/>
        </w:rPr>
        <w:t>-- ------------------------------------------------------------------</w:t>
      </w:r>
    </w:p>
    <w:p>
      <w:pPr>
        <w:spacing w:after="0" w:before="0"/>
        <w:ind w:left="283"/>
        <w:jc w:val="left"/>
      </w:pPr>
      <w:r>
        <w:rPr>
          <w:rFonts w:ascii="Consolas" w:hAnsi="Consolas"/>
          <w:sz w:val="14"/>
          <w:rFonts w:ascii="Consolas" w:hAnsi="Consolas" w:cs="Consolas"/>
        </w:rPr>
        <w:t>-- Tipos enumerados</w:t>
      </w:r>
    </w:p>
    <w:p>
      <w:pPr>
        <w:spacing w:after="0" w:before="0"/>
        <w:ind w:left="283"/>
        <w:jc w:val="left"/>
      </w:pPr>
      <w:r>
        <w:rPr>
          <w:rFonts w:ascii="Consolas" w:hAnsi="Consolas"/>
          <w:sz w:val="14"/>
          <w:rFonts w:ascii="Consolas" w:hAnsi="Consolas" w:cs="Consolas"/>
        </w:rPr>
        <w:t>-- ------------------------------------------------------------------</w:t>
      </w:r>
    </w:p>
    <w:p>
      <w:pPr>
        <w:spacing w:after="0" w:before="0"/>
        <w:ind w:left="283"/>
        <w:jc w:val="left"/>
      </w:pPr>
      <w:r>
        <w:rPr>
          <w:rFonts w:ascii="Consolas" w:hAnsi="Consolas"/>
          <w:sz w:val="14"/>
          <w:rFonts w:ascii="Consolas" w:hAnsi="Consolas" w:cs="Consolas"/>
        </w:rPr>
        <w:t>CREATE TYPE urgencia_tipo  AS ENUM ('alta','media','baja');</w:t>
      </w:r>
    </w:p>
    <w:p>
      <w:pPr>
        <w:spacing w:after="0" w:before="0"/>
        <w:ind w:left="283"/>
        <w:jc w:val="left"/>
      </w:pPr>
      <w:r>
        <w:rPr>
          <w:rFonts w:ascii="Consolas" w:hAnsi="Consolas"/>
          <w:sz w:val="14"/>
          <w:rFonts w:ascii="Consolas" w:hAnsi="Consolas" w:cs="Consolas"/>
        </w:rPr>
        <w:t>CREATE TYPE servicio_tipo  AS ENUM ('desarrollo_web','ecommerce','app_movil','automatizacion',</w:t>
      </w:r>
    </w:p>
    <w:p>
      <w:pPr>
        <w:spacing w:after="0" w:before="0"/>
        <w:ind w:left="283"/>
        <w:jc w:val="left"/>
      </w:pPr>
      <w:r>
        <w:rPr>
          <w:rFonts w:ascii="Consolas" w:hAnsi="Consolas"/>
          <w:sz w:val="14"/>
          <w:rFonts w:ascii="Consolas" w:hAnsi="Consolas" w:cs="Consolas"/>
        </w:rPr>
        <w:t xml:space="preserve">                                    'diseno_ui','consultoria','soporte','marketing','seo');</w:t>
      </w:r>
    </w:p>
    <w:p>
      <w:pPr>
        <w:spacing w:after="0" w:before="0"/>
        <w:ind w:left="283"/>
        <w:jc w:val="left"/>
      </w:pPr>
      <w:r>
        <w:rPr>
          <w:rFonts w:ascii="Consolas" w:hAnsi="Consolas"/>
          <w:sz w:val="14"/>
          <w:rFonts w:ascii="Consolas" w:hAnsi="Consolas" w:cs="Consolas"/>
        </w:rPr>
        <w:t>CREATE TYPE tier_tipo      AS ENUM ('HOT','WARM','COLD');</w:t>
      </w:r>
    </w:p>
    <w:p>
      <w:pPr>
        <w:spacing w:after="0" w:before="0"/>
        <w:ind w:left="283"/>
        <w:jc w:val="left"/>
      </w:pPr>
      <w:r>
        <w:rPr>
          <w:rFonts w:ascii="Consolas" w:hAnsi="Consolas"/>
          <w:sz w:val="14"/>
          <w:rFonts w:ascii="Consolas" w:hAnsi="Consolas" w:cs="Consolas"/>
        </w:rPr>
        <w:t>CREATE TYPE lead_estado    AS ENUM ('NUEVO','PROPUESTA_ENVIADA','EN_SEGUIMIENTO','ACEPTADO',</w:t>
      </w:r>
    </w:p>
    <w:p>
      <w:pPr>
        <w:spacing w:after="0" w:before="0"/>
        <w:ind w:left="283"/>
        <w:jc w:val="left"/>
      </w:pPr>
      <w:r>
        <w:rPr>
          <w:rFonts w:ascii="Consolas" w:hAnsi="Consolas"/>
          <w:sz w:val="14"/>
          <w:rFonts w:ascii="Consolas" w:hAnsi="Consolas" w:cs="Consolas"/>
        </w:rPr>
        <w:t xml:space="preserve">                                    'FACTURADO','CERRADO','PERDIDO');</w:t>
      </w:r>
    </w:p>
    <w:p>
      <w:pPr>
        <w:spacing w:after="0" w:before="0"/>
        <w:ind w:left="283"/>
        <w:jc w:val="left"/>
      </w:pPr>
      <w:r>
        <w:rPr>
          <w:rFonts w:ascii="Consolas" w:hAnsi="Consolas"/>
          <w:sz w:val="14"/>
          <w:rFonts w:ascii="Consolas" w:hAnsi="Consolas" w:cs="Consolas"/>
        </w:rPr>
        <w:t>CREATE TYPE trabajo_estado AS ENUM ('PENDIENTE','EN_PROGRESO','EN_REVISION','ENTREGADO');</w:t>
      </w:r>
    </w:p>
    <w:p>
      <w:pPr>
        <w:spacing w:after="0" w:before="0"/>
        <w:ind w:left="283"/>
        <w:jc w:val="left"/>
      </w:pPr>
      <w:r>
        <w:rPr>
          <w:rFonts w:ascii="Consolas" w:hAnsi="Consolas"/>
          <w:sz w:val="14"/>
          <w:rFonts w:ascii="Consolas" w:hAnsi="Consolas" w:cs="Consolas"/>
        </w:rPr>
        <w:t>CREATE TYPE pago_estado    AS ENUM ('PENDIENTE','COBRADO','VENCIDA','ANULADA');</w:t>
      </w:r>
    </w:p>
    <w:p>
      <w:pPr>
        <w:spacing w:after="0" w:before="0"/>
        <w:ind w:left="283"/>
        <w:jc w:val="left"/>
      </w:pPr>
      <w:r>
        <w:rPr>
          <w:rFonts w:ascii="Consolas" w:hAnsi="Consolas"/>
          <w:sz w:val="14"/>
          <w:rFonts w:ascii="Consolas" w:hAnsi="Consolas" w:cs="Consolas"/>
        </w:rPr>
        <w:t>CREATE TYPE log_nivel      AS ENUM ('INFO','RECORDATORIO','HOY','VENCIDA','URGENTE','WARN','ERROR');</w:t>
      </w:r>
    </w:p>
    <w:p>
      <w:pPr>
        <w:spacing w:after="0" w:before="0"/>
        <w:ind w:left="283"/>
        <w:jc w:val="left"/>
      </w:pPr>
      <w:r>
        <w:rPr>
          <w:rFonts w:ascii="Consolas" w:hAnsi="Consolas"/>
          <w:sz w:val="14"/>
          <w:rFonts w:ascii="Consolas" w:hAnsi="Consolas" w:cs="Consolas"/>
        </w:rPr>
        <w:t xml:space="preserve"> </w:t>
      </w:r>
    </w:p>
    <w:p>
      <w:pPr>
        <w:spacing w:after="0" w:before="0"/>
        <w:ind w:left="283"/>
        <w:jc w:val="left"/>
      </w:pPr>
      <w:r>
        <w:rPr>
          <w:rFonts w:ascii="Consolas" w:hAnsi="Consolas"/>
          <w:sz w:val="14"/>
          <w:rFonts w:ascii="Consolas" w:hAnsi="Consolas" w:cs="Consolas"/>
        </w:rPr>
        <w:t>-- ------------------------------------------------------------------</w:t>
      </w:r>
    </w:p>
    <w:p>
      <w:pPr>
        <w:spacing w:after="0" w:before="0"/>
        <w:ind w:left="283"/>
        <w:jc w:val="left"/>
      </w:pPr>
      <w:r>
        <w:rPr>
          <w:rFonts w:ascii="Consolas" w:hAnsi="Consolas"/>
          <w:sz w:val="14"/>
          <w:rFonts w:ascii="Consolas" w:hAnsi="Consolas" w:cs="Consolas"/>
        </w:rPr>
        <w:t>-- Tablas</w:t>
      </w:r>
    </w:p>
    <w:p>
      <w:pPr>
        <w:spacing w:after="0" w:before="0"/>
        <w:ind w:left="283"/>
        <w:jc w:val="left"/>
      </w:pPr>
      <w:r>
        <w:rPr>
          <w:rFonts w:ascii="Consolas" w:hAnsi="Consolas"/>
          <w:sz w:val="14"/>
          <w:rFonts w:ascii="Consolas" w:hAnsi="Consolas" w:cs="Consolas"/>
        </w:rPr>
        <w:t>-- ------------------------------------------------------------------</w:t>
      </w:r>
    </w:p>
    <w:p>
      <w:pPr>
        <w:spacing w:after="0" w:before="0"/>
        <w:ind w:left="283"/>
        <w:jc w:val="left"/>
      </w:pPr>
      <w:r>
        <w:rPr>
          <w:rFonts w:ascii="Consolas" w:hAnsi="Consolas"/>
          <w:sz w:val="14"/>
          <w:rFonts w:ascii="Consolas" w:hAnsi="Consolas" w:cs="Consolas"/>
        </w:rPr>
        <w:t>CREATE TABLE IF NOT EXISTS leads (</w:t>
      </w:r>
    </w:p>
    <w:p>
      <w:pPr>
        <w:spacing w:after="0" w:before="0"/>
        <w:ind w:left="283"/>
        <w:jc w:val="left"/>
      </w:pPr>
      <w:r>
        <w:rPr>
          <w:rFonts w:ascii="Consolas" w:hAnsi="Consolas"/>
          <w:sz w:val="14"/>
          <w:rFonts w:ascii="Consolas" w:hAnsi="Consolas" w:cs="Consolas"/>
        </w:rPr>
        <w:t xml:space="preserve">  id                        BIGINT GENERATED ALWAYS AS IDENTITY PRIMARY KEY,</w:t>
      </w:r>
    </w:p>
    <w:p>
      <w:pPr>
        <w:spacing w:after="0" w:before="0"/>
        <w:ind w:left="283"/>
        <w:jc w:val="left"/>
      </w:pPr>
      <w:r>
        <w:rPr>
          <w:rFonts w:ascii="Consolas" w:hAnsi="Consolas"/>
          <w:sz w:val="14"/>
          <w:rFonts w:ascii="Consolas" w:hAnsi="Consolas" w:cs="Consolas"/>
        </w:rPr>
        <w:t xml:space="preserve">  lead_id                   TEXT UNIQUE NOT NULL,</w:t>
      </w:r>
    </w:p>
    <w:p>
      <w:pPr>
        <w:spacing w:after="0" w:before="0"/>
        <w:ind w:left="283"/>
        <w:jc w:val="left"/>
      </w:pPr>
      <w:r>
        <w:rPr>
          <w:rFonts w:ascii="Consolas" w:hAnsi="Consolas"/>
          <w:sz w:val="14"/>
          <w:rFonts w:ascii="Consolas" w:hAnsi="Consolas" w:cs="Consolas"/>
        </w:rPr>
        <w:t xml:space="preserve">  nombre                    TEXT NOT NULL,</w:t>
      </w:r>
    </w:p>
    <w:p>
      <w:pPr>
        <w:spacing w:after="0" w:before="0"/>
        <w:ind w:left="283"/>
        <w:jc w:val="left"/>
      </w:pPr>
      <w:r>
        <w:rPr>
          <w:rFonts w:ascii="Consolas" w:hAnsi="Consolas"/>
          <w:sz w:val="14"/>
          <w:rFonts w:ascii="Consolas" w:hAnsi="Consolas" w:cs="Consolas"/>
        </w:rPr>
        <w:t xml:space="preserve">  email                     TEXT NOT NULL CHECK (position('@' in email) &gt; 1),</w:t>
      </w:r>
    </w:p>
    <w:p>
      <w:pPr>
        <w:spacing w:after="0" w:before="0"/>
        <w:ind w:left="283"/>
        <w:jc w:val="left"/>
      </w:pPr>
      <w:r>
        <w:rPr>
          <w:rFonts w:ascii="Consolas" w:hAnsi="Consolas"/>
          <w:sz w:val="14"/>
          <w:rFonts w:ascii="Consolas" w:hAnsi="Consolas" w:cs="Consolas"/>
        </w:rPr>
        <w:t xml:space="preserve">  telefono                  TEXT,</w:t>
      </w:r>
    </w:p>
    <w:p>
      <w:pPr>
        <w:spacing w:after="0" w:before="0"/>
        <w:ind w:left="283"/>
        <w:jc w:val="left"/>
      </w:pPr>
      <w:r>
        <w:rPr>
          <w:rFonts w:ascii="Consolas" w:hAnsi="Consolas"/>
          <w:sz w:val="14"/>
          <w:rFonts w:ascii="Consolas" w:hAnsi="Consolas" w:cs="Consolas"/>
        </w:rPr>
        <w:t xml:space="preserve">  presupuesto               NUMERIC(12,2) NOT NULL DEFAULT 0 CHECK (presupuesto &gt;= 0),</w:t>
      </w:r>
    </w:p>
    <w:p>
      <w:pPr>
        <w:spacing w:after="0" w:before="0"/>
        <w:ind w:left="283"/>
        <w:jc w:val="left"/>
      </w:pPr>
      <w:r>
        <w:rPr>
          <w:rFonts w:ascii="Consolas" w:hAnsi="Consolas"/>
          <w:sz w:val="14"/>
          <w:rFonts w:ascii="Consolas" w:hAnsi="Consolas" w:cs="Consolas"/>
        </w:rPr>
        <w:t xml:space="preserve">  urgencia                  urgencia_tipo NOT NULL DEFAULT 'media',</w:t>
      </w:r>
    </w:p>
    <w:p>
      <w:pPr>
        <w:spacing w:after="0" w:before="0"/>
        <w:ind w:left="283"/>
        <w:jc w:val="left"/>
      </w:pPr>
      <w:r>
        <w:rPr>
          <w:rFonts w:ascii="Consolas" w:hAnsi="Consolas"/>
          <w:sz w:val="14"/>
          <w:rFonts w:ascii="Consolas" w:hAnsi="Consolas" w:cs="Consolas"/>
        </w:rPr>
        <w:t xml:space="preserve">  servicio                  servicio_tipo NOT NULL DEFAULT 'desarrollo_web',</w:t>
      </w:r>
    </w:p>
    <w:p>
      <w:pPr>
        <w:spacing w:after="0" w:before="0"/>
        <w:ind w:left="283"/>
        <w:jc w:val="left"/>
      </w:pPr>
      <w:r>
        <w:rPr>
          <w:rFonts w:ascii="Consolas" w:hAnsi="Consolas"/>
          <w:sz w:val="14"/>
          <w:rFonts w:ascii="Consolas" w:hAnsi="Consolas" w:cs="Consolas"/>
        </w:rPr>
        <w:t xml:space="preserve">  descripcion               TEXT,</w:t>
      </w:r>
    </w:p>
    <w:p>
      <w:pPr>
        <w:spacing w:after="0" w:before="0"/>
        <w:ind w:left="283"/>
        <w:jc w:val="left"/>
      </w:pPr>
      <w:r>
        <w:rPr>
          <w:rFonts w:ascii="Consolas" w:hAnsi="Consolas"/>
          <w:sz w:val="14"/>
          <w:rFonts w:ascii="Consolas" w:hAnsi="Consolas" w:cs="Consolas"/>
        </w:rPr>
        <w:t xml:space="preserve">  fuente                    TEXT DEFAULT 'webhook',</w:t>
      </w:r>
    </w:p>
    <w:p>
      <w:pPr>
        <w:spacing w:after="0" w:before="0"/>
        <w:ind w:left="283"/>
        <w:jc w:val="left"/>
      </w:pPr>
      <w:r>
        <w:rPr>
          <w:rFonts w:ascii="Consolas" w:hAnsi="Consolas"/>
          <w:sz w:val="14"/>
          <w:rFonts w:ascii="Consolas" w:hAnsi="Consolas" w:cs="Consolas"/>
        </w:rPr>
        <w:t xml:space="preserve">  estado                    lead_estado NOT NULL DEFAULT 'NUEVO',</w:t>
      </w:r>
    </w:p>
    <w:p>
      <w:pPr>
        <w:spacing w:after="0" w:before="0"/>
        <w:ind w:left="283"/>
        <w:jc w:val="left"/>
      </w:pPr>
      <w:r>
        <w:rPr>
          <w:rFonts w:ascii="Consolas" w:hAnsi="Consolas"/>
          <w:sz w:val="14"/>
          <w:rFonts w:ascii="Consolas" w:hAnsi="Consolas" w:cs="Consolas"/>
        </w:rPr>
        <w:t xml:space="preserve">  estado_trabajo            trabajo_estado NOT NULL DEFAULT 'PENDIENTE',</w:t>
      </w:r>
    </w:p>
    <w:p>
      <w:pPr>
        <w:spacing w:after="0" w:before="0"/>
        <w:ind w:left="283"/>
        <w:jc w:val="left"/>
      </w:pPr>
      <w:r>
        <w:rPr>
          <w:rFonts w:ascii="Consolas" w:hAnsi="Consolas"/>
          <w:sz w:val="14"/>
          <w:rFonts w:ascii="Consolas" w:hAnsi="Consolas" w:cs="Consolas"/>
        </w:rPr>
        <w:t xml:space="preserve">  score                     INT NOT NULL DEFAULT 0,</w:t>
      </w:r>
    </w:p>
    <w:p>
      <w:pPr>
        <w:spacing w:after="0" w:before="0"/>
        <w:ind w:left="283"/>
        <w:jc w:val="left"/>
      </w:pPr>
      <w:r>
        <w:rPr>
          <w:rFonts w:ascii="Consolas" w:hAnsi="Consolas"/>
          <w:sz w:val="14"/>
          <w:rFonts w:ascii="Consolas" w:hAnsi="Consolas" w:cs="Consolas"/>
        </w:rPr>
        <w:t xml:space="preserve">  tier                      tier_tipo,</w:t>
      </w:r>
    </w:p>
    <w:p>
      <w:pPr>
        <w:spacing w:after="0" w:before="0"/>
        <w:ind w:left="283"/>
        <w:jc w:val="left"/>
      </w:pPr>
      <w:r>
        <w:rPr>
          <w:rFonts w:ascii="Consolas" w:hAnsi="Consolas"/>
          <w:sz w:val="14"/>
          <w:rFonts w:ascii="Consolas" w:hAnsi="Consolas" w:cs="Consolas"/>
        </w:rPr>
        <w:t xml:space="preserve">  seguimientos              INT NOT NULL DEFAULT 0,</w:t>
      </w:r>
    </w:p>
    <w:p>
      <w:pPr>
        <w:spacing w:after="0" w:before="0"/>
        <w:ind w:left="283"/>
        <w:jc w:val="left"/>
      </w:pPr>
      <w:r>
        <w:rPr>
          <w:rFonts w:ascii="Consolas" w:hAnsi="Consolas"/>
          <w:sz w:val="14"/>
          <w:rFonts w:ascii="Consolas" w:hAnsi="Consolas" w:cs="Consolas"/>
        </w:rPr>
        <w:t xml:space="preserve">  operador_asignado         TEXT,</w:t>
      </w:r>
    </w:p>
    <w:p>
      <w:pPr>
        <w:spacing w:after="0" w:before="0"/>
        <w:ind w:left="283"/>
        <w:jc w:val="left"/>
      </w:pPr>
      <w:r>
        <w:rPr>
          <w:rFonts w:ascii="Consolas" w:hAnsi="Consolas"/>
          <w:sz w:val="14"/>
          <w:rFonts w:ascii="Consolas" w:hAnsi="Consolas" w:cs="Consolas"/>
        </w:rPr>
        <w:t xml:space="preserve">  notas                     TEXT,</w:t>
      </w:r>
    </w:p>
    <w:p>
      <w:pPr>
        <w:spacing w:after="0" w:before="0"/>
        <w:ind w:left="283"/>
        <w:jc w:val="left"/>
      </w:pPr>
      <w:r>
        <w:rPr>
          <w:rFonts w:ascii="Consolas" w:hAnsi="Consolas"/>
          <w:sz w:val="14"/>
          <w:rFonts w:ascii="Consolas" w:hAnsi="Consolas" w:cs="Consolas"/>
        </w:rPr>
        <w:t xml:space="preserve">  card_id                   TEXT,</w:t>
      </w:r>
    </w:p>
    <w:p>
      <w:pPr>
        <w:spacing w:after="0" w:before="0"/>
        <w:ind w:left="283"/>
        <w:jc w:val="left"/>
      </w:pPr>
      <w:r>
        <w:rPr>
          <w:rFonts w:ascii="Consolas" w:hAnsi="Consolas"/>
          <w:sz w:val="14"/>
          <w:rFonts w:ascii="Consolas" w:hAnsi="Consolas" w:cs="Consolas"/>
        </w:rPr>
        <w:t xml:space="preserve">  accept_token              UUID NOT NULL DEFAULT gen_random_uuid(),</w:t>
      </w:r>
    </w:p>
    <w:p>
      <w:pPr>
        <w:spacing w:after="0" w:before="0"/>
        <w:ind w:left="283"/>
        <w:jc w:val="left"/>
      </w:pPr>
      <w:r>
        <w:rPr>
          <w:rFonts w:ascii="Consolas" w:hAnsi="Consolas"/>
          <w:sz w:val="14"/>
          <w:rFonts w:ascii="Consolas" w:hAnsi="Consolas" w:cs="Consolas"/>
        </w:rPr>
        <w:t xml:space="preserve">  fecha_ingreso             TIMESTAMPTZ NOT NULL DEFAULT now(),</w:t>
      </w:r>
    </w:p>
    <w:p>
      <w:pPr>
        <w:spacing w:after="0" w:before="0"/>
        <w:ind w:left="283"/>
        <w:jc w:val="left"/>
      </w:pPr>
      <w:r>
        <w:rPr>
          <w:rFonts w:ascii="Consolas" w:hAnsi="Consolas"/>
          <w:sz w:val="14"/>
          <w:rFonts w:ascii="Consolas" w:hAnsi="Consolas" w:cs="Consolas"/>
        </w:rPr>
        <w:t xml:space="preserve">  fecha_propuesta           TIMESTAMPTZ,</w:t>
      </w:r>
    </w:p>
    <w:p>
      <w:pPr>
        <w:spacing w:after="0" w:before="0"/>
        <w:ind w:left="283"/>
        <w:jc w:val="left"/>
      </w:pPr>
      <w:r>
        <w:rPr>
          <w:rFonts w:ascii="Consolas" w:hAnsi="Consolas"/>
          <w:sz w:val="14"/>
          <w:rFonts w:ascii="Consolas" w:hAnsi="Consolas" w:cs="Consolas"/>
        </w:rPr>
        <w:t xml:space="preserve">  fecha_ultimo_seguimiento  TIMESTAMPTZ,</w:t>
      </w:r>
    </w:p>
    <w:p>
      <w:pPr>
        <w:spacing w:after="0" w:before="0"/>
        <w:ind w:left="283"/>
        <w:jc w:val="left"/>
      </w:pPr>
      <w:r>
        <w:rPr>
          <w:rFonts w:ascii="Consolas" w:hAnsi="Consolas"/>
          <w:sz w:val="14"/>
          <w:rFonts w:ascii="Consolas" w:hAnsi="Consolas" w:cs="Consolas"/>
        </w:rPr>
        <w:t xml:space="preserve">  fecha_aceptacion          TIMESTAMPTZ,</w:t>
      </w:r>
    </w:p>
    <w:p>
      <w:pPr>
        <w:spacing w:after="0" w:before="0"/>
        <w:ind w:left="283"/>
        <w:jc w:val="left"/>
      </w:pPr>
      <w:r>
        <w:rPr>
          <w:rFonts w:ascii="Consolas" w:hAnsi="Consolas"/>
          <w:sz w:val="14"/>
          <w:rFonts w:ascii="Consolas" w:hAnsi="Consolas" w:cs="Consolas"/>
        </w:rPr>
        <w:t xml:space="preserve">  fecha_cierre              TIMESTAMPTZ,</w:t>
      </w:r>
    </w:p>
    <w:p>
      <w:pPr>
        <w:spacing w:after="0" w:before="0"/>
        <w:ind w:left="283"/>
        <w:jc w:val="left"/>
      </w:pPr>
      <w:r>
        <w:rPr>
          <w:rFonts w:ascii="Consolas" w:hAnsi="Consolas"/>
          <w:sz w:val="14"/>
          <w:rFonts w:ascii="Consolas" w:hAnsi="Consolas" w:cs="Consolas"/>
        </w:rPr>
        <w:t xml:space="preserve">  dias_ciclo_completo       INT,</w:t>
      </w:r>
    </w:p>
    <w:p>
      <w:pPr>
        <w:spacing w:after="0" w:before="0"/>
        <w:ind w:left="283"/>
        <w:jc w:val="left"/>
      </w:pPr>
      <w:r>
        <w:rPr>
          <w:rFonts w:ascii="Consolas" w:hAnsi="Consolas"/>
          <w:sz w:val="14"/>
          <w:rFonts w:ascii="Consolas" w:hAnsi="Consolas" w:cs="Consolas"/>
        </w:rPr>
        <w:t xml:space="preserve">  creado_en                 TIMESTAMPTZ NOT NULL DEFAULT now(),</w:t>
      </w:r>
    </w:p>
    <w:p>
      <w:pPr>
        <w:spacing w:after="0" w:before="0"/>
        <w:ind w:left="283"/>
        <w:jc w:val="left"/>
      </w:pPr>
      <w:r>
        <w:rPr>
          <w:rFonts w:ascii="Consolas" w:hAnsi="Consolas"/>
          <w:sz w:val="14"/>
          <w:rFonts w:ascii="Consolas" w:hAnsi="Consolas" w:cs="Consolas"/>
        </w:rPr>
        <w:t xml:space="preserve">  actualizado_en            TIMESTAMPTZ NOT NULL DEFAULT now()</w:t>
      </w:r>
    </w:p>
    <w:p>
      <w:pPr>
        <w:spacing w:after="0" w:before="0"/>
        <w:ind w:left="283"/>
        <w:jc w:val="left"/>
      </w:pPr>
      <w:r>
        <w:rPr>
          <w:rFonts w:ascii="Consolas" w:hAnsi="Consolas"/>
          <w:sz w:val="14"/>
          <w:rFonts w:ascii="Consolas" w:hAnsi="Consolas" w:cs="Consolas"/>
        </w:rPr>
        <w:t>);</w:t>
      </w:r>
    </w:p>
    <w:p>
      <w:pPr>
        <w:spacing w:after="0" w:before="0"/>
        <w:ind w:left="283"/>
        <w:jc w:val="left"/>
      </w:pPr>
      <w:r>
        <w:rPr>
          <w:rFonts w:ascii="Consolas" w:hAnsi="Consolas"/>
          <w:sz w:val="14"/>
          <w:rFonts w:ascii="Consolas" w:hAnsi="Consolas" w:cs="Consolas"/>
        </w:rPr>
        <w:t xml:space="preserve"> </w:t>
      </w:r>
    </w:p>
    <w:p>
      <w:pPr>
        <w:spacing w:after="0" w:before="0"/>
        <w:ind w:left="283"/>
        <w:jc w:val="left"/>
      </w:pPr>
      <w:r>
        <w:rPr>
          <w:rFonts w:ascii="Consolas" w:hAnsi="Consolas"/>
          <w:sz w:val="14"/>
          <w:rFonts w:ascii="Consolas" w:hAnsi="Consolas" w:cs="Consolas"/>
        </w:rPr>
        <w:t>CREATE TABLE IF NOT EXISTS facturas (</w:t>
      </w:r>
    </w:p>
    <w:p>
      <w:pPr>
        <w:spacing w:after="0" w:before="0"/>
        <w:ind w:left="283"/>
        <w:jc w:val="left"/>
      </w:pPr>
      <w:r>
        <w:rPr>
          <w:rFonts w:ascii="Consolas" w:hAnsi="Consolas"/>
          <w:sz w:val="14"/>
          <w:rFonts w:ascii="Consolas" w:hAnsi="Consolas" w:cs="Consolas"/>
        </w:rPr>
        <w:t xml:space="preserve">  id                     BIGINT GENERATED ALWAYS AS IDENTITY PRIMARY KEY,</w:t>
      </w:r>
    </w:p>
    <w:p>
      <w:pPr>
        <w:spacing w:after="0" w:before="0"/>
        <w:ind w:left="283"/>
        <w:jc w:val="left"/>
      </w:pPr>
      <w:r>
        <w:rPr>
          <w:rFonts w:ascii="Consolas" w:hAnsi="Consolas"/>
          <w:sz w:val="14"/>
          <w:rFonts w:ascii="Consolas" w:hAnsi="Consolas" w:cs="Consolas"/>
        </w:rPr>
        <w:t xml:space="preserve">  factura_id             TEXT UNIQUE NOT NULL,</w:t>
      </w:r>
    </w:p>
    <w:p>
      <w:pPr>
        <w:spacing w:after="0" w:before="0"/>
        <w:ind w:left="283"/>
        <w:jc w:val="left"/>
      </w:pPr>
      <w:r>
        <w:rPr>
          <w:rFonts w:ascii="Consolas" w:hAnsi="Consolas"/>
          <w:sz w:val="14"/>
          <w:rFonts w:ascii="Consolas" w:hAnsi="Consolas" w:cs="Consolas"/>
        </w:rPr>
        <w:t xml:space="preserve">  lead_id                TEXT NOT NULL REFERENCES leads(lead_id) ON DELETE CASCADE,</w:t>
      </w:r>
    </w:p>
    <w:p>
      <w:pPr>
        <w:spacing w:after="0" w:before="0"/>
        <w:ind w:left="283"/>
        <w:jc w:val="left"/>
      </w:pPr>
      <w:r>
        <w:rPr>
          <w:rFonts w:ascii="Consolas" w:hAnsi="Consolas"/>
          <w:sz w:val="14"/>
          <w:rFonts w:ascii="Consolas" w:hAnsi="Consolas" w:cs="Consolas"/>
        </w:rPr>
        <w:t xml:space="preserve">  cliente                TEXT NOT NULL,</w:t>
      </w:r>
    </w:p>
    <w:p>
      <w:pPr>
        <w:spacing w:after="0" w:before="0"/>
        <w:ind w:left="283"/>
        <w:jc w:val="left"/>
      </w:pPr>
      <w:r>
        <w:rPr>
          <w:rFonts w:ascii="Consolas" w:hAnsi="Consolas"/>
          <w:sz w:val="14"/>
          <w:rFonts w:ascii="Consolas" w:hAnsi="Consolas" w:cs="Consolas"/>
        </w:rPr>
        <w:t xml:space="preserve">  email                  TEXT NOT NULL,</w:t>
      </w:r>
    </w:p>
    <w:p>
      <w:pPr>
        <w:spacing w:after="0" w:before="0"/>
        <w:ind w:left="283"/>
        <w:jc w:val="left"/>
      </w:pPr>
      <w:r>
        <w:rPr>
          <w:rFonts w:ascii="Consolas" w:hAnsi="Consolas"/>
          <w:sz w:val="14"/>
          <w:rFonts w:ascii="Consolas" w:hAnsi="Consolas" w:cs="Consolas"/>
        </w:rPr>
        <w:t xml:space="preserve">  servicio               servicio_tipo,</w:t>
      </w:r>
    </w:p>
    <w:p>
      <w:pPr>
        <w:spacing w:after="0" w:before="0"/>
        <w:ind w:left="283"/>
        <w:jc w:val="left"/>
      </w:pPr>
      <w:r>
        <w:rPr>
          <w:rFonts w:ascii="Consolas" w:hAnsi="Consolas"/>
          <w:sz w:val="14"/>
          <w:rFonts w:ascii="Consolas" w:hAnsi="Consolas" w:cs="Consolas"/>
        </w:rPr>
        <w:t xml:space="preserve">  monto                  NUMERIC(12,2) NOT NULL CHECK (monto &gt;= 0),</w:t>
      </w:r>
    </w:p>
    <w:p>
      <w:pPr>
        <w:spacing w:after="0" w:before="0"/>
        <w:ind w:left="283"/>
        <w:jc w:val="left"/>
      </w:pPr>
      <w:r>
        <w:rPr>
          <w:rFonts w:ascii="Consolas" w:hAnsi="Consolas"/>
          <w:sz w:val="14"/>
          <w:rFonts w:ascii="Consolas" w:hAnsi="Consolas" w:cs="Consolas"/>
        </w:rPr>
        <w:t xml:space="preserve">  moneda                 TEXT NOT NULL DEFAULT 'USD',</w:t>
      </w:r>
    </w:p>
    <w:p>
      <w:pPr>
        <w:spacing w:after="0" w:before="0"/>
        <w:ind w:left="283"/>
        <w:jc w:val="left"/>
      </w:pPr>
      <w:r>
        <w:rPr>
          <w:rFonts w:ascii="Consolas" w:hAnsi="Consolas"/>
          <w:sz w:val="14"/>
          <w:rFonts w:ascii="Consolas" w:hAnsi="Consolas" w:cs="Consolas"/>
        </w:rPr>
        <w:t xml:space="preserve">  estado_pago            pago_estado NOT NULL DEFAULT 'PENDIENTE',</w:t>
      </w:r>
    </w:p>
    <w:p>
      <w:pPr>
        <w:spacing w:after="0" w:before="0"/>
        <w:ind w:left="283"/>
        <w:jc w:val="left"/>
      </w:pPr>
      <w:r>
        <w:rPr>
          <w:rFonts w:ascii="Consolas" w:hAnsi="Consolas"/>
          <w:sz w:val="14"/>
          <w:rFonts w:ascii="Consolas" w:hAnsi="Consolas" w:cs="Consolas"/>
        </w:rPr>
        <w:t xml:space="preserve">  recordatorios_enviados INT NOT NULL DEFAULT 0,</w:t>
      </w:r>
    </w:p>
    <w:p>
      <w:pPr>
        <w:spacing w:after="0" w:before="0"/>
        <w:ind w:left="283"/>
        <w:jc w:val="left"/>
      </w:pPr>
      <w:r>
        <w:rPr>
          <w:rFonts w:ascii="Consolas" w:hAnsi="Consolas"/>
          <w:sz w:val="14"/>
          <w:rFonts w:ascii="Consolas" w:hAnsi="Consolas" w:cs="Consolas"/>
        </w:rPr>
        <w:t xml:space="preserve">  fecha_emision          TIMESTAMPTZ NOT NULL DEFAULT now(),</w:t>
      </w:r>
    </w:p>
    <w:p>
      <w:pPr>
        <w:spacing w:after="0" w:before="0"/>
        <w:ind w:left="283"/>
        <w:jc w:val="left"/>
      </w:pPr>
      <w:r>
        <w:rPr>
          <w:rFonts w:ascii="Consolas" w:hAnsi="Consolas"/>
          <w:sz w:val="14"/>
          <w:rFonts w:ascii="Consolas" w:hAnsi="Consolas" w:cs="Consolas"/>
        </w:rPr>
        <w:t xml:space="preserve">  fecha_vencimiento      TIMESTAMPTZ NOT NULL,</w:t>
      </w:r>
    </w:p>
    <w:p>
      <w:pPr>
        <w:spacing w:after="0" w:before="0"/>
        <w:ind w:left="283"/>
        <w:jc w:val="left"/>
      </w:pPr>
      <w:r>
        <w:rPr>
          <w:rFonts w:ascii="Consolas" w:hAnsi="Consolas"/>
          <w:sz w:val="14"/>
          <w:rFonts w:ascii="Consolas" w:hAnsi="Consolas" w:cs="Consolas"/>
        </w:rPr>
        <w:t xml:space="preserve">  fecha_cobro            TIMESTAMPTZ,</w:t>
      </w:r>
    </w:p>
    <w:p>
      <w:pPr>
        <w:spacing w:after="0" w:before="0"/>
        <w:ind w:left="283"/>
        <w:jc w:val="left"/>
      </w:pPr>
      <w:r>
        <w:rPr>
          <w:rFonts w:ascii="Consolas" w:hAnsi="Consolas"/>
          <w:sz w:val="14"/>
          <w:rFonts w:ascii="Consolas" w:hAnsi="Consolas" w:cs="Consolas"/>
        </w:rPr>
        <w:t xml:space="preserve">  creado_en              TIMESTAMPTZ NOT NULL DEFAULT now()</w:t>
      </w:r>
    </w:p>
    <w:p>
      <w:pPr>
        <w:spacing w:after="0" w:before="0"/>
        <w:ind w:left="283"/>
        <w:jc w:val="left"/>
      </w:pPr>
      <w:r>
        <w:rPr>
          <w:rFonts w:ascii="Consolas" w:hAnsi="Consolas"/>
          <w:sz w:val="14"/>
          <w:rFonts w:ascii="Consolas" w:hAnsi="Consolas" w:cs="Consolas"/>
        </w:rPr>
        <w:t>);</w:t>
      </w:r>
    </w:p>
    <w:p>
      <w:pPr>
        <w:spacing w:after="0" w:before="0"/>
        <w:ind w:left="283"/>
        <w:jc w:val="left"/>
      </w:pPr>
      <w:r>
        <w:rPr>
          <w:rFonts w:ascii="Consolas" w:hAnsi="Consolas"/>
          <w:sz w:val="14"/>
          <w:rFonts w:ascii="Consolas" w:hAnsi="Consolas" w:cs="Consolas"/>
        </w:rPr>
        <w:t xml:space="preserve"> </w:t>
      </w:r>
    </w:p>
    <w:p>
      <w:pPr>
        <w:spacing w:after="0" w:before="0"/>
        <w:ind w:left="283"/>
        <w:jc w:val="left"/>
      </w:pPr>
      <w:r>
        <w:rPr>
          <w:rFonts w:ascii="Consolas" w:hAnsi="Consolas"/>
          <w:sz w:val="14"/>
          <w:rFonts w:ascii="Consolas" w:hAnsi="Consolas" w:cs="Consolas"/>
        </w:rPr>
        <w:t>CREATE TABLE IF NOT EXISTS seguimientos (</w:t>
      </w:r>
    </w:p>
    <w:p>
      <w:pPr>
        <w:spacing w:after="0" w:before="0"/>
        <w:ind w:left="283"/>
        <w:jc w:val="left"/>
      </w:pPr>
      <w:r>
        <w:rPr>
          <w:rFonts w:ascii="Consolas" w:hAnsi="Consolas"/>
          <w:sz w:val="14"/>
          <w:rFonts w:ascii="Consolas" w:hAnsi="Consolas" w:cs="Consolas"/>
        </w:rPr>
        <w:t xml:space="preserve">  id         BIGINT GENERATED ALWAYS AS IDENTITY PRIMARY KEY,</w:t>
      </w:r>
    </w:p>
    <w:p>
      <w:pPr>
        <w:spacing w:after="0" w:before="0"/>
        <w:ind w:left="283"/>
        <w:jc w:val="left"/>
      </w:pPr>
      <w:r>
        <w:rPr>
          <w:rFonts w:ascii="Consolas" w:hAnsi="Consolas"/>
          <w:sz w:val="14"/>
          <w:rFonts w:ascii="Consolas" w:hAnsi="Consolas" w:cs="Consolas"/>
        </w:rPr>
        <w:t xml:space="preserve">  lead_id    TEXT NOT NULL REFERENCES leads(lead_id) ON DELETE CASCADE,</w:t>
      </w:r>
    </w:p>
    <w:p>
      <w:pPr>
        <w:spacing w:after="0" w:before="0"/>
        <w:ind w:left="283"/>
        <w:jc w:val="left"/>
      </w:pPr>
      <w:r>
        <w:rPr>
          <w:rFonts w:ascii="Consolas" w:hAnsi="Consolas"/>
          <w:sz w:val="14"/>
          <w:rFonts w:ascii="Consolas" w:hAnsi="Consolas" w:cs="Consolas"/>
        </w:rPr>
        <w:t xml:space="preserve">  numero     INT NOT NULL,</w:t>
      </w:r>
    </w:p>
    <w:p>
      <w:pPr>
        <w:spacing w:after="0" w:before="0"/>
        <w:ind w:left="283"/>
        <w:jc w:val="left"/>
      </w:pPr>
      <w:r>
        <w:rPr>
          <w:rFonts w:ascii="Consolas" w:hAnsi="Consolas"/>
          <w:sz w:val="14"/>
          <w:rFonts w:ascii="Consolas" w:hAnsi="Consolas" w:cs="Consolas"/>
        </w:rPr>
        <w:t xml:space="preserve">  canal      TEXT NOT NULL DEFAULT 'email',</w:t>
      </w:r>
    </w:p>
    <w:p>
      <w:pPr>
        <w:spacing w:after="0" w:before="0"/>
        <w:ind w:left="283"/>
        <w:jc w:val="left"/>
      </w:pPr>
      <w:r>
        <w:rPr>
          <w:rFonts w:ascii="Consolas" w:hAnsi="Consolas"/>
          <w:sz w:val="14"/>
          <w:rFonts w:ascii="Consolas" w:hAnsi="Consolas" w:cs="Consolas"/>
        </w:rPr>
        <w:t xml:space="preserve">  asunto     TEXT,</w:t>
      </w:r>
    </w:p>
    <w:p>
      <w:pPr>
        <w:spacing w:after="0" w:before="0"/>
        <w:ind w:left="283"/>
        <w:jc w:val="left"/>
      </w:pPr>
      <w:r>
        <w:rPr>
          <w:rFonts w:ascii="Consolas" w:hAnsi="Consolas"/>
          <w:sz w:val="14"/>
          <w:rFonts w:ascii="Consolas" w:hAnsi="Consolas" w:cs="Consolas"/>
        </w:rPr>
        <w:t xml:space="preserve">  cuerpo     TEXT,</w:t>
      </w:r>
    </w:p>
    <w:p>
      <w:pPr>
        <w:spacing w:after="0" w:before="0"/>
        <w:ind w:left="283"/>
        <w:jc w:val="left"/>
      </w:pPr>
      <w:r>
        <w:rPr>
          <w:rFonts w:ascii="Consolas" w:hAnsi="Consolas"/>
          <w:sz w:val="14"/>
          <w:rFonts w:ascii="Consolas" w:hAnsi="Consolas" w:cs="Consolas"/>
        </w:rPr>
        <w:t xml:space="preserve">  enviado_en TIMESTAMPTZ NOT NULL DEFAULT now()</w:t>
      </w:r>
    </w:p>
    <w:p>
      <w:pPr>
        <w:spacing w:after="0" w:before="0"/>
        <w:ind w:left="283"/>
        <w:jc w:val="left"/>
      </w:pPr>
      <w:r>
        <w:rPr>
          <w:rFonts w:ascii="Consolas" w:hAnsi="Consolas"/>
          <w:sz w:val="14"/>
          <w:rFonts w:ascii="Consolas" w:hAnsi="Consolas" w:cs="Consolas"/>
        </w:rPr>
        <w:t>);</w:t>
      </w:r>
    </w:p>
    <w:p>
      <w:pPr>
        <w:spacing w:after="0" w:before="0"/>
        <w:ind w:left="283"/>
        <w:jc w:val="left"/>
      </w:pPr>
      <w:r>
        <w:rPr>
          <w:rFonts w:ascii="Consolas" w:hAnsi="Consolas"/>
          <w:sz w:val="14"/>
          <w:rFonts w:ascii="Consolas" w:hAnsi="Consolas" w:cs="Consolas"/>
        </w:rPr>
        <w:t xml:space="preserve"> </w:t>
      </w:r>
    </w:p>
    <w:p>
      <w:pPr>
        <w:spacing w:after="0" w:before="0"/>
        <w:ind w:left="283"/>
        <w:jc w:val="left"/>
      </w:pPr>
      <w:r>
        <w:rPr>
          <w:rFonts w:ascii="Consolas" w:hAnsi="Consolas"/>
          <w:sz w:val="14"/>
          <w:rFonts w:ascii="Consolas" w:hAnsi="Consolas" w:cs="Consolas"/>
        </w:rPr>
        <w:t>CREATE TABLE IF NOT EXISTS logs (</w:t>
      </w:r>
    </w:p>
    <w:p>
      <w:pPr>
        <w:spacing w:after="0" w:before="0"/>
        <w:ind w:left="283"/>
        <w:jc w:val="left"/>
      </w:pPr>
      <w:r>
        <w:rPr>
          <w:rFonts w:ascii="Consolas" w:hAnsi="Consolas"/>
          <w:sz w:val="14"/>
          <w:rFonts w:ascii="Consolas" w:hAnsi="Consolas" w:cs="Consolas"/>
        </w:rPr>
        <w:t xml:space="preserve">  id        BIGINT GENERATED ALWAYS AS IDENTITY PRIMARY KEY,</w:t>
      </w:r>
    </w:p>
    <w:p>
      <w:pPr>
        <w:spacing w:after="0" w:before="0"/>
        <w:ind w:left="283"/>
        <w:jc w:val="left"/>
      </w:pPr>
      <w:r>
        <w:rPr>
          <w:rFonts w:ascii="Consolas" w:hAnsi="Consolas"/>
          <w:sz w:val="14"/>
          <w:rFonts w:ascii="Consolas" w:hAnsi="Consolas" w:cs="Consolas"/>
        </w:rPr>
        <w:t xml:space="preserve">  workflow  TEXT,</w:t>
      </w:r>
    </w:p>
    <w:p>
      <w:pPr>
        <w:spacing w:after="0" w:before="0"/>
        <w:ind w:left="283"/>
        <w:jc w:val="left"/>
      </w:pPr>
      <w:r>
        <w:rPr>
          <w:rFonts w:ascii="Consolas" w:hAnsi="Consolas"/>
          <w:sz w:val="14"/>
          <w:rFonts w:ascii="Consolas" w:hAnsi="Consolas" w:cs="Consolas"/>
        </w:rPr>
        <w:t xml:space="preserve">  lead_id   TEXT,</w:t>
      </w:r>
    </w:p>
    <w:p>
      <w:pPr>
        <w:spacing w:after="0" w:before="0"/>
        <w:ind w:left="283"/>
        <w:jc w:val="left"/>
      </w:pPr>
      <w:r>
        <w:rPr>
          <w:rFonts w:ascii="Consolas" w:hAnsi="Consolas"/>
          <w:sz w:val="14"/>
          <w:rFonts w:ascii="Consolas" w:hAnsi="Consolas" w:cs="Consolas"/>
        </w:rPr>
        <w:t xml:space="preserve">  evento    TEXT,</w:t>
      </w:r>
    </w:p>
    <w:p>
      <w:pPr>
        <w:spacing w:after="0" w:before="0"/>
        <w:ind w:left="283"/>
        <w:jc w:val="left"/>
      </w:pPr>
      <w:r>
        <w:rPr>
          <w:rFonts w:ascii="Consolas" w:hAnsi="Consolas"/>
          <w:sz w:val="14"/>
          <w:rFonts w:ascii="Consolas" w:hAnsi="Consolas" w:cs="Consolas"/>
        </w:rPr>
        <w:t xml:space="preserve">  nivel     log_nivel NOT NULL DEFAULT 'INFO',</w:t>
      </w:r>
    </w:p>
    <w:p>
      <w:pPr>
        <w:spacing w:after="0" w:before="0"/>
        <w:ind w:left="283"/>
        <w:jc w:val="left"/>
      </w:pPr>
      <w:r>
        <w:rPr>
          <w:rFonts w:ascii="Consolas" w:hAnsi="Consolas"/>
          <w:sz w:val="14"/>
          <w:rFonts w:ascii="Consolas" w:hAnsi="Consolas" w:cs="Consolas"/>
        </w:rPr>
        <w:t xml:space="preserve">  detalle   TEXT,</w:t>
      </w:r>
    </w:p>
    <w:p>
      <w:pPr>
        <w:spacing w:after="0" w:before="0"/>
        <w:ind w:left="283"/>
        <w:jc w:val="left"/>
      </w:pPr>
      <w:r>
        <w:rPr>
          <w:rFonts w:ascii="Consolas" w:hAnsi="Consolas"/>
          <w:sz w:val="14"/>
          <w:rFonts w:ascii="Consolas" w:hAnsi="Consolas" w:cs="Consolas"/>
        </w:rPr>
        <w:t xml:space="preserve">  error_msg TEXT,</w:t>
      </w:r>
    </w:p>
    <w:p>
      <w:pPr>
        <w:spacing w:after="0" w:before="0"/>
        <w:ind w:left="283"/>
        <w:jc w:val="left"/>
      </w:pPr>
      <w:r>
        <w:rPr>
          <w:rFonts w:ascii="Consolas" w:hAnsi="Consolas"/>
          <w:sz w:val="14"/>
          <w:rFonts w:ascii="Consolas" w:hAnsi="Consolas" w:cs="Consolas"/>
        </w:rPr>
        <w:t xml:space="preserve">  creado_en TIMESTAMPTZ NOT NULL DEFAULT now()</w:t>
      </w:r>
    </w:p>
    <w:p>
      <w:pPr>
        <w:spacing w:after="0" w:before="0"/>
        <w:ind w:left="283"/>
        <w:jc w:val="left"/>
      </w:pPr>
      <w:r>
        <w:rPr>
          <w:rFonts w:ascii="Consolas" w:hAnsi="Consolas"/>
          <w:sz w:val="14"/>
          <w:rFonts w:ascii="Consolas" w:hAnsi="Consolas" w:cs="Consolas"/>
        </w:rPr>
        <w:t>);</w:t>
      </w:r>
    </w:p>
    <w:p>
      <w:pPr>
        <w:spacing w:after="0" w:before="0"/>
        <w:ind w:left="283"/>
        <w:jc w:val="left"/>
      </w:pPr>
      <w:r>
        <w:rPr>
          <w:rFonts w:ascii="Consolas" w:hAnsi="Consolas"/>
          <w:sz w:val="14"/>
          <w:rFonts w:ascii="Consolas" w:hAnsi="Consolas" w:cs="Consolas"/>
        </w:rPr>
        <w:t xml:space="preserve"> </w:t>
      </w:r>
    </w:p>
    <w:p>
      <w:pPr>
        <w:spacing w:after="0" w:before="0"/>
        <w:ind w:left="283"/>
        <w:jc w:val="left"/>
      </w:pPr>
      <w:r>
        <w:rPr>
          <w:rFonts w:ascii="Consolas" w:hAnsi="Consolas"/>
          <w:sz w:val="14"/>
          <w:rFonts w:ascii="Consolas" w:hAnsi="Consolas" w:cs="Consolas"/>
        </w:rPr>
        <w:t>CREATE TABLE IF NOT EXISTS profiles (</w:t>
      </w:r>
    </w:p>
    <w:p>
      <w:pPr>
        <w:spacing w:after="0" w:before="0"/>
        <w:ind w:left="283"/>
        <w:jc w:val="left"/>
      </w:pPr>
      <w:r>
        <w:rPr>
          <w:rFonts w:ascii="Consolas" w:hAnsi="Consolas"/>
          <w:sz w:val="14"/>
          <w:rFonts w:ascii="Consolas" w:hAnsi="Consolas" w:cs="Consolas"/>
        </w:rPr>
        <w:t xml:space="preserve">  id        UUID PRIMARY KEY REFERENCES auth.users(id) ON DELETE CASCADE,</w:t>
      </w:r>
    </w:p>
    <w:p>
      <w:pPr>
        <w:spacing w:after="0" w:before="0"/>
        <w:ind w:left="283"/>
        <w:jc w:val="left"/>
      </w:pPr>
      <w:r>
        <w:rPr>
          <w:rFonts w:ascii="Consolas" w:hAnsi="Consolas"/>
          <w:sz w:val="14"/>
          <w:rFonts w:ascii="Consolas" w:hAnsi="Consolas" w:cs="Consolas"/>
        </w:rPr>
        <w:t xml:space="preserve">  email     TEXT NOT NULL,</w:t>
      </w:r>
    </w:p>
    <w:p>
      <w:pPr>
        <w:spacing w:after="0" w:before="0"/>
        <w:ind w:left="283"/>
        <w:jc w:val="left"/>
      </w:pPr>
      <w:r>
        <w:rPr>
          <w:rFonts w:ascii="Consolas" w:hAnsi="Consolas"/>
          <w:sz w:val="14"/>
          <w:rFonts w:ascii="Consolas" w:hAnsi="Consolas" w:cs="Consolas"/>
        </w:rPr>
        <w:t xml:space="preserve">  role      TEXT NOT NULL DEFAULT 'user' CHECK (role IN ('user','admin')),</w:t>
      </w:r>
    </w:p>
    <w:p>
      <w:pPr>
        <w:spacing w:after="0" w:before="0"/>
        <w:ind w:left="283"/>
        <w:jc w:val="left"/>
      </w:pPr>
      <w:r>
        <w:rPr>
          <w:rFonts w:ascii="Consolas" w:hAnsi="Consolas"/>
          <w:sz w:val="14"/>
          <w:rFonts w:ascii="Consolas" w:hAnsi="Consolas" w:cs="Consolas"/>
        </w:rPr>
        <w:t xml:space="preserve">  creado_en TIMESTAMPTZ NOT NULL DEFAULT now()</w:t>
      </w:r>
    </w:p>
    <w:p>
      <w:pPr>
        <w:spacing w:after="0" w:before="0"/>
        <w:ind w:left="283"/>
        <w:jc w:val="left"/>
      </w:pPr>
      <w:r>
        <w:rPr>
          <w:rFonts w:ascii="Consolas" w:hAnsi="Consolas"/>
          <w:sz w:val="14"/>
          <w:rFonts w:ascii="Consolas" w:hAnsi="Consolas" w:cs="Consolas"/>
        </w:rPr>
        <w:t>);</w:t>
      </w:r>
    </w:p>
    <w:p>
      <w:pPr>
        <w:spacing w:after="0" w:before="0"/>
        <w:ind w:left="283"/>
        <w:jc w:val="left"/>
      </w:pPr>
      <w:r>
        <w:rPr>
          <w:rFonts w:ascii="Consolas" w:hAnsi="Consolas"/>
          <w:sz w:val="14"/>
          <w:rFonts w:ascii="Consolas" w:hAnsi="Consolas" w:cs="Consolas"/>
        </w:rPr>
        <w:t xml:space="preserve"> </w:t>
      </w:r>
    </w:p>
    <w:p>
      <w:pPr>
        <w:spacing w:after="0" w:before="0"/>
        <w:ind w:left="283"/>
        <w:jc w:val="left"/>
      </w:pPr>
      <w:r>
        <w:rPr>
          <w:rFonts w:ascii="Consolas" w:hAnsi="Consolas"/>
          <w:sz w:val="14"/>
          <w:rFonts w:ascii="Consolas" w:hAnsi="Consolas" w:cs="Consolas"/>
        </w:rPr>
        <w:t>-- ------------------------------------------------------------------</w:t>
      </w:r>
    </w:p>
    <w:p>
      <w:pPr>
        <w:spacing w:after="0" w:before="0"/>
        <w:ind w:left="283"/>
        <w:jc w:val="left"/>
      </w:pPr>
      <w:r>
        <w:rPr>
          <w:rFonts w:ascii="Consolas" w:hAnsi="Consolas"/>
          <w:sz w:val="14"/>
          <w:rFonts w:ascii="Consolas" w:hAnsi="Consolas" w:cs="Consolas"/>
        </w:rPr>
        <w:t>-- Índices</w:t>
      </w:r>
    </w:p>
    <w:p>
      <w:pPr>
        <w:spacing w:after="0" w:before="0"/>
        <w:ind w:left="283"/>
        <w:jc w:val="left"/>
      </w:pPr>
      <w:r>
        <w:rPr>
          <w:rFonts w:ascii="Consolas" w:hAnsi="Consolas"/>
          <w:sz w:val="14"/>
          <w:rFonts w:ascii="Consolas" w:hAnsi="Consolas" w:cs="Consolas"/>
        </w:rPr>
        <w:t>-- ------------------------------------------------------------------</w:t>
      </w:r>
    </w:p>
    <w:p>
      <w:pPr>
        <w:spacing w:after="0" w:before="0"/>
        <w:ind w:left="283"/>
        <w:jc w:val="left"/>
      </w:pPr>
      <w:r>
        <w:rPr>
          <w:rFonts w:ascii="Consolas" w:hAnsi="Consolas"/>
          <w:sz w:val="14"/>
          <w:rFonts w:ascii="Consolas" w:hAnsi="Consolas" w:cs="Consolas"/>
        </w:rPr>
        <w:t>CREATE INDEX IF NOT EXISTS idx_leads_estado      ON leads(estado);</w:t>
      </w:r>
    </w:p>
    <w:p>
      <w:pPr>
        <w:spacing w:after="0" w:before="0"/>
        <w:ind w:left="283"/>
        <w:jc w:val="left"/>
      </w:pPr>
      <w:r>
        <w:rPr>
          <w:rFonts w:ascii="Consolas" w:hAnsi="Consolas"/>
          <w:sz w:val="14"/>
          <w:rFonts w:ascii="Consolas" w:hAnsi="Consolas" w:cs="Consolas"/>
        </w:rPr>
        <w:t>CREATE INDEX IF NOT EXISTS idx_leads_tier        ON leads(tier);</w:t>
      </w:r>
    </w:p>
    <w:p>
      <w:pPr>
        <w:spacing w:after="0" w:before="0"/>
        <w:ind w:left="283"/>
        <w:jc w:val="left"/>
      </w:pPr>
      <w:r>
        <w:rPr>
          <w:rFonts w:ascii="Consolas" w:hAnsi="Consolas"/>
          <w:sz w:val="14"/>
          <w:rFonts w:ascii="Consolas" w:hAnsi="Consolas" w:cs="Consolas"/>
        </w:rPr>
        <w:t>CREATE INDEX IF NOT EXISTS idx_leads_fecha_ing   ON leads(fecha_ingreso);</w:t>
      </w:r>
    </w:p>
    <w:p>
      <w:pPr>
        <w:spacing w:after="0" w:before="0"/>
        <w:ind w:left="283"/>
        <w:jc w:val="left"/>
      </w:pPr>
      <w:r>
        <w:rPr>
          <w:rFonts w:ascii="Consolas" w:hAnsi="Consolas"/>
          <w:sz w:val="14"/>
          <w:rFonts w:ascii="Consolas" w:hAnsi="Consolas" w:cs="Consolas"/>
        </w:rPr>
        <w:t>CREATE INDEX IF NOT EXISTS idx_facturas_estado   ON facturas(estado_pago);</w:t>
      </w:r>
    </w:p>
    <w:p>
      <w:pPr>
        <w:spacing w:after="0" w:before="0"/>
        <w:ind w:left="283"/>
        <w:jc w:val="left"/>
      </w:pPr>
      <w:r>
        <w:rPr>
          <w:rFonts w:ascii="Consolas" w:hAnsi="Consolas"/>
          <w:sz w:val="14"/>
          <w:rFonts w:ascii="Consolas" w:hAnsi="Consolas" w:cs="Consolas"/>
        </w:rPr>
        <w:t>CREATE INDEX IF NOT EXISTS idx_facturas_lead     ON facturas(lead_id);</w:t>
      </w:r>
    </w:p>
    <w:p>
      <w:pPr>
        <w:spacing w:after="0" w:before="0"/>
        <w:ind w:left="283"/>
        <w:jc w:val="left"/>
      </w:pPr>
      <w:r>
        <w:rPr>
          <w:rFonts w:ascii="Consolas" w:hAnsi="Consolas"/>
          <w:sz w:val="14"/>
          <w:rFonts w:ascii="Consolas" w:hAnsi="Consolas" w:cs="Consolas"/>
        </w:rPr>
        <w:t>CREATE INDEX IF NOT EXISTS idx_seguimientos_lead ON seguimientos(lead_id);</w:t>
      </w:r>
    </w:p>
    <w:p>
      <w:pPr>
        <w:spacing w:after="0" w:before="0"/>
        <w:ind w:left="283"/>
        <w:jc w:val="left"/>
      </w:pPr>
      <w:r>
        <w:rPr>
          <w:rFonts w:ascii="Consolas" w:hAnsi="Consolas"/>
          <w:sz w:val="14"/>
          <w:rFonts w:ascii="Consolas" w:hAnsi="Consolas" w:cs="Consolas"/>
        </w:rPr>
        <w:t xml:space="preserve"> </w:t>
      </w:r>
    </w:p>
    <w:p>
      <w:pPr>
        <w:spacing w:after="0" w:before="0"/>
        <w:ind w:left="283"/>
        <w:jc w:val="left"/>
      </w:pPr>
      <w:r>
        <w:rPr>
          <w:rFonts w:ascii="Consolas" w:hAnsi="Consolas"/>
          <w:sz w:val="14"/>
          <w:rFonts w:ascii="Consolas" w:hAnsi="Consolas" w:cs="Consolas"/>
        </w:rPr>
        <w:t>-- ------------------------------------------------------------------</w:t>
      </w:r>
    </w:p>
    <w:p>
      <w:pPr>
        <w:spacing w:after="0" w:before="0"/>
        <w:ind w:left="283"/>
        <w:jc w:val="left"/>
      </w:pPr>
      <w:r>
        <w:rPr>
          <w:rFonts w:ascii="Consolas" w:hAnsi="Consolas"/>
          <w:sz w:val="14"/>
          <w:rFonts w:ascii="Consolas" w:hAnsi="Consolas" w:cs="Consolas"/>
        </w:rPr>
        <w:t>-- Disparadores</w:t>
      </w:r>
    </w:p>
    <w:p>
      <w:pPr>
        <w:spacing w:after="0" w:before="0"/>
        <w:ind w:left="283"/>
        <w:jc w:val="left"/>
      </w:pPr>
      <w:r>
        <w:rPr>
          <w:rFonts w:ascii="Consolas" w:hAnsi="Consolas"/>
          <w:sz w:val="14"/>
          <w:rFonts w:ascii="Consolas" w:hAnsi="Consolas" w:cs="Consolas"/>
        </w:rPr>
        <w:t>-- ------------------------------------------------------------------</w:t>
      </w:r>
    </w:p>
    <w:p>
      <w:pPr>
        <w:spacing w:after="0" w:before="0"/>
        <w:ind w:left="283"/>
        <w:jc w:val="left"/>
      </w:pPr>
      <w:r>
        <w:rPr>
          <w:rFonts w:ascii="Consolas" w:hAnsi="Consolas"/>
          <w:sz w:val="14"/>
          <w:rFonts w:ascii="Consolas" w:hAnsi="Consolas" w:cs="Consolas"/>
        </w:rPr>
        <w:t>CREATE OR REPLACE FUNCTION set_actualizado_en() RETURNS trigger AS $$</w:t>
      </w:r>
    </w:p>
    <w:p>
      <w:pPr>
        <w:spacing w:after="0" w:before="0"/>
        <w:ind w:left="283"/>
        <w:jc w:val="left"/>
      </w:pPr>
      <w:r>
        <w:rPr>
          <w:rFonts w:ascii="Consolas" w:hAnsi="Consolas"/>
          <w:sz w:val="14"/>
          <w:rFonts w:ascii="Consolas" w:hAnsi="Consolas" w:cs="Consolas"/>
        </w:rPr>
        <w:t>BEGIN</w:t>
      </w:r>
    </w:p>
    <w:p>
      <w:pPr>
        <w:spacing w:after="0" w:before="0"/>
        <w:ind w:left="283"/>
        <w:jc w:val="left"/>
      </w:pPr>
      <w:r>
        <w:rPr>
          <w:rFonts w:ascii="Consolas" w:hAnsi="Consolas"/>
          <w:sz w:val="14"/>
          <w:rFonts w:ascii="Consolas" w:hAnsi="Consolas" w:cs="Consolas"/>
        </w:rPr>
        <w:t xml:space="preserve">  NEW.actualizado_en = now();</w:t>
      </w:r>
    </w:p>
    <w:p>
      <w:pPr>
        <w:spacing w:after="0" w:before="0"/>
        <w:ind w:left="283"/>
        <w:jc w:val="left"/>
      </w:pPr>
      <w:r>
        <w:rPr>
          <w:rFonts w:ascii="Consolas" w:hAnsi="Consolas"/>
          <w:sz w:val="14"/>
          <w:rFonts w:ascii="Consolas" w:hAnsi="Consolas" w:cs="Consolas"/>
        </w:rPr>
        <w:t xml:space="preserve">  RETURN NEW;</w:t>
      </w:r>
    </w:p>
    <w:p>
      <w:pPr>
        <w:spacing w:after="0" w:before="0"/>
        <w:ind w:left="283"/>
        <w:jc w:val="left"/>
      </w:pPr>
      <w:r>
        <w:rPr>
          <w:rFonts w:ascii="Consolas" w:hAnsi="Consolas"/>
          <w:sz w:val="14"/>
          <w:rFonts w:ascii="Consolas" w:hAnsi="Consolas" w:cs="Consolas"/>
        </w:rPr>
        <w:t>END;</w:t>
      </w:r>
    </w:p>
    <w:p>
      <w:pPr>
        <w:spacing w:after="0" w:before="0"/>
        <w:ind w:left="283"/>
        <w:jc w:val="left"/>
      </w:pPr>
      <w:r>
        <w:rPr>
          <w:rFonts w:ascii="Consolas" w:hAnsi="Consolas"/>
          <w:sz w:val="14"/>
          <w:rFonts w:ascii="Consolas" w:hAnsi="Consolas" w:cs="Consolas"/>
        </w:rPr>
        <w:t>$$ LANGUAGE plpgsql;</w:t>
      </w:r>
    </w:p>
    <w:p>
      <w:pPr>
        <w:spacing w:after="0" w:before="0"/>
        <w:ind w:left="283"/>
        <w:jc w:val="left"/>
      </w:pPr>
      <w:r>
        <w:rPr>
          <w:rFonts w:ascii="Consolas" w:hAnsi="Consolas"/>
          <w:sz w:val="14"/>
          <w:rFonts w:ascii="Consolas" w:hAnsi="Consolas" w:cs="Consolas"/>
        </w:rPr>
        <w:t xml:space="preserve"> </w:t>
      </w:r>
    </w:p>
    <w:p>
      <w:pPr>
        <w:spacing w:after="0" w:before="0"/>
        <w:ind w:left="283"/>
        <w:jc w:val="left"/>
      </w:pPr>
      <w:r>
        <w:rPr>
          <w:rFonts w:ascii="Consolas" w:hAnsi="Consolas"/>
          <w:sz w:val="14"/>
          <w:rFonts w:ascii="Consolas" w:hAnsi="Consolas" w:cs="Consolas"/>
        </w:rPr>
        <w:t>CREATE TRIGGER trg_leads_updated</w:t>
      </w:r>
    </w:p>
    <w:p>
      <w:pPr>
        <w:spacing w:after="0" w:before="0"/>
        <w:ind w:left="283"/>
        <w:jc w:val="left"/>
      </w:pPr>
      <w:r>
        <w:rPr>
          <w:rFonts w:ascii="Consolas" w:hAnsi="Consolas"/>
          <w:sz w:val="14"/>
          <w:rFonts w:ascii="Consolas" w:hAnsi="Consolas" w:cs="Consolas"/>
        </w:rPr>
        <w:t xml:space="preserve">  BEFORE UPDATE ON leads</w:t>
      </w:r>
    </w:p>
    <w:p>
      <w:pPr>
        <w:spacing w:after="0" w:before="0"/>
        <w:ind w:left="283"/>
        <w:jc w:val="left"/>
      </w:pPr>
      <w:r>
        <w:rPr>
          <w:rFonts w:ascii="Consolas" w:hAnsi="Consolas"/>
          <w:sz w:val="14"/>
          <w:rFonts w:ascii="Consolas" w:hAnsi="Consolas" w:cs="Consolas"/>
        </w:rPr>
        <w:t xml:space="preserve">  FOR EACH ROW EXECUTE FUNCTION set_actualizado_en();</w:t>
      </w:r>
    </w:p>
    <w:p>
      <w:pPr>
        <w:spacing w:after="0" w:before="0"/>
        <w:ind w:left="283"/>
        <w:jc w:val="left"/>
      </w:pPr>
      <w:r>
        <w:rPr>
          <w:rFonts w:ascii="Consolas" w:hAnsi="Consolas"/>
          <w:sz w:val="14"/>
          <w:rFonts w:ascii="Consolas" w:hAnsi="Consolas" w:cs="Consolas"/>
        </w:rPr>
        <w:t xml:space="preserve"> </w:t>
      </w:r>
    </w:p>
    <w:p>
      <w:pPr>
        <w:spacing w:after="0" w:before="0"/>
        <w:ind w:left="283"/>
        <w:jc w:val="left"/>
      </w:pPr>
      <w:r>
        <w:rPr>
          <w:rFonts w:ascii="Consolas" w:hAnsi="Consolas"/>
          <w:sz w:val="14"/>
          <w:rFonts w:ascii="Consolas" w:hAnsi="Consolas" w:cs="Consolas"/>
        </w:rPr>
        <w:t>-- Crea el perfil (rol 'user' por defecto) al registrarse un usuario.</w:t>
      </w:r>
    </w:p>
    <w:p>
      <w:pPr>
        <w:spacing w:after="0" w:before="0"/>
        <w:ind w:left="283"/>
        <w:jc w:val="left"/>
      </w:pPr>
      <w:r>
        <w:rPr>
          <w:rFonts w:ascii="Consolas" w:hAnsi="Consolas"/>
          <w:sz w:val="14"/>
          <w:rFonts w:ascii="Consolas" w:hAnsi="Consolas" w:cs="Consolas"/>
        </w:rPr>
        <w:t>CREATE OR REPLACE FUNCTION public.handle_new_user() RETURNS trigger</w:t>
      </w:r>
    </w:p>
    <w:p>
      <w:pPr>
        <w:spacing w:after="0" w:before="0"/>
        <w:ind w:left="283"/>
        <w:jc w:val="left"/>
      </w:pPr>
      <w:r>
        <w:rPr>
          <w:rFonts w:ascii="Consolas" w:hAnsi="Consolas"/>
          <w:sz w:val="14"/>
          <w:rFonts w:ascii="Consolas" w:hAnsi="Consolas" w:cs="Consolas"/>
        </w:rPr>
        <w:t>LANGUAGE plpgsql SECURITY DEFINER SET search_path = public AS $$</w:t>
      </w:r>
    </w:p>
    <w:p>
      <w:pPr>
        <w:spacing w:after="0" w:before="0"/>
        <w:ind w:left="283"/>
        <w:jc w:val="left"/>
      </w:pPr>
      <w:r>
        <w:rPr>
          <w:rFonts w:ascii="Consolas" w:hAnsi="Consolas"/>
          <w:sz w:val="14"/>
          <w:rFonts w:ascii="Consolas" w:hAnsi="Consolas" w:cs="Consolas"/>
        </w:rPr>
        <w:t>BEGIN</w:t>
      </w:r>
    </w:p>
    <w:p>
      <w:pPr>
        <w:spacing w:after="0" w:before="0"/>
        <w:ind w:left="283"/>
        <w:jc w:val="left"/>
      </w:pPr>
      <w:r>
        <w:rPr>
          <w:rFonts w:ascii="Consolas" w:hAnsi="Consolas"/>
          <w:sz w:val="14"/>
          <w:rFonts w:ascii="Consolas" w:hAnsi="Consolas" w:cs="Consolas"/>
        </w:rPr>
        <w:t xml:space="preserve">  INSERT INTO public.profiles (id, email, role)</w:t>
      </w:r>
    </w:p>
    <w:p>
      <w:pPr>
        <w:spacing w:after="0" w:before="0"/>
        <w:ind w:left="283"/>
        <w:jc w:val="left"/>
      </w:pPr>
      <w:r>
        <w:rPr>
          <w:rFonts w:ascii="Consolas" w:hAnsi="Consolas"/>
          <w:sz w:val="14"/>
          <w:rFonts w:ascii="Consolas" w:hAnsi="Consolas" w:cs="Consolas"/>
        </w:rPr>
        <w:t xml:space="preserve">  VALUES (NEW.id, NEW.email,</w:t>
      </w:r>
    </w:p>
    <w:p>
      <w:pPr>
        <w:spacing w:after="0" w:before="0"/>
        <w:ind w:left="283"/>
        <w:jc w:val="left"/>
      </w:pPr>
      <w:r>
        <w:rPr>
          <w:rFonts w:ascii="Consolas" w:hAnsi="Consolas"/>
          <w:sz w:val="14"/>
          <w:rFonts w:ascii="Consolas" w:hAnsi="Consolas" w:cs="Consolas"/>
        </w:rPr>
        <w:t xml:space="preserve">          CASE WHEN NEW.email = '&lt;correo del administrador&gt;' THEN 'admin' ELSE 'user' END)</w:t>
      </w:r>
    </w:p>
    <w:p>
      <w:pPr>
        <w:spacing w:after="0" w:before="0"/>
        <w:ind w:left="283"/>
        <w:jc w:val="left"/>
      </w:pPr>
      <w:r>
        <w:rPr>
          <w:rFonts w:ascii="Consolas" w:hAnsi="Consolas"/>
          <w:sz w:val="14"/>
          <w:rFonts w:ascii="Consolas" w:hAnsi="Consolas" w:cs="Consolas"/>
        </w:rPr>
        <w:t xml:space="preserve">  ON CONFLICT (id) DO NOTHING;</w:t>
      </w:r>
    </w:p>
    <w:p>
      <w:pPr>
        <w:spacing w:after="0" w:before="0"/>
        <w:ind w:left="283"/>
        <w:jc w:val="left"/>
      </w:pPr>
      <w:r>
        <w:rPr>
          <w:rFonts w:ascii="Consolas" w:hAnsi="Consolas"/>
          <w:sz w:val="14"/>
          <w:rFonts w:ascii="Consolas" w:hAnsi="Consolas" w:cs="Consolas"/>
        </w:rPr>
        <w:t xml:space="preserve">  RETURN NEW;</w:t>
      </w:r>
    </w:p>
    <w:p>
      <w:pPr>
        <w:spacing w:after="0" w:before="0"/>
        <w:ind w:left="283"/>
        <w:jc w:val="left"/>
      </w:pPr>
      <w:r>
        <w:rPr>
          <w:rFonts w:ascii="Consolas" w:hAnsi="Consolas"/>
          <w:sz w:val="14"/>
          <w:rFonts w:ascii="Consolas" w:hAnsi="Consolas" w:cs="Consolas"/>
        </w:rPr>
        <w:t>END;</w:t>
      </w:r>
    </w:p>
    <w:p>
      <w:pPr>
        <w:spacing w:after="0" w:before="0"/>
        <w:ind w:left="283"/>
        <w:jc w:val="left"/>
      </w:pPr>
      <w:r>
        <w:rPr>
          <w:rFonts w:ascii="Consolas" w:hAnsi="Consolas"/>
          <w:sz w:val="14"/>
          <w:rFonts w:ascii="Consolas" w:hAnsi="Consolas" w:cs="Consolas"/>
        </w:rPr>
        <w:t>$$;</w:t>
      </w:r>
    </w:p>
    <w:p>
      <w:pPr>
        <w:spacing w:after="0" w:before="0"/>
        <w:ind w:left="283"/>
        <w:jc w:val="left"/>
      </w:pPr>
      <w:r>
        <w:rPr>
          <w:rFonts w:ascii="Consolas" w:hAnsi="Consolas"/>
          <w:sz w:val="14"/>
          <w:rFonts w:ascii="Consolas" w:hAnsi="Consolas" w:cs="Consolas"/>
        </w:rPr>
        <w:t xml:space="preserve"> </w:t>
      </w:r>
    </w:p>
    <w:p>
      <w:pPr>
        <w:spacing w:after="0" w:before="0"/>
        <w:ind w:left="283"/>
        <w:jc w:val="left"/>
      </w:pPr>
      <w:r>
        <w:rPr>
          <w:rFonts w:ascii="Consolas" w:hAnsi="Consolas"/>
          <w:sz w:val="14"/>
          <w:rFonts w:ascii="Consolas" w:hAnsi="Consolas" w:cs="Consolas"/>
        </w:rPr>
        <w:t>CREATE TRIGGER on_auth_user_created</w:t>
      </w:r>
    </w:p>
    <w:p>
      <w:pPr>
        <w:spacing w:after="0" w:before="0"/>
        <w:ind w:left="283"/>
        <w:jc w:val="left"/>
      </w:pPr>
      <w:r>
        <w:rPr>
          <w:rFonts w:ascii="Consolas" w:hAnsi="Consolas"/>
          <w:sz w:val="14"/>
          <w:rFonts w:ascii="Consolas" w:hAnsi="Consolas" w:cs="Consolas"/>
        </w:rPr>
        <w:t xml:space="preserve">  AFTER INSERT ON auth.users</w:t>
      </w:r>
    </w:p>
    <w:p>
      <w:pPr>
        <w:spacing w:after="0" w:before="0"/>
        <w:ind w:left="283"/>
        <w:jc w:val="left"/>
      </w:pPr>
      <w:r>
        <w:rPr>
          <w:rFonts w:ascii="Consolas" w:hAnsi="Consolas"/>
          <w:sz w:val="14"/>
          <w:rFonts w:ascii="Consolas" w:hAnsi="Consolas" w:cs="Consolas"/>
        </w:rPr>
        <w:t xml:space="preserve">  FOR EACH ROW EXECUTE FUNCTION public.handle_new_user();</w:t>
      </w:r>
    </w:p>
    <w:p>
      <w:pPr>
        <w:spacing w:after="0" w:before="0"/>
        <w:ind w:left="283"/>
        <w:jc w:val="left"/>
      </w:pPr>
      <w:r>
        <w:rPr>
          <w:rFonts w:ascii="Consolas" w:hAnsi="Consolas"/>
          <w:sz w:val="14"/>
          <w:rFonts w:ascii="Consolas" w:hAnsi="Consolas" w:cs="Consolas"/>
        </w:rPr>
        <w:t xml:space="preserve"> </w:t>
      </w:r>
    </w:p>
    <w:p>
      <w:pPr>
        <w:spacing w:after="0" w:before="0"/>
        <w:ind w:left="283"/>
        <w:jc w:val="left"/>
      </w:pPr>
      <w:r>
        <w:rPr>
          <w:rFonts w:ascii="Consolas" w:hAnsi="Consolas"/>
          <w:sz w:val="14"/>
          <w:rFonts w:ascii="Consolas" w:hAnsi="Consolas" w:cs="Consolas"/>
        </w:rPr>
        <w:t>-- ------------------------------------------------------------------</w:t>
      </w:r>
    </w:p>
    <w:p>
      <w:pPr>
        <w:spacing w:after="0" w:before="0"/>
        <w:ind w:left="283"/>
        <w:jc w:val="left"/>
      </w:pPr>
      <w:r>
        <w:rPr>
          <w:rFonts w:ascii="Consolas" w:hAnsi="Consolas"/>
          <w:sz w:val="14"/>
          <w:rFonts w:ascii="Consolas" w:hAnsi="Consolas" w:cs="Consolas"/>
        </w:rPr>
        <w:t>-- Vistas (security_invoker: respetan la RLS de las tablas base)</w:t>
      </w:r>
    </w:p>
    <w:p>
      <w:pPr>
        <w:spacing w:after="0" w:before="0"/>
        <w:ind w:left="283"/>
        <w:jc w:val="left"/>
      </w:pPr>
      <w:r>
        <w:rPr>
          <w:rFonts w:ascii="Consolas" w:hAnsi="Consolas"/>
          <w:sz w:val="14"/>
          <w:rFonts w:ascii="Consolas" w:hAnsi="Consolas" w:cs="Consolas"/>
        </w:rPr>
        <w:t>-- ------------------------------------------------------------------</w:t>
      </w:r>
    </w:p>
    <w:p>
      <w:pPr>
        <w:spacing w:after="0" w:before="0"/>
        <w:ind w:left="283"/>
        <w:jc w:val="left"/>
      </w:pPr>
      <w:r>
        <w:rPr>
          <w:rFonts w:ascii="Consolas" w:hAnsi="Consolas"/>
          <w:sz w:val="14"/>
          <w:rFonts w:ascii="Consolas" w:hAnsi="Consolas" w:cs="Consolas"/>
        </w:rPr>
        <w:t>CREATE OR REPLACE VIEW metrics_mensuales WITH (security_invoker = true) AS</w:t>
      </w:r>
    </w:p>
    <w:p>
      <w:pPr>
        <w:spacing w:after="0" w:before="0"/>
        <w:ind w:left="283"/>
        <w:jc w:val="left"/>
      </w:pPr>
      <w:r>
        <w:rPr>
          <w:rFonts w:ascii="Consolas" w:hAnsi="Consolas"/>
          <w:sz w:val="14"/>
          <w:rFonts w:ascii="Consolas" w:hAnsi="Consolas" w:cs="Consolas"/>
        </w:rPr>
        <w:t>WITH lead_mes AS (</w:t>
      </w:r>
    </w:p>
    <w:p>
      <w:pPr>
        <w:spacing w:after="0" w:before="0"/>
        <w:ind w:left="283"/>
        <w:jc w:val="left"/>
      </w:pPr>
      <w:r>
        <w:rPr>
          <w:rFonts w:ascii="Consolas" w:hAnsi="Consolas"/>
          <w:sz w:val="14"/>
          <w:rFonts w:ascii="Consolas" w:hAnsi="Consolas" w:cs="Consolas"/>
        </w:rPr>
        <w:t xml:space="preserve">  SELECT to_char(date_trunc('month', fecha_ingreso), 'YYYY-MM')            AS mes,</w:t>
      </w:r>
    </w:p>
    <w:p>
      <w:pPr>
        <w:spacing w:after="0" w:before="0"/>
        <w:ind w:left="283"/>
        <w:jc w:val="left"/>
      </w:pPr>
      <w:r>
        <w:rPr>
          <w:rFonts w:ascii="Consolas" w:hAnsi="Consolas"/>
          <w:sz w:val="14"/>
          <w:rFonts w:ascii="Consolas" w:hAnsi="Consolas" w:cs="Consolas"/>
        </w:rPr>
        <w:t xml:space="preserve">         count(*)                                                          AS total_leads,</w:t>
      </w:r>
    </w:p>
    <w:p>
      <w:pPr>
        <w:spacing w:after="0" w:before="0"/>
        <w:ind w:left="283"/>
        <w:jc w:val="left"/>
      </w:pPr>
      <w:r>
        <w:rPr>
          <w:rFonts w:ascii="Consolas" w:hAnsi="Consolas"/>
          <w:sz w:val="14"/>
          <w:rFonts w:ascii="Consolas" w:hAnsi="Consolas" w:cs="Consolas"/>
        </w:rPr>
        <w:t xml:space="preserve">         count(*) FILTER (WHERE tier = 'HOT')                              AS leads_hot,</w:t>
      </w:r>
    </w:p>
    <w:p>
      <w:pPr>
        <w:spacing w:after="0" w:before="0"/>
        <w:ind w:left="283"/>
        <w:jc w:val="left"/>
      </w:pPr>
      <w:r>
        <w:rPr>
          <w:rFonts w:ascii="Consolas" w:hAnsi="Consolas"/>
          <w:sz w:val="14"/>
          <w:rFonts w:ascii="Consolas" w:hAnsi="Consolas" w:cs="Consolas"/>
        </w:rPr>
        <w:t xml:space="preserve">         count(*) FILTER (WHERE tier = 'WARM')                             AS leads_warm,</w:t>
      </w:r>
    </w:p>
    <w:p>
      <w:pPr>
        <w:spacing w:after="0" w:before="0"/>
        <w:ind w:left="283"/>
        <w:jc w:val="left"/>
      </w:pPr>
      <w:r>
        <w:rPr>
          <w:rFonts w:ascii="Consolas" w:hAnsi="Consolas"/>
          <w:sz w:val="14"/>
          <w:rFonts w:ascii="Consolas" w:hAnsi="Consolas" w:cs="Consolas"/>
        </w:rPr>
        <w:t xml:space="preserve">         count(*) FILTER (WHERE estado = 'CERRADO')                        AS leads_cerrados,</w:t>
      </w:r>
    </w:p>
    <w:p>
      <w:pPr>
        <w:spacing w:after="0" w:before="0"/>
        <w:ind w:left="283"/>
        <w:jc w:val="left"/>
      </w:pPr>
      <w:r>
        <w:rPr>
          <w:rFonts w:ascii="Consolas" w:hAnsi="Consolas"/>
          <w:sz w:val="14"/>
          <w:rFonts w:ascii="Consolas" w:hAnsi="Consolas" w:cs="Consolas"/>
        </w:rPr>
        <w:t xml:space="preserve">         count(*) FILTER (WHERE estado = 'PERDIDO')                        AS leads_perdidos,</w:t>
      </w:r>
    </w:p>
    <w:p>
      <w:pPr>
        <w:spacing w:after="0" w:before="0"/>
        <w:ind w:left="283"/>
        <w:jc w:val="left"/>
      </w:pPr>
      <w:r>
        <w:rPr>
          <w:rFonts w:ascii="Consolas" w:hAnsi="Consolas"/>
          <w:sz w:val="14"/>
          <w:rFonts w:ascii="Consolas" w:hAnsi="Consolas" w:cs="Consolas"/>
        </w:rPr>
        <w:t xml:space="preserve">         round(100.0 * count(*) FILTER (WHERE estado = 'CERRADO')</w:t>
      </w:r>
    </w:p>
    <w:p>
      <w:pPr>
        <w:spacing w:after="0" w:before="0"/>
        <w:ind w:left="283"/>
        <w:jc w:val="left"/>
      </w:pPr>
      <w:r>
        <w:rPr>
          <w:rFonts w:ascii="Consolas" w:hAnsi="Consolas"/>
          <w:sz w:val="14"/>
          <w:rFonts w:ascii="Consolas" w:hAnsi="Consolas" w:cs="Consolas"/>
        </w:rPr>
        <w:t xml:space="preserve">                      / NULLIF(count(*), 0), 1)                            AS conversion_pct,</w:t>
      </w:r>
    </w:p>
    <w:p>
      <w:pPr>
        <w:spacing w:after="0" w:before="0"/>
        <w:ind w:left="283"/>
        <w:jc w:val="left"/>
      </w:pPr>
      <w:r>
        <w:rPr>
          <w:rFonts w:ascii="Consolas" w:hAnsi="Consolas"/>
          <w:sz w:val="14"/>
          <w:rFonts w:ascii="Consolas" w:hAnsi="Consolas" w:cs="Consolas"/>
        </w:rPr>
        <w:t xml:space="preserve">         round(avg(dias_ciclo_completo)</w:t>
      </w:r>
    </w:p>
    <w:p>
      <w:pPr>
        <w:spacing w:after="0" w:before="0"/>
        <w:ind w:left="283"/>
        <w:jc w:val="left"/>
      </w:pPr>
      <w:r>
        <w:rPr>
          <w:rFonts w:ascii="Consolas" w:hAnsi="Consolas"/>
          <w:sz w:val="14"/>
          <w:rFonts w:ascii="Consolas" w:hAnsi="Consolas" w:cs="Consolas"/>
        </w:rPr>
        <w:t xml:space="preserve">               FILTER (WHERE estado = 'CERRADO'), 1)                       AS tiempo_prom_dias</w:t>
      </w:r>
    </w:p>
    <w:p>
      <w:pPr>
        <w:spacing w:after="0" w:before="0"/>
        <w:ind w:left="283"/>
        <w:jc w:val="left"/>
      </w:pPr>
      <w:r>
        <w:rPr>
          <w:rFonts w:ascii="Consolas" w:hAnsi="Consolas"/>
          <w:sz w:val="14"/>
          <w:rFonts w:ascii="Consolas" w:hAnsi="Consolas" w:cs="Consolas"/>
        </w:rPr>
        <w:t xml:space="preserve">    FROM leads GROUP BY 1</w:t>
      </w:r>
    </w:p>
    <w:p>
      <w:pPr>
        <w:spacing w:after="0" w:before="0"/>
        <w:ind w:left="283"/>
        <w:jc w:val="left"/>
      </w:pPr>
      <w:r>
        <w:rPr>
          <w:rFonts w:ascii="Consolas" w:hAnsi="Consolas"/>
          <w:sz w:val="14"/>
          <w:rFonts w:ascii="Consolas" w:hAnsi="Consolas" w:cs="Consolas"/>
        </w:rPr>
        <w:t>),</w:t>
      </w:r>
    </w:p>
    <w:p>
      <w:pPr>
        <w:spacing w:after="0" w:before="0"/>
        <w:ind w:left="283"/>
        <w:jc w:val="left"/>
      </w:pPr>
      <w:r>
        <w:rPr>
          <w:rFonts w:ascii="Consolas" w:hAnsi="Consolas"/>
          <w:sz w:val="14"/>
          <w:rFonts w:ascii="Consolas" w:hAnsi="Consolas" w:cs="Consolas"/>
        </w:rPr>
        <w:t>fact_mes AS (</w:t>
      </w:r>
    </w:p>
    <w:p>
      <w:pPr>
        <w:spacing w:after="0" w:before="0"/>
        <w:ind w:left="283"/>
        <w:jc w:val="left"/>
      </w:pPr>
      <w:r>
        <w:rPr>
          <w:rFonts w:ascii="Consolas" w:hAnsi="Consolas"/>
          <w:sz w:val="14"/>
          <w:rFonts w:ascii="Consolas" w:hAnsi="Consolas" w:cs="Consolas"/>
        </w:rPr>
        <w:t xml:space="preserve">  SELECT to_char(date_trunc('month', fecha_emision), 'YYYY-MM')            AS mes,</w:t>
      </w:r>
    </w:p>
    <w:p>
      <w:pPr>
        <w:spacing w:after="0" w:before="0"/>
        <w:ind w:left="283"/>
        <w:jc w:val="left"/>
      </w:pPr>
      <w:r>
        <w:rPr>
          <w:rFonts w:ascii="Consolas" w:hAnsi="Consolas"/>
          <w:sz w:val="14"/>
          <w:rFonts w:ascii="Consolas" w:hAnsi="Consolas" w:cs="Consolas"/>
        </w:rPr>
        <w:t xml:space="preserve">         coalesce(sum(monto), 0)                                           AS facturacion,</w:t>
      </w:r>
    </w:p>
    <w:p>
      <w:pPr>
        <w:spacing w:after="0" w:before="0"/>
        <w:ind w:left="283"/>
        <w:jc w:val="left"/>
      </w:pPr>
      <w:r>
        <w:rPr>
          <w:rFonts w:ascii="Consolas" w:hAnsi="Consolas"/>
          <w:sz w:val="14"/>
          <w:rFonts w:ascii="Consolas" w:hAnsi="Consolas" w:cs="Consolas"/>
        </w:rPr>
        <w:t xml:space="preserve">         coalesce(sum(monto) FILTER (WHERE estado_pago = 'COBRADO'), 0)    AS cobrado,</w:t>
      </w:r>
    </w:p>
    <w:p>
      <w:pPr>
        <w:spacing w:after="0" w:before="0"/>
        <w:ind w:left="283"/>
        <w:jc w:val="left"/>
      </w:pPr>
      <w:r>
        <w:rPr>
          <w:rFonts w:ascii="Consolas" w:hAnsi="Consolas"/>
          <w:sz w:val="14"/>
          <w:rFonts w:ascii="Consolas" w:hAnsi="Consolas" w:cs="Consolas"/>
        </w:rPr>
        <w:t xml:space="preserve">         coalesce(sum(monto) FILTER (WHERE estado_pago &lt;&gt; 'COBRADO'), 0)   AS pendiente,</w:t>
      </w:r>
    </w:p>
    <w:p>
      <w:pPr>
        <w:spacing w:after="0" w:before="0"/>
        <w:ind w:left="283"/>
        <w:jc w:val="left"/>
      </w:pPr>
      <w:r>
        <w:rPr>
          <w:rFonts w:ascii="Consolas" w:hAnsi="Consolas"/>
          <w:sz w:val="14"/>
          <w:rFonts w:ascii="Consolas" w:hAnsi="Consolas" w:cs="Consolas"/>
        </w:rPr>
        <w:t xml:space="preserve">         count(*) FILTER (WHERE estado_pago = 'PENDIENTE'</w:t>
      </w:r>
    </w:p>
    <w:p>
      <w:pPr>
        <w:spacing w:after="0" w:before="0"/>
        <w:ind w:left="283"/>
        <w:jc w:val="left"/>
      </w:pPr>
      <w:r>
        <w:rPr>
          <w:rFonts w:ascii="Consolas" w:hAnsi="Consolas"/>
          <w:sz w:val="14"/>
          <w:rFonts w:ascii="Consolas" w:hAnsi="Consolas" w:cs="Consolas"/>
        </w:rPr>
        <w:t xml:space="preserve">                            AND fecha_vencimiento &lt; now())                 AS facturas_vencidas,</w:t>
      </w:r>
    </w:p>
    <w:p>
      <w:pPr>
        <w:spacing w:after="0" w:before="0"/>
        <w:ind w:left="283"/>
        <w:jc w:val="left"/>
      </w:pPr>
      <w:r>
        <w:rPr>
          <w:rFonts w:ascii="Consolas" w:hAnsi="Consolas"/>
          <w:sz w:val="14"/>
          <w:rFonts w:ascii="Consolas" w:hAnsi="Consolas" w:cs="Consolas"/>
        </w:rPr>
        <w:t xml:space="preserve">         round(100.0 * coalesce(sum(monto)</w:t>
      </w:r>
    </w:p>
    <w:p>
      <w:pPr>
        <w:spacing w:after="0" w:before="0"/>
        <w:ind w:left="283"/>
        <w:jc w:val="left"/>
      </w:pPr>
      <w:r>
        <w:rPr>
          <w:rFonts w:ascii="Consolas" w:hAnsi="Consolas"/>
          <w:sz w:val="14"/>
          <w:rFonts w:ascii="Consolas" w:hAnsi="Consolas" w:cs="Consolas"/>
        </w:rPr>
        <w:t xml:space="preserve">               FILTER (WHERE estado_pago = 'COBRADO'), 0)</w:t>
      </w:r>
    </w:p>
    <w:p>
      <w:pPr>
        <w:spacing w:after="0" w:before="0"/>
        <w:ind w:left="283"/>
        <w:jc w:val="left"/>
      </w:pPr>
      <w:r>
        <w:rPr>
          <w:rFonts w:ascii="Consolas" w:hAnsi="Consolas"/>
          <w:sz w:val="14"/>
          <w:rFonts w:ascii="Consolas" w:hAnsi="Consolas" w:cs="Consolas"/>
        </w:rPr>
        <w:t xml:space="preserve">                      / NULLIF(sum(monto), 0), 1)                          AS tasa_cobro_pct</w:t>
      </w:r>
    </w:p>
    <w:p>
      <w:pPr>
        <w:spacing w:after="0" w:before="0"/>
        <w:ind w:left="283"/>
        <w:jc w:val="left"/>
      </w:pPr>
      <w:r>
        <w:rPr>
          <w:rFonts w:ascii="Consolas" w:hAnsi="Consolas"/>
          <w:sz w:val="14"/>
          <w:rFonts w:ascii="Consolas" w:hAnsi="Consolas" w:cs="Consolas"/>
        </w:rPr>
        <w:t xml:space="preserve">    FROM facturas GROUP BY 1</w:t>
      </w:r>
    </w:p>
    <w:p>
      <w:pPr>
        <w:spacing w:after="0" w:before="0"/>
        <w:ind w:left="283"/>
        <w:jc w:val="left"/>
      </w:pPr>
      <w:r>
        <w:rPr>
          <w:rFonts w:ascii="Consolas" w:hAnsi="Consolas"/>
          <w:sz w:val="14"/>
          <w:rFonts w:ascii="Consolas" w:hAnsi="Consolas" w:cs="Consolas"/>
        </w:rPr>
        <w:t>)</w:t>
      </w:r>
    </w:p>
    <w:p>
      <w:pPr>
        <w:spacing w:after="0" w:before="0"/>
        <w:ind w:left="283"/>
        <w:jc w:val="left"/>
      </w:pPr>
      <w:r>
        <w:rPr>
          <w:rFonts w:ascii="Consolas" w:hAnsi="Consolas"/>
          <w:sz w:val="14"/>
          <w:rFonts w:ascii="Consolas" w:hAnsi="Consolas" w:cs="Consolas"/>
        </w:rPr>
        <w:t>SELECT coalesce(l.mes, f.mes) AS mes, l.*, f.*</w:t>
      </w:r>
    </w:p>
    <w:p>
      <w:pPr>
        <w:spacing w:after="0" w:before="0"/>
        <w:ind w:left="283"/>
        <w:jc w:val="left"/>
      </w:pPr>
      <w:r>
        <w:rPr>
          <w:rFonts w:ascii="Consolas" w:hAnsi="Consolas"/>
          <w:sz w:val="14"/>
          <w:rFonts w:ascii="Consolas" w:hAnsi="Consolas" w:cs="Consolas"/>
        </w:rPr>
        <w:t xml:space="preserve">  FROM lead_mes l FULL OUTER JOIN fact_mes f ON l.mes = f.mes</w:t>
      </w:r>
    </w:p>
    <w:p>
      <w:pPr>
        <w:spacing w:after="0" w:before="0"/>
        <w:ind w:left="283"/>
        <w:jc w:val="left"/>
      </w:pPr>
      <w:r>
        <w:rPr>
          <w:rFonts w:ascii="Consolas" w:hAnsi="Consolas"/>
          <w:sz w:val="14"/>
          <w:rFonts w:ascii="Consolas" w:hAnsi="Consolas" w:cs="Consolas"/>
        </w:rPr>
        <w:t xml:space="preserve"> ORDER BY mes DESC;</w:t>
      </w:r>
    </w:p>
    <w:p>
      <w:pPr>
        <w:spacing w:after="0" w:before="0"/>
        <w:ind w:left="283"/>
        <w:jc w:val="left"/>
      </w:pPr>
      <w:r>
        <w:rPr>
          <w:rFonts w:ascii="Consolas" w:hAnsi="Consolas"/>
          <w:sz w:val="14"/>
          <w:rFonts w:ascii="Consolas" w:hAnsi="Consolas" w:cs="Consolas"/>
        </w:rPr>
        <w:t xml:space="preserve"> </w:t>
      </w:r>
    </w:p>
    <w:p>
      <w:pPr>
        <w:spacing w:after="0" w:before="0"/>
        <w:ind w:left="283"/>
        <w:jc w:val="left"/>
      </w:pPr>
      <w:r>
        <w:rPr>
          <w:rFonts w:ascii="Consolas" w:hAnsi="Consolas"/>
          <w:sz w:val="14"/>
          <w:rFonts w:ascii="Consolas" w:hAnsi="Consolas" w:cs="Consolas"/>
        </w:rPr>
        <w:t>CREATE OR REPLACE VIEW facturas_pendientes WITH (security_invoker = true) AS</w:t>
      </w:r>
    </w:p>
    <w:p>
      <w:pPr>
        <w:spacing w:after="0" w:before="0"/>
        <w:ind w:left="283"/>
        <w:jc w:val="left"/>
      </w:pPr>
      <w:r>
        <w:rPr>
          <w:rFonts w:ascii="Consolas" w:hAnsi="Consolas"/>
          <w:sz w:val="14"/>
          <w:rFonts w:ascii="Consolas" w:hAnsi="Consolas" w:cs="Consolas"/>
        </w:rPr>
        <w:t>SELECT f.*, (f.fecha_vencimiento::date - now()::date) AS dias_al_vencimiento</w:t>
      </w:r>
    </w:p>
    <w:p>
      <w:pPr>
        <w:spacing w:after="0" w:before="0"/>
        <w:ind w:left="283"/>
        <w:jc w:val="left"/>
      </w:pPr>
      <w:r>
        <w:rPr>
          <w:rFonts w:ascii="Consolas" w:hAnsi="Consolas"/>
          <w:sz w:val="14"/>
          <w:rFonts w:ascii="Consolas" w:hAnsi="Consolas" w:cs="Consolas"/>
        </w:rPr>
        <w:t xml:space="preserve">  FROM facturas f</w:t>
      </w:r>
    </w:p>
    <w:p>
      <w:pPr>
        <w:spacing w:after="0" w:before="0"/>
        <w:ind w:left="283"/>
        <w:jc w:val="left"/>
      </w:pPr>
      <w:r>
        <w:rPr>
          <w:rFonts w:ascii="Consolas" w:hAnsi="Consolas"/>
          <w:sz w:val="14"/>
          <w:rFonts w:ascii="Consolas" w:hAnsi="Consolas" w:cs="Consolas"/>
        </w:rPr>
        <w:t xml:space="preserve"> WHERE f.estado_pago = 'PENDIENTE';</w:t>
      </w:r>
    </w:p>
    <w:p>
      <w:pPr/>
      <w:r>
        <w:rPr>
          <w:b w:val="0"/>
          <w:i/>
          <w:sz w:val="15"/>
        </w:rPr>
        <w:t>Nota. Reproducción de db/schema.sql. Se omiten las cláusulas defensivas (DO $$ … EXCEPTION WHEN duplicate_object) que hacen idempotente la creación de los tipos enumerados, y se sustituye por un marcador el correo del usuario administrador que el archivo original consigna en claro. El fragmento de seguridad a nivel de fila se reproduce en el Anexo C.</w:t>
      </w:r>
    </w:p>
    <w:p>
      <w:pPr/>
      <w:r>
        <w:br w:type="page"/>
      </w:r>
    </w:p>
    <w:p>
      <w:pPr>
        <w:pStyle w:val="Ttulo2"/>
      </w:pPr>
      <w:r>
        <w:rPr>
          <w:b w:val="0"/>
          <w:i w:val="0"/>
        </w:rPr>
        <w:t>Anexo G. Puesta en marcha del entorno</w:t>
      </w:r>
    </w:p>
    <w:p>
      <w:pPr/>
      <w:r>
        <w:rPr>
          <w:b w:val="0"/>
          <w:i w:val="0"/>
        </w:rPr>
        <w:t>Este anexo reúne el procedimiento mínimo para levantar el sistema en una máquina limpia, requisito del RNF7 y condición para que un tercero pueda reproducir los escenarios del Capítulo 5.</w:t>
      </w:r>
    </w:p>
    <w:p>
      <w:pPr/>
      <w:r>
        <w:rPr>
          <w:b/>
          <w:i w:val="0"/>
        </w:rPr>
        <w:t>1. Base de datos.</w:t>
      </w:r>
      <w:r>
        <w:rPr>
          <w:b w:val="0"/>
          <w:i w:val="0"/>
        </w:rPr>
        <w:t xml:space="preserve"> Crear un proyecto de Supabase y ejecutar el contenido de </w:t>
      </w:r>
      <w:r>
        <w:rPr>
          <w:rFonts w:ascii="Consolas" w:hAnsi="Consolas" w:cs="Consolas"/>
          <w:b w:val="0"/>
          <w:i w:val="0"/>
        </w:rPr>
        <w:t>db/schema.sql</w:t>
      </w:r>
      <w:r>
        <w:rPr>
          <w:b w:val="0"/>
          <w:i w:val="0"/>
        </w:rPr>
        <w:t xml:space="preserve"> (Anexos C y F) en el editor SQL. El archivo es idempotente.</w:t>
      </w:r>
    </w:p>
    <w:p>
      <w:pPr/>
      <w:r>
        <w:rPr>
          <w:b/>
          <w:i w:val="0"/>
        </w:rPr>
        <w:t>2. Orquestador y conversor de documentos.</w:t>
      </w:r>
      <w:r>
        <w:rPr>
          <w:b w:val="0"/>
          <w:i w:val="0"/>
        </w:rPr>
        <w:t xml:space="preserve"> Desde la raíz del repositorio, ejecutar </w:t>
      </w:r>
      <w:r>
        <w:rPr>
          <w:rFonts w:ascii="Consolas" w:hAnsi="Consolas" w:cs="Consolas"/>
          <w:b w:val="0"/>
          <w:i w:val="0"/>
        </w:rPr>
        <w:t>docker compose up -d</w:t>
      </w:r>
      <w:r>
        <w:rPr>
          <w:b w:val="0"/>
          <w:i w:val="0"/>
        </w:rPr>
        <w:t xml:space="preserve">. El archivo </w:t>
      </w:r>
      <w:r>
        <w:rPr>
          <w:rFonts w:ascii="Consolas" w:hAnsi="Consolas" w:cs="Consolas"/>
          <w:b w:val="0"/>
          <w:i w:val="0"/>
        </w:rPr>
        <w:t>docker-compose.yml</w:t>
      </w:r>
      <w:r>
        <w:rPr>
          <w:b w:val="0"/>
          <w:i w:val="0"/>
        </w:rPr>
        <w:t xml:space="preserve"> levanta n8n (puerto 5678) y Gotenberg en una red interna común, de modo que n8n alcance a Gotenberg por nombre de host. La base de datos no forma parte de la composición: reside en Supabase.</w:t>
      </w:r>
    </w:p>
    <w:p>
      <w:pPr/>
      <w:r>
        <w:rPr>
          <w:b/>
          <w:i w:val="0"/>
        </w:rPr>
        <w:t>3. Flujo de trabajo.</w:t>
      </w:r>
      <w:r>
        <w:rPr>
          <w:b w:val="0"/>
          <w:i w:val="0"/>
        </w:rPr>
        <w:t xml:space="preserve"> Importar </w:t>
      </w:r>
      <w:r>
        <w:rPr>
          <w:rFonts w:ascii="Consolas" w:hAnsi="Consolas" w:cs="Consolas"/>
          <w:b w:val="0"/>
          <w:i w:val="0"/>
        </w:rPr>
        <w:t>workflow/crm_postgres.json</w:t>
      </w:r>
      <w:r>
        <w:rPr>
          <w:b w:val="0"/>
          <w:i w:val="0"/>
        </w:rPr>
        <w:t xml:space="preserve"> en la instancia de n8n y configurar las credenciales de PostgreSQL, Gmail, Telegram y Notion.</w:t>
      </w:r>
    </w:p>
    <w:p>
      <w:pPr/>
      <w:r>
        <w:rPr>
          <w:b/>
          <w:i w:val="0"/>
        </w:rPr>
        <w:t>4. Frontend.</w:t>
      </w:r>
      <w:r>
        <w:rPr>
          <w:b w:val="0"/>
          <w:i w:val="0"/>
        </w:rPr>
        <w:t xml:space="preserve"> Instalar dependencias, crear el archivo de variables de entorno a partir de </w:t>
      </w:r>
      <w:r>
        <w:rPr>
          <w:rFonts w:ascii="Consolas" w:hAnsi="Consolas" w:cs="Consolas"/>
          <w:b w:val="0"/>
          <w:i w:val="0"/>
        </w:rPr>
        <w:t>.env.example</w:t>
      </w:r>
      <w:r>
        <w:rPr>
          <w:b w:val="0"/>
          <w:i w:val="0"/>
        </w:rPr>
        <w:t xml:space="preserve"> y ejecutar el proyecto. La Tabla 21 detalla las variables requeridas.</w:t>
      </w:r>
    </w:p>
    <w:p>
      <w:pPr>
        <w:keepNext/>
      </w:pPr>
      <w:r>
        <w:rPr>
          <w:b w:val="0"/>
          <w:i w:val="0"/>
        </w:rPr>
        <w:t>Tabla 21. Variables de entorno requeridas</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5000" w:type="pct"/>
      </w:tblPr>
      <w:tblGrid>
        <w:gridCol w:w="2929"/>
        <w:gridCol w:w="2929"/>
        <w:gridCol w:w="2929"/>
      </w:tblGrid>
      <w:tr>
        <w:trPr>
          <w:tblHeader/>
        </w:trPr>
        <w:tc>
          <w:tcPr>
            <w:tcW w:type="dxa" w:w="2835"/>
            <w:shd w:val="clear" w:color="auto" w:fill="1F2937"/>
          </w:tcPr>
          <w:p>
            <w:pPr>
              <w:spacing w:after="40" w:before="40"/>
              <w:jc w:val="left"/>
            </w:pPr>
            <w:r>
              <w:rPr>
                <w:b/>
                <w:i w:val="0"/>
                <w:color w:val="FFFFFF"/>
                <w:sz w:val="14"/>
              </w:rPr>
              <w:t>Variable</w:t>
            </w:r>
          </w:p>
        </w:tc>
        <w:tc>
          <w:tcPr>
            <w:tcW w:type="dxa" w:w="1928"/>
            <w:shd w:val="clear" w:color="auto" w:fill="1F2937"/>
          </w:tcPr>
          <w:p>
            <w:pPr>
              <w:spacing w:after="40" w:before="40"/>
              <w:jc w:val="left"/>
            </w:pPr>
            <w:r>
              <w:rPr>
                <w:b/>
                <w:i w:val="0"/>
                <w:color w:val="FFFFFF"/>
                <w:sz w:val="14"/>
              </w:rPr>
              <w:t>Ámbito</w:t>
            </w:r>
          </w:p>
        </w:tc>
        <w:tc>
          <w:tcPr>
            <w:tcW w:type="dxa" w:w="4025"/>
            <w:shd w:val="clear" w:color="auto" w:fill="1F2937"/>
          </w:tcPr>
          <w:p>
            <w:pPr>
              <w:spacing w:after="40" w:before="40"/>
              <w:jc w:val="left"/>
            </w:pPr>
            <w:r>
              <w:rPr>
                <w:b/>
                <w:i w:val="0"/>
                <w:color w:val="FFFFFF"/>
                <w:sz w:val="14"/>
              </w:rPr>
              <w:t>Descripción</w:t>
            </w:r>
          </w:p>
        </w:tc>
      </w:tr>
      <w:tr>
        <w:tc>
          <w:tcPr>
            <w:tcW w:type="dxa" w:w="2835"/>
          </w:tcPr>
          <w:p>
            <w:pPr>
              <w:spacing w:after="40" w:before="40"/>
              <w:jc w:val="left"/>
            </w:pPr>
            <w:r>
              <w:rPr>
                <w:b w:val="0"/>
                <w:i w:val="0"/>
                <w:sz w:val="14"/>
                <w:rFonts w:ascii="Consolas" w:hAnsi="Consolas" w:cs="Consolas"/>
              </w:rPr>
              <w:t>NEXT_PUBLIC_N8N_BASE</w:t>
            </w:r>
          </w:p>
        </w:tc>
        <w:tc>
          <w:tcPr>
            <w:tcW w:type="dxa" w:w="1928"/>
          </w:tcPr>
          <w:p>
            <w:pPr>
              <w:spacing w:after="40" w:before="40"/>
              <w:jc w:val="left"/>
            </w:pPr>
            <w:r>
              <w:rPr>
                <w:b w:val="0"/>
                <w:i w:val="0"/>
                <w:sz w:val="14"/>
              </w:rPr>
              <w:t>Frontend (pública)</w:t>
            </w:r>
          </w:p>
        </w:tc>
        <w:tc>
          <w:tcPr>
            <w:tcW w:type="dxa" w:w="4025"/>
          </w:tcPr>
          <w:p>
            <w:pPr>
              <w:spacing w:after="40" w:before="40"/>
              <w:jc w:val="left"/>
            </w:pPr>
            <w:r>
              <w:rPr>
                <w:b w:val="0"/>
                <w:i w:val="0"/>
                <w:sz w:val="14"/>
              </w:rPr>
              <w:t xml:space="preserve">URL base de la instancia de n8n. En local, </w:t>
            </w:r>
            <w:r>
              <w:rPr>
                <w:b w:val="0"/>
                <w:i w:val="0"/>
                <w:sz w:val="14"/>
                <w:rFonts w:ascii="Consolas" w:hAnsi="Consolas" w:cs="Consolas"/>
              </w:rPr>
              <w:t>http://localhost:5678</w:t>
            </w:r>
            <w:r>
              <w:rPr>
                <w:b w:val="0"/>
                <w:i w:val="0"/>
                <w:sz w:val="14"/>
              </w:rPr>
              <w:t>.</w:t>
            </w:r>
          </w:p>
        </w:tc>
      </w:tr>
      <w:tr>
        <w:tc>
          <w:tcPr>
            <w:tcW w:type="dxa" w:w="2835"/>
          </w:tcPr>
          <w:p>
            <w:pPr>
              <w:spacing w:after="40" w:before="40"/>
              <w:jc w:val="left"/>
            </w:pPr>
            <w:r>
              <w:rPr>
                <w:b w:val="0"/>
                <w:i w:val="0"/>
                <w:sz w:val="14"/>
                <w:rFonts w:ascii="Consolas" w:hAnsi="Consolas" w:cs="Consolas"/>
              </w:rPr>
              <w:t>NEXT_PUBLIC_SUPABASE_URL</w:t>
            </w:r>
          </w:p>
        </w:tc>
        <w:tc>
          <w:tcPr>
            <w:tcW w:type="dxa" w:w="1928"/>
          </w:tcPr>
          <w:p>
            <w:pPr>
              <w:spacing w:after="40" w:before="40"/>
              <w:jc w:val="left"/>
            </w:pPr>
            <w:r>
              <w:rPr>
                <w:b w:val="0"/>
                <w:i w:val="0"/>
                <w:sz w:val="14"/>
              </w:rPr>
              <w:t>Frontend (pública)</w:t>
            </w:r>
          </w:p>
        </w:tc>
        <w:tc>
          <w:tcPr>
            <w:tcW w:type="dxa" w:w="4025"/>
          </w:tcPr>
          <w:p>
            <w:pPr>
              <w:spacing w:after="40" w:before="40"/>
              <w:jc w:val="left"/>
            </w:pPr>
            <w:r>
              <w:rPr>
                <w:b w:val="0"/>
                <w:i w:val="0"/>
                <w:sz w:val="14"/>
              </w:rPr>
              <w:t>URL del proyecto de Supabase.</w:t>
            </w:r>
          </w:p>
        </w:tc>
      </w:tr>
      <w:tr>
        <w:tc>
          <w:tcPr>
            <w:tcW w:type="dxa" w:w="2835"/>
          </w:tcPr>
          <w:p>
            <w:pPr>
              <w:spacing w:after="40" w:before="40"/>
              <w:jc w:val="left"/>
            </w:pPr>
            <w:r>
              <w:rPr>
                <w:b w:val="0"/>
                <w:i w:val="0"/>
                <w:sz w:val="14"/>
                <w:rFonts w:ascii="Consolas" w:hAnsi="Consolas" w:cs="Consolas"/>
              </w:rPr>
              <w:t>NEXT_PUBLIC_SUPABASE_ANON_KEY</w:t>
            </w:r>
          </w:p>
        </w:tc>
        <w:tc>
          <w:tcPr>
            <w:tcW w:type="dxa" w:w="1928"/>
          </w:tcPr>
          <w:p>
            <w:pPr>
              <w:spacing w:after="40" w:before="40"/>
              <w:jc w:val="left"/>
            </w:pPr>
            <w:r>
              <w:rPr>
                <w:b w:val="0"/>
                <w:i w:val="0"/>
                <w:sz w:val="14"/>
              </w:rPr>
              <w:t>Frontend (pública)</w:t>
            </w:r>
          </w:p>
        </w:tc>
        <w:tc>
          <w:tcPr>
            <w:tcW w:type="dxa" w:w="4025"/>
          </w:tcPr>
          <w:p>
            <w:pPr>
              <w:spacing w:after="40" w:before="40"/>
              <w:jc w:val="left"/>
            </w:pPr>
            <w:r>
              <w:rPr>
                <w:b w:val="0"/>
                <w:i w:val="0"/>
                <w:sz w:val="14"/>
              </w:rPr>
              <w:t>Clave pública de Supabase. Es la única que emplea el navegador; el acceso queda acotado por las políticas RLS.</w:t>
            </w:r>
          </w:p>
        </w:tc>
      </w:tr>
      <w:tr>
        <w:tc>
          <w:tcPr>
            <w:tcW w:type="dxa" w:w="2835"/>
          </w:tcPr>
          <w:p>
            <w:pPr>
              <w:spacing w:after="40" w:before="40"/>
              <w:jc w:val="left"/>
            </w:pPr>
            <w:r>
              <w:rPr>
                <w:b w:val="0"/>
                <w:i w:val="0"/>
                <w:sz w:val="14"/>
                <w:rFonts w:ascii="Consolas" w:hAnsi="Consolas" w:cs="Consolas"/>
              </w:rPr>
              <w:t>SUPABASE_SERVICE_ROLE_KEY</w:t>
            </w:r>
          </w:p>
        </w:tc>
        <w:tc>
          <w:tcPr>
            <w:tcW w:type="dxa" w:w="1928"/>
          </w:tcPr>
          <w:p>
            <w:pPr>
              <w:spacing w:after="40" w:before="40"/>
              <w:jc w:val="left"/>
            </w:pPr>
            <w:r>
              <w:rPr>
                <w:b w:val="0"/>
                <w:i w:val="0"/>
                <w:sz w:val="14"/>
              </w:rPr>
              <w:t>Frontend (servidor)</w:t>
            </w:r>
          </w:p>
        </w:tc>
        <w:tc>
          <w:tcPr>
            <w:tcW w:type="dxa" w:w="4025"/>
          </w:tcPr>
          <w:p>
            <w:pPr>
              <w:spacing w:after="40" w:before="40"/>
              <w:jc w:val="left"/>
            </w:pPr>
            <w:r>
              <w:rPr>
                <w:b/>
                <w:i w:val="0"/>
                <w:sz w:val="14"/>
              </w:rPr>
              <w:t>Secreta.</w:t>
            </w:r>
            <w:r>
              <w:rPr>
                <w:b w:val="0"/>
                <w:i w:val="0"/>
                <w:sz w:val="14"/>
              </w:rPr>
              <w:t xml:space="preserve"> Evade la RLS por diseño. No debe versionarse ni exponerse al navegador.</w:t>
            </w:r>
          </w:p>
        </w:tc>
      </w:tr>
      <w:tr>
        <w:tc>
          <w:tcPr>
            <w:tcW w:type="dxa" w:w="2835"/>
          </w:tcPr>
          <w:p>
            <w:pPr>
              <w:spacing w:after="40" w:before="40"/>
              <w:jc w:val="left"/>
            </w:pPr>
            <w:r>
              <w:rPr>
                <w:b w:val="0"/>
                <w:i w:val="0"/>
                <w:sz w:val="14"/>
                <w:rFonts w:ascii="Consolas" w:hAnsi="Consolas" w:cs="Consolas"/>
              </w:rPr>
              <w:t>N8N_PUBLIC_URL</w:t>
            </w:r>
          </w:p>
        </w:tc>
        <w:tc>
          <w:tcPr>
            <w:tcW w:type="dxa" w:w="1928"/>
          </w:tcPr>
          <w:p>
            <w:pPr>
              <w:spacing w:after="40" w:before="40"/>
              <w:jc w:val="left"/>
            </w:pPr>
            <w:r>
              <w:rPr>
                <w:b w:val="0"/>
                <w:i w:val="0"/>
                <w:sz w:val="14"/>
              </w:rPr>
              <w:t>Contenedor de n8n</w:t>
            </w:r>
          </w:p>
        </w:tc>
        <w:tc>
          <w:tcPr>
            <w:tcW w:type="dxa" w:w="4025"/>
          </w:tcPr>
          <w:p>
            <w:pPr>
              <w:spacing w:after="40" w:before="40"/>
              <w:jc w:val="left"/>
            </w:pPr>
            <w:r>
              <w:rPr>
                <w:b w:val="0"/>
                <w:i w:val="0"/>
                <w:sz w:val="14"/>
              </w:rPr>
              <w:t>URL pública con la que n8n se anuncia a sí mismo; necesaria para que los webhooks sean alcanzables desde fuera de la máquina.</w:t>
            </w:r>
          </w:p>
        </w:tc>
      </w:tr>
      <w:tr>
        <w:tc>
          <w:tcPr>
            <w:tcW w:type="dxa" w:w="2835"/>
          </w:tcPr>
          <w:p>
            <w:pPr>
              <w:spacing w:after="40" w:before="40"/>
              <w:jc w:val="left"/>
            </w:pPr>
            <w:r>
              <w:rPr>
                <w:b w:val="0"/>
                <w:i w:val="0"/>
                <w:sz w:val="14"/>
                <w:rFonts w:ascii="Consolas" w:hAnsi="Consolas" w:cs="Consolas"/>
              </w:rPr>
              <w:t>TELEGRAM_CHAT_ID</w:t>
            </w:r>
          </w:p>
        </w:tc>
        <w:tc>
          <w:tcPr>
            <w:tcW w:type="dxa" w:w="1928"/>
          </w:tcPr>
          <w:p>
            <w:pPr>
              <w:spacing w:after="40" w:before="40"/>
              <w:jc w:val="left"/>
            </w:pPr>
            <w:r>
              <w:rPr>
                <w:b w:val="0"/>
                <w:i w:val="0"/>
                <w:sz w:val="14"/>
              </w:rPr>
              <w:t>Contenedor de n8n</w:t>
            </w:r>
          </w:p>
        </w:tc>
        <w:tc>
          <w:tcPr>
            <w:tcW w:type="dxa" w:w="4025"/>
          </w:tcPr>
          <w:p>
            <w:pPr>
              <w:spacing w:after="40" w:before="40"/>
              <w:jc w:val="left"/>
            </w:pPr>
            <w:r>
              <w:rPr>
                <w:b w:val="0"/>
                <w:i w:val="0"/>
                <w:sz w:val="14"/>
              </w:rPr>
              <w:t>Identificador del chat de destino de las notificaciones.</w:t>
            </w:r>
          </w:p>
        </w:tc>
      </w:tr>
      <w:tr>
        <w:tc>
          <w:tcPr>
            <w:tcW w:type="dxa" w:w="2835"/>
          </w:tcPr>
          <w:p>
            <w:pPr>
              <w:spacing w:after="40" w:before="40"/>
              <w:jc w:val="left"/>
            </w:pPr>
            <w:r>
              <w:rPr>
                <w:b w:val="0"/>
                <w:i w:val="0"/>
                <w:sz w:val="14"/>
                <w:rFonts w:ascii="Consolas" w:hAnsi="Consolas" w:cs="Consolas"/>
              </w:rPr>
              <w:t>NOTION_DATABASE_ID</w:t>
            </w:r>
          </w:p>
        </w:tc>
        <w:tc>
          <w:tcPr>
            <w:tcW w:type="dxa" w:w="1928"/>
          </w:tcPr>
          <w:p>
            <w:pPr>
              <w:spacing w:after="40" w:before="40"/>
              <w:jc w:val="left"/>
            </w:pPr>
            <w:r>
              <w:rPr>
                <w:b w:val="0"/>
                <w:i w:val="0"/>
                <w:sz w:val="14"/>
              </w:rPr>
              <w:t>Contenedor de n8n</w:t>
            </w:r>
          </w:p>
        </w:tc>
        <w:tc>
          <w:tcPr>
            <w:tcW w:type="dxa" w:w="4025"/>
          </w:tcPr>
          <w:p>
            <w:pPr>
              <w:spacing w:after="40" w:before="40"/>
              <w:jc w:val="left"/>
            </w:pPr>
            <w:r>
              <w:rPr>
                <w:b w:val="0"/>
                <w:i w:val="0"/>
                <w:sz w:val="14"/>
              </w:rPr>
              <w:t>Identificador de la base de Notion sincronizada.</w:t>
            </w:r>
          </w:p>
        </w:tc>
      </w:tr>
      <w:tr>
        <w:tc>
          <w:tcPr>
            <w:tcW w:type="dxa" w:w="2835"/>
          </w:tcPr>
          <w:p>
            <w:pPr>
              <w:spacing w:after="40" w:before="40"/>
              <w:jc w:val="left"/>
            </w:pPr>
            <w:r>
              <w:rPr>
                <w:b w:val="0"/>
                <w:i w:val="0"/>
                <w:sz w:val="14"/>
                <w:rFonts w:ascii="Consolas" w:hAnsi="Consolas" w:cs="Consolas"/>
              </w:rPr>
              <w:t>MP_ACCESS_TOKEN</w:t>
            </w:r>
          </w:p>
        </w:tc>
        <w:tc>
          <w:tcPr>
            <w:tcW w:type="dxa" w:w="1928"/>
          </w:tcPr>
          <w:p>
            <w:pPr>
              <w:spacing w:after="40" w:before="40"/>
              <w:jc w:val="left"/>
            </w:pPr>
            <w:r>
              <w:rPr>
                <w:b w:val="0"/>
                <w:i w:val="0"/>
                <w:sz w:val="14"/>
              </w:rPr>
              <w:t>*(vacía)*</w:t>
            </w:r>
          </w:p>
        </w:tc>
        <w:tc>
          <w:tcPr>
            <w:tcW w:type="dxa" w:w="4025"/>
          </w:tcPr>
          <w:p>
            <w:pPr>
              <w:spacing w:after="40" w:before="40"/>
              <w:jc w:val="left"/>
            </w:pPr>
            <w:r>
              <w:rPr>
                <w:b w:val="0"/>
                <w:i w:val="0"/>
                <w:sz w:val="14"/>
              </w:rPr>
              <w:t>Credencial de la cuenta de MercadoPago que cobra. Vacía por defecto: sin ella, el sistema opera en modo de desarrollo (§4.3.3).</w:t>
            </w:r>
          </w:p>
        </w:tc>
      </w:tr>
      <w:tr>
        <w:tc>
          <w:tcPr>
            <w:tcW w:type="dxa" w:w="2835"/>
          </w:tcPr>
          <w:p>
            <w:pPr>
              <w:spacing w:after="40" w:before="40"/>
              <w:jc w:val="left"/>
            </w:pPr>
            <w:r>
              <w:rPr>
                <w:b w:val="0"/>
                <w:i w:val="0"/>
                <w:sz w:val="14"/>
                <w:rFonts w:ascii="Consolas" w:hAnsi="Consolas" w:cs="Consolas"/>
              </w:rPr>
              <w:t>MP_CURRENCY</w:t>
            </w:r>
          </w:p>
        </w:tc>
        <w:tc>
          <w:tcPr>
            <w:tcW w:type="dxa" w:w="1928"/>
          </w:tcPr>
          <w:p>
            <w:pPr>
              <w:spacing w:after="40" w:before="40"/>
              <w:jc w:val="left"/>
            </w:pPr>
            <w:r>
              <w:rPr>
                <w:b w:val="0"/>
                <w:i w:val="0"/>
                <w:sz w:val="14"/>
              </w:rPr>
              <w:t>ARS</w:t>
            </w:r>
          </w:p>
        </w:tc>
        <w:tc>
          <w:tcPr>
            <w:tcW w:type="dxa" w:w="4025"/>
          </w:tcPr>
          <w:p>
            <w:pPr>
              <w:spacing w:after="40" w:before="40"/>
              <w:jc w:val="left"/>
            </w:pPr>
            <w:r>
              <w:rPr>
                <w:b w:val="0"/>
                <w:i w:val="0"/>
                <w:sz w:val="14"/>
              </w:rPr>
              <w:t>Moneda de la preferencia de checkout; debe coincidir con el país de la cuenta de MercadoPago.</w:t>
            </w:r>
          </w:p>
        </w:tc>
      </w:tr>
      <w:tr>
        <w:tc>
          <w:tcPr>
            <w:tcW w:type="dxa" w:w="2835"/>
          </w:tcPr>
          <w:p>
            <w:pPr>
              <w:spacing w:after="40" w:before="40"/>
              <w:jc w:val="left"/>
            </w:pPr>
            <w:r>
              <w:rPr>
                <w:b w:val="0"/>
                <w:i w:val="0"/>
                <w:sz w:val="14"/>
                <w:rFonts w:ascii="Consolas" w:hAnsi="Consolas" w:cs="Consolas"/>
              </w:rPr>
              <w:t>MP_COMISION_PORCENTAJE</w:t>
            </w:r>
          </w:p>
        </w:tc>
        <w:tc>
          <w:tcPr>
            <w:tcW w:type="dxa" w:w="1928"/>
          </w:tcPr>
          <w:p>
            <w:pPr>
              <w:spacing w:after="40" w:before="40"/>
              <w:jc w:val="left"/>
            </w:pPr>
            <w:r>
              <w:rPr>
                <w:b w:val="0"/>
                <w:i w:val="0"/>
                <w:sz w:val="14"/>
              </w:rPr>
              <w:t>1</w:t>
            </w:r>
          </w:p>
        </w:tc>
        <w:tc>
          <w:tcPr>
            <w:tcW w:type="dxa" w:w="4025"/>
          </w:tcPr>
          <w:p>
            <w:pPr>
              <w:spacing w:after="40" w:before="40"/>
              <w:jc w:val="left"/>
            </w:pPr>
            <w:r>
              <w:rPr>
                <w:b w:val="0"/>
                <w:i w:val="0"/>
                <w:sz w:val="14"/>
              </w:rPr>
              <w:t>Porcentaje del monto que se registra como comisión de la plataforma. Es contable, no una transferencia real.</w:t>
            </w:r>
          </w:p>
        </w:tc>
      </w:tr>
      <w:tr>
        <w:tc>
          <w:tcPr>
            <w:tcW w:type="dxa" w:w="2835"/>
          </w:tcPr>
          <w:p>
            <w:pPr>
              <w:spacing w:after="40" w:before="40"/>
              <w:jc w:val="left"/>
            </w:pPr>
            <w:r>
              <w:rPr>
                <w:b w:val="0"/>
                <w:i w:val="0"/>
                <w:sz w:val="14"/>
                <w:rFonts w:ascii="Consolas" w:hAnsi="Consolas" w:cs="Consolas"/>
              </w:rPr>
              <w:t>MP_WEBHOOK_SECRET</w:t>
            </w:r>
          </w:p>
        </w:tc>
        <w:tc>
          <w:tcPr>
            <w:tcW w:type="dxa" w:w="1928"/>
          </w:tcPr>
          <w:p>
            <w:pPr>
              <w:spacing w:after="40" w:before="40"/>
              <w:jc w:val="left"/>
            </w:pPr>
            <w:r>
              <w:rPr>
                <w:b w:val="0"/>
                <w:i w:val="0"/>
                <w:sz w:val="14"/>
              </w:rPr>
              <w:t>*(vacía)*</w:t>
            </w:r>
          </w:p>
        </w:tc>
        <w:tc>
          <w:tcPr>
            <w:tcW w:type="dxa" w:w="4025"/>
          </w:tcPr>
          <w:p>
            <w:pPr>
              <w:spacing w:after="40" w:before="40"/>
              <w:jc w:val="left"/>
            </w:pPr>
            <w:r>
              <w:rPr>
                <w:b w:val="0"/>
                <w:i w:val="0"/>
                <w:sz w:val="14"/>
              </w:rPr>
              <w:t>Secreto para validar la firma del webhook de notificación. Vacía por defecto: no valida (Tabla 11, S8).</w:t>
            </w:r>
          </w:p>
        </w:tc>
      </w:tr>
    </w:tbl>
    <w:p>
      <w:pPr/>
      <w:r>
        <w:rPr>
          <w:b w:val="0"/>
          <w:i/>
          <w:sz w:val="15"/>
        </w:rPr>
        <w:t>Nota. Elaboración propia a partir de .env.example y docker-compose.yml. Ninguna variable secreta se versiona en el repositorio.</w:t>
      </w:r>
    </w:p>
    <w:p>
      <w:pPr/>
      <w:r>
        <w:rPr>
          <w:b/>
          <w:i w:val="0"/>
        </w:rPr>
        <w:t>5. Verificación.</w:t>
      </w:r>
      <w:r>
        <w:rPr>
          <w:b w:val="0"/>
          <w:i w:val="0"/>
        </w:rPr>
        <w:t xml:space="preserve"> Enviar un lead desde el formulario y comprobar que se persiste en la tabla </w:t>
      </w:r>
      <w:r>
        <w:rPr>
          <w:rFonts w:ascii="Consolas" w:hAnsi="Consolas" w:cs="Consolas"/>
          <w:b w:val="0"/>
          <w:i w:val="0"/>
        </w:rPr>
        <w:t>leads</w:t>
      </w:r>
      <w:r>
        <w:rPr>
          <w:b w:val="0"/>
          <w:i w:val="0"/>
        </w:rPr>
        <w:t xml:space="preserve"> con su score y su nivel, y que el tablero lo refleja sin recarga. Ese recorrido corresponde a los escenarios E1 y E7 del Capítulo 5.</w:t>
      </w:r>
    </w:p>
    <w:p>
      <w:r>
        <w:br w:type="page"/>
      </w:r>
    </w:p>
    <w:sectPr w:rsidR="00D60FC7">
      <w:footerReference w:type="default" r:id="rId7"/>
      <w:pgSz w:w="11906" w:h="16838"/>
      <w:pgMar w:top="1417" w:right="1417"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34738" w:rsidRDefault="00034738">
      <w:pPr>
        <w:spacing w:after="0" w:line="240" w:lineRule="auto"/>
      </w:pPr>
      <w:r>
        <w:separator/>
      </w:r>
    </w:p>
  </w:endnote>
  <w:endnote w:type="continuationSeparator" w:id="0">
    <w:p w:rsidR="00034738" w:rsidRDefault="000347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60FC7" w:rsidRDefault="00000000">
    <w:pPr>
      <w:jc w:val="center"/>
    </w:pPr>
    <w:r>
      <w:fldChar w:fldCharType="begin"/>
    </w:r>
    <w:r>
      <w:instrText xml:space="preserve"> PAGE </w:instrText>
    </w:r>
    <w:r w:rsidR="00AC2B3E">
      <w:fldChar w:fldCharType="separate"/>
    </w:r>
    <w:r w:rsidR="00AC2B3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34738" w:rsidRDefault="00034738">
      <w:pPr>
        <w:spacing w:after="0" w:line="240" w:lineRule="auto"/>
      </w:pPr>
      <w:r>
        <w:separator/>
      </w:r>
    </w:p>
  </w:footnote>
  <w:footnote w:type="continuationSeparator" w:id="0">
    <w:p w:rsidR="00034738" w:rsidRDefault="000347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2E2429"/>
    <w:multiLevelType w:val="multilevel"/>
    <w:tmpl w:val="FD428F48"/>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Courier New" w:hAnsi="Courier New"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27294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updateFields w:val="tru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60FC7"/>
    <w:rsid w:val="00034738"/>
    <w:rsid w:val="00296F99"/>
    <w:rsid w:val="00AC2B3E"/>
    <w:rsid w:val="00D60FC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docId w15:val="{CA532CEF-F1DA-1D46-93CE-9559B5F6143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line="276" w:lineRule="auto"/>
      <w:jc w:val="left"/>
      <w:outlineLvl w:val="0"/>
    </w:pPr>
    <w:rPr>
      <w:b/>
      <w:color w:val="1F2937"/>
      <w:sz w:val="32"/>
      <w:szCs w:val="32"/>
    </w:rPr>
  </w:style>
  <w:style w:type="paragraph" w:styleId="Ttulo2">
    <w:name w:val="heading 2"/>
    <w:basedOn w:val="Normal"/>
    <w:next w:val="Normal"/>
    <w:uiPriority w:val="9"/>
    <w:unhideWhenUsed/>
    <w:qFormat/>
    <w:pPr>
      <w:keepNext/>
      <w:spacing w:before="280" w:after="120" w:line="276" w:lineRule="auto"/>
      <w:jc w:val="left"/>
      <w:outlineLvl w:val="1"/>
    </w:pPr>
    <w:rPr>
      <w:b/>
      <w:color w:val="1F2937"/>
      <w:sz w:val="28"/>
      <w:szCs w:val="28"/>
    </w:rPr>
  </w:style>
  <w:style w:type="paragraph" w:styleId="Ttulo3">
    <w:name w:val="heading 3"/>
    <w:basedOn w:val="Normal"/>
    <w:next w:val="Normal"/>
    <w:uiPriority w:val="9"/>
    <w:unhideWhenUsed/>
    <w:qFormat/>
    <w:pPr>
      <w:keepNext/>
      <w:spacing w:before="200" w:after="100" w:line="276" w:lineRule="auto"/>
      <w:jc w:val="left"/>
      <w:outlineLvl w:val="2"/>
    </w:pPr>
    <w:rPr>
      <w:b/>
      <w:color w:val="1F2937"/>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uiPriority w:val="10"/>
    <w:qFormat/>
    <w:pPr>
      <w:spacing w:before="240" w:after="240" w:line="276" w:lineRule="auto"/>
      <w:jc w:val="center"/>
    </w:pPr>
    <w:rPr>
      <w:b/>
      <w:sz w:val="40"/>
      <w:szCs w:val="40"/>
    </w:rPr>
  </w:style>
  <w:style w:type="paragraph" w:styleId="Prrafodelista">
    <w:name w:val="List Paragraph"/>
    <w:basedOn w:val="Normal"/>
    <w:pPr>
      <w:ind w:left="720"/>
      <w:contextualSpacing/>
    </w:pPr>
  </w:style>
  <w:style w:type="paragraph" w:styleId="TDC1">
    <w:name w:val="toc 1"/>
    <w:basedOn w:val="Normal"/>
    <w:next w:val="Normal"/>
    <w:autoRedefine/>
    <w:uiPriority w:val="39"/>
    <w:unhideWhenUsed/>
    <w:rsid w:val="00AC2B3E"/>
    <w:pPr>
      <w:spacing w:after="100"/>
    </w:pPr>
  </w:style>
  <w:style w:type="paragraph" w:styleId="TDC2">
    <w:name w:val="toc 2"/>
    <w:basedOn w:val="Normal"/>
    <w:next w:val="Normal"/>
    <w:autoRedefine/>
    <w:uiPriority w:val="39"/>
    <w:unhideWhenUsed/>
    <w:rsid w:val="00AC2B3E"/>
    <w:pPr>
      <w:spacing w:after="100"/>
      <w:ind w:left="240"/>
    </w:pPr>
  </w:style>
  <w:style w:type="paragraph" w:styleId="TDC3">
    <w:name w:val="toc 3"/>
    <w:basedOn w:val="Normal"/>
    <w:next w:val="Normal"/>
    <w:autoRedefine/>
    <w:uiPriority w:val="39"/>
    <w:unhideWhenUsed/>
    <w:rsid w:val="00AC2B3E"/>
    <w:pPr>
      <w:spacing w:after="100"/>
      <w:ind w:left="480"/>
    </w:pPr>
  </w:style>
  <w:style w:type="character" w:styleId="Hipervnculo">
    <w:name w:val="Hyperlink"/>
    <w:basedOn w:val="Fuentedeprrafopredeter"/>
    <w:uiPriority w:val="99"/>
    <w:unhideWhenUsed/>
    <w:rsid w:val="00AC2B3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jpeg"/><Relationship Id="rId15" Type="http://schemas.openxmlformats.org/officeDocument/2006/relationships/image" Target="media/image6.jpeg"/><Relationship Id="rId16" Type="http://schemas.openxmlformats.org/officeDocument/2006/relationships/image" Target="media/image7.jpeg"/><Relationship Id="rId17" Type="http://schemas.openxmlformats.org/officeDocument/2006/relationships/image" Target="media/image8.jpeg"/><Relationship Id="rId18" Type="http://schemas.openxmlformats.org/officeDocument/2006/relationships/image" Target="media/image9.jpeg"/><Relationship Id="rId19" Type="http://schemas.openxmlformats.org/officeDocument/2006/relationships/image" Target="media/image10.jpeg"/><Relationship Id="rId20" Type="http://schemas.openxmlformats.org/officeDocument/2006/relationships/image" Target="media/image11.jpeg"/><Relationship Id="rId21" Type="http://schemas.openxmlformats.org/officeDocument/2006/relationships/image" Target="media/image12.jpe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36</Pages>
  <Words>10225</Words>
  <Characters>56241</Characters>
  <Application>Microsoft Office Word</Application>
  <DocSecurity>0</DocSecurity>
  <Lines>468</Lines>
  <Paragraphs>132</Paragraphs>
  <ScaleCrop>false</ScaleCrop>
  <Company/>
  <LinksUpToDate>false</LinksUpToDate>
  <CharactersWithSpaces>66334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Mateo Morgui</cp:lastModifiedBy>
  <cp:revision>2</cp:revision>
  <dcterms:created xsi:type="dcterms:W3CDTF">2026-07-01T17:14:00Z</dcterms:created>
  <dcterms:modified xsi:type="dcterms:W3CDTF">2026-07-01T17:26:00Z</dcterms:modified>
</cp:coreProperties>
</file>