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 xml:space="preserve">Director del Trabajo Final: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2"/>
      </w:pPr>
      <w:r>
        <w:t xml:space="preserve">2.10 La carga administrativa como constructo</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2"/>
      </w:pPr>
      <w:r>
        <w:t xml:space="preserve">5.1 Escenarios de validación</w:t>
      </w:r>
    </w:p>
    <w:p>
      <w:pPr>
        <w:pStyle w:val="TDC2"/>
      </w:pPr>
      <w:r>
        <w:t xml:space="preserve">5.2 Alcance de lo que la corrida acredita</w:t>
      </w:r>
    </w:p>
    <w:p>
      <w:pPr>
        <w:pStyle w:val="TDC2"/>
      </w:pPr>
      <w:r>
        <w:t xml:space="preserve">5.3 La rama de cobro y su doble de prueba</w:t>
      </w:r>
    </w:p>
    <w:p>
      <w:pPr>
        <w:pStyle w:val="TDC2"/>
      </w:pPr>
      <w:r>
        <w:t xml:space="preserve">5.4 Pruebas automatizadas</w:t>
      </w:r>
    </w:p>
    <w:p>
      <w:pPr>
        <w:pStyle w:val="TDC2"/>
      </w:pPr>
      <w:r>
        <w:t xml:space="preserve">5.5 Cobertura de requisitos y evidencia registrada</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 xml:space="preserve">Anexo A. Evidencias de la validación</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t xml:space="preserve">Tabla 15. Salida de la corrida completa de la suite de escenarios de validación (Anexo A)</w:t>
      </w:r>
    </w:p>
    <w:p>
      <w:pPr>
        <w:pStyle w:val="TDC1"/>
      </w:pPr>
      <w:r>
        <w:rPr>
          <w:b w:val="0"/>
          <w:i w:val="0"/>
        </w:rPr>
        <w:t xml:space="preserve">Tabla 16. Composición del flujo por tipo de nodo (Anexo B)</w:t>
      </w:r>
    </w:p>
    <w:p>
      <w:pPr>
        <w:pStyle w:val="TDC1"/>
      </w:pPr>
      <w:r>
        <w:rPr>
          <w:b w:val="0"/>
          <w:i w:val="0"/>
        </w:rPr>
        <w:t xml:space="preserve">Tabla 17. Procesos del flujo, disparador y nodos principales (Anexo B)</w:t>
      </w:r>
    </w:p>
    <w:p>
      <w:pPr>
        <w:pStyle w:val="TDC1"/>
      </w:pPr>
      <w:r>
        <w:rPr>
          <w:b w:val="0"/>
          <w:i w:val="0"/>
        </w:rPr>
        <w:t xml:space="preserve">Tabla 18. Contrato de datos de entrada del webhook de captación (Anexo D)</w:t>
      </w:r>
    </w:p>
    <w:p>
      <w:pPr>
        <w:pStyle w:val="TDC1"/>
      </w:pPr>
      <w:r>
        <w:rPr>
          <w:b w:val="0"/>
          <w:i w:val="0"/>
        </w:rPr>
        <w:t xml:space="preserve">Tabla 19. Matriz de trazabilidad de objetivos y pregunta de investigación (Anexo E)</w:t>
      </w:r>
    </w:p>
    <w:p>
      <w:pPr>
        <w:pStyle w:val="TDC1"/>
      </w:pPr>
      <w:r>
        <w:rPr>
          <w:b w:val="0"/>
          <w:i w:val="0"/>
        </w:rPr>
        <w:t xml:space="preserve">Tabla 20. Trazabilidad de los requisitos funcionales (Anexo E)</w:t>
      </w:r>
    </w:p>
    <w:p>
      <w:pPr>
        <w:pStyle w:val="TDC1"/>
      </w:pPr>
      <w:r>
        <w:rPr>
          <w:b w:val="0"/>
          <w:i w:val="0"/>
        </w:rPr>
        <w:t xml:space="preserve">Tabla 21. Trazabilidad de los requisitos no funcionales (Anexo E)</w:t>
      </w:r>
    </w:p>
    <w:p>
      <w:pPr>
        <w:pStyle w:val="TDC1"/>
      </w:pPr>
      <w:r>
        <w:rPr>
          <w:b w:val="0"/>
          <w:i w:val="0"/>
        </w:rPr>
        <w:t xml:space="preserve">Tabla 22.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rsidR="00D60FC7" w:rsidRDefault="00000000">
      <w:pPr/>
      <w:proofErr w:type="spellStart"/>
      <w:proofErr w:type="spellEnd"/>
      <w:proofErr w:type="spellStart"/>
      <w:proofErr w:type="spellEnd"/>
      <w:r>
        <w:rPr>
          <w:i w:val="0"/>
        </w:rPr>
        <w:t xml:space="preserve">Proposición orientadora. Que no se formule una hipótesis estadística no significa que el trabajo no se someta a un enunciado contrastable. Se lo explicita aquí para que su verificación pueda juzgarse sin ambigüedad: el ciclo de vida comercial de un profesional independiente puede ejecutarse de extremo a extremo mediante la orquestación de eventos de bajo código, conservando el profesional la decisión sobre los términos comerciales de cada oportunidad y siendo el estado de esta reconstruible a partir de lo registrado. La proposición se habría considerado refutada en tres supuestos: que algún flujo del ciclo no pudiera completarse; que el sistema tomara por el profesional una decisión de negocio reservada a él; o que el estado de una oportunidad no pudiera reconstruirse con lo que el sistema persiste. El §1.3 desarrolla por qué el segundo de esos supuestos llegó a verificarse durante el desarrollo y cómo se lo corrigió; el Capítulo 5 reporta la verificación de los tres —el tercero mediante el escenario E15, que reconstruye el ciclo de una oportunidad leyendo únicamente lo que el sistema persiste— y el Capítulo 7 los responde uno a uno.</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apoyada en el marco que desarrolla el §2.10: carga administrativa = número de acciones manuales del profesional por lead gestionado</w:t>
      </w:r>
      <w:r>
        <w:rPr>
          <w:b w:val="0"/>
          <w:i/>
        </w:rPr>
        <w:t xml:space="preserve"/>
      </w:r>
      <w:r>
        <w:rPr>
          <w:b w:val="0"/>
          <w:i w:val="0"/>
        </w:rPr>
        <w:t xml:space="preserve">,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Ese conteo abarca el camino principal del ciclo, y corresponde declarar qué deja fuera: el mismo instrumento identifica tres acciones condicionales, que sólo aparecen cuando el ciclo se desvía —resolver un pedido de cambios del cliente, actualizar el estado de ejecución del trabajo y cancelar un lead—, las tres también a cargo del profesional. Incorporadas al denominador, la relación en el peor caso sería de dieciséis acciones delegadas sobre veintiuna. Se las consigna por separado porque no integran el recorrido de un lead que avanza sin incidentes, que es el que esta medición cuenta. El conteo se obtiene con scripts/medir-carga-administrativa.mjs, que declara cada acción junto al nodo del flujo que la ejecuta y falla si alguno dejó de existir, de modo que la medición se invalida sola si el artefacto cambia. Corresponde subrayar su alcance, en dos sentidos. El denominador de dieciocho acciones se deriva del propio artefacto y no de una observación independiente de un ciclo gestionado a mano: en sentido estricto, el indicador mide la cobertura del sistema construido sobre su propio alcance, no la reducción respecto de una línea de base externa. Y, ya dentro de ese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Dos de ellos reúnen resultados que se verifican por separado, y conviene advertirlo antes de enunciarlos. El OE3 agrupa el ciclo comercial hasta la emisión del comprobante y el registro del cobro: su grado de cumplimiento se declara de forma independiente para cada uno en el Capítulo 7, porque el segundo depende de una pasarela externa y el primero no. El OE4 agrupa el modelo de datos con su seguridad a nivel de fila y el tablero de control: el primero se verifica por inspección del esquema y el segundo, por medición de latencia, de modo que el Anexo E los traza con instrumentos distintos. El OE6, por último, recoge una dimensión que el trabajo desarrolla en el §4.6, en el §4.9, en la Tabla 11 y en el Anexo C:</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pPr>
        <w:pStyle w:val="Prrafodelista"/>
        <w:numPr>
          <w:ilvl w:val="0"/>
          <w:numId w:val="1"/>
        </w:numPr>
      </w:pPr>
      <w:r>
        <w:t xml:space="preserve">OE6. Especificar los controles de acceso del sistema —autenticación, rol de aplicación y seguridad a nivel de fila—, declarar las deudas de seguridad que el prototipo no resuelve y verificar unos y otras sobre el artefacto.</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 xml:space="preserve">Magnitud de la reducción de la carga administrativa. La variable sí se define operacionalmente y su componente contable se mide: de las dieciocho acciones del camino principal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 xml:space="preserve">Este capítulo presenta los fundamentos conceptuales y tecnológicos sobre los que se apoya la solución, y define de manera operativa los términos clave que se emplean en el resto del documento. Los apartados 2.1 a 2.6 desarrollan ese marco conceptual. Los apartados 2.7 y 2.8 cumplen una función distinta: situar el trabajo frente a las soluciones que ya atienden el mismo problema y justificar la decisión de construir una propia. El apartado 2.9 delimita el encuadre normativo que alcanza a lo que el sistema efectivamente hace. El 2.10, por último, vuelve sobre el constructo que da origen al problema —la carga administrativa— y fija el marco conceptual y de medición sobre el que el §1.5 apoya su definición operacional.</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pPr/>
      <w:r>
        <w:t>El mismo Richardson (2018) que fundamenta la orquestación por eventos describe también el problema inverso: cuando una operación de negocio se descompone en varios pasos que actúan sobre servicios distintos, ninguna transacción de base de datos abarca la operación completa, y una falla a mitad de camino puede dejar el sistema en un estado parcial. El patrón que propone para resolverlo es la saga: una secuencia de pasos locales, cada uno con su propia transacción de compensación, que deshace lo ya hecho si un paso posterior falla. Es exactamente el problema que enfrenta la aceptación de una propuesta en este sistema (§4.3.2): entre la actualización condicional del lead y la generación de la factura median varias llamadas a servicios externos que ninguna transacción cubre. El §4.3.2 y el Capítulo 8 (punto 3) llegan a la misma conclusión sin nombrar el patrón; se lo nombra aquí para que el diagnóstico del Capítulo 4 pueda apoyarse en un vocabulario ya disponible en lugar de reconstruirlo desde cero.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 xml:space="preserve">n8n es una plataforma de automatización de flujos de trabajo que permite integrar aplicaciones y servicios mediante nodos configurables conectados en un lienzo visual (n8n, s. f.). Su código está disponible públicamente bajo la Sustainable Use License —un modelo de licenciamiento «fair-code» que restringe el uso comercial competitivo y la redistribución paga—, por lo que no constituye código abierto en el sentido estricto que fija la definición de la Open Source Initiative (2024).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(Supabase, s. f.)</w:t>
      </w:r>
      <w:proofErr w:type="spellStart"/>
      <w:r>
        <w:t xml:space="preserve"/>
      </w:r>
      <w:proofErr w:type="spellEnd"/>
      <w:r>
        <w:t xml:space="preserve">.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s. f.).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s. f.).</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s. f.).</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xml:space="preserve">)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s. f.).</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s. f.).</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siete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A ellos se suma un estudio arbitrado sobre la adopción de plataformas iPaaS en particular: Neifer et al. (2021) derivan, a partir de diez entrevistas con expertos de proveedores de software como servicio, las prácticas de integración y las barreras y los impulsores de esa adopción, y concluyen que los factores determinantes son la estandarización de los modelos de datos, la usabilidad y la variedad de los conectores disponibles, y los problemas de privacidad, seguridad y transparencia en el tratamiento del dato. El tercero de esos factores coincide con el argumento de custodia que el §2.8 invoca para justificar la construcción de una solución propia y con la dimensión normativa que desarrolla el §2.9, de modo que esa preocupación no es una preferencia de los autores sino un determinante documentado de la adopción. Lo que la literatura consultada no ofrece es una evaluación independiente de los cuatro productos concretos que este apartado compara.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et al.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et al.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—esa dimensión la cubre el estudio de Neifer et al. (2021) ya citado—, y ninguno evalúa de forma independiente a los cuatro productos que aquí se comparan, que es la laguna que efectivamente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un preprint todavía sin revisión por pares),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t>Un octavo elemento, agregado tras una lectura evaluadora externa de este trabajo, estrecha un poco más la laguna para dos de los cuatro productos comparados y la deja explícitamente abierta para los otros dos. Para HubSpot, la Forrester Wave™ de software de CRM del primer trimestre de 2025 lo evalúa junto a otros once proveedores y lo ubica como «Strong Performer» (Leggett, 2025). Para Zapier, el Magic Quadrant de Gartner para plataformas de integración como servicio (iPaaS), publicado el 19 de mayo de 2025, lo evalúa junto a otros quince proveedores del segmento (Gartner, 2025); a esa evaluación de analista se suma literatura arbitrada que caracteriza la categoría completa de servicios de automatización de tareas a la que pertenece —Zapier e IFTTT, entre otros— (Coronado y Iglesias, 2016), y un estudio comparativo con metodología declarada —6.406 disparadores y acciones analizados en 1.051 canales—, aunque publicado como preprint sin revisión por pares (Rahmati et al., 2017). Para Pipedrive y para Make, en cambio, la búsqueda no encontró ninguna evaluación arbitrada ni de analista independiente que los nombre: ni en el Magic Quadrant de Gartner ni en la Forrester Wave citados figuran, y no se hallaron trabajos académicos que los evalúen por nombre. La única fuente independiente disponible para ambos son las reseñas agregadas de usuarios de Gartner Peer Insights, con metodología de admisión pública: Make con 4,6 sobre 5 en apenas 22 reseñas (Gartner, s. f.-a) y Pipedrive con 4,2 sobre 5 en 348 (Gartner, s. f.-b). El caso de Make es el más frágil de los dos: 22 es un tamaño muestral demasiado chico para sostener peso analítico y que se declara aquí sin atenuantes. El cierre de esta laguna sigue siendo parcial: se estrecha para dos de los cuatro productos, no para los cuatro.</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pPr>
        <w:pStyle w:val="Prrafodelista"/>
      </w:pPr>
      <w:r>
        <w:t xml:space="preserve">El universo de comparación se restringe a productos comerciales de suscripción. Las cuatro herramientas revisadas son servicios gestionados de pago, y esa elección deja fuera una categoría pertinente: las soluciones de gestión comercial y de automatización autoalojables y de código abierto, que atienden parte del mismo problema sin cuota recurrente por asiento ni por ejecución y bajo custodia propia del dato. Son, precisamente, las que discutirían con más fuerza dos de las cuatro razones que el §2.8 invoca para construir —el costo y el control sobre el dato—, y por eso corresponde declarar la exclusión en lugar de dejarla implícita. Responde al alcance del trabajo: el objetivo formativo del §1.4 no se satisface configurando una herramienta ya resuelta, sea comercial o libre, y su evaluación exigiría el marco multicriterio que Lamanna (2025) propone y que este trabajo no aplica. Lo que este apartado acredita es, en consecuencia, que ninguno de los cuatro productos comerciales revisados cubre el ciclo completo en un único producto, no que no exista solución alguna que lo haga.</w:t>
      </w:r>
    </w:p>
    <w:p>
      <w:pPr>
        <w:pStyle w:val="Prrafodelista"/>
      </w:pPr>
      <w:r>
        <w:t>Dos alternativas concretas de esa categoría excluida ilustran lo que la exclusión deja fuera. EspoCRM es un CRM de código abierto bajo licencia AGPLv3, autoalojable sin costo de licencia, con un módulo de automatización de flujos y una función de fórmulas que permite calcular puntajes —una forma de scoring configurable, aunque no un módulo de calificación dedicado como el de este trabajo—, pero sin generación de comprobantes de cobro integrada a una pasarela de pago (EspoCRM, s. f.). Odoo Community es una suite de gestión bajo licencia LGPL-3.0, también autoalojable sin costo de licencia, que incluye de fábrica los módulos de CRM y de facturación básica —no así la automatización contable avanzada, reservada a la edición Enterprise—, más cerca por eso de cubrir el ciclo completo que cualquiera de los cuatro productos comparados en este apartado; a cambio, es una suite de gestión empresarial general y no un sistema construido para el ciclo específico de un freelancer, lo que eleva el esfuerzo de puesta en marcha y de configuración (Odoo, s. f.). Ninguna de las dos ofrece, de fábrica, el encadenamiento captación–scoring–propuesta–token de aceptación–factura–cobro que este trabajo construye a medida; ambas se caracterizan aquí, igual que las cuatro anteriores, a partir de su documentación y no de una evaluación independiente, de modo que la limitación de fuente señalada más arriba se extiende también a esta categoría. Incorporarlas no cierra la laguna de este apartado —seguiría faltando el análisis independiente—, pero sí corrige la asimetría de no haber considerado, siquiera de forma preliminar, la categoría que discutiría con más fuerza los argumentos de costo y de custodia del §2.8.</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pPr>
        <w:pStyle w:val="Ttulo2"/>
      </w:pPr>
      <w:r>
        <w:t xml:space="preserve">2.10 La carga administrativa como constructo</w:t>
      </w:r>
    </w:p>
    <w:p>
      <w:r>
        <w:t xml:space="preserve">El capítulo cierra volviendo sobre el término que da origen al problema y que el §1.5 opera. «Carga administrativa» se emplea en el §1.1 y en el §1.2 con su sentido corriente —el tiempo que el profesional dedica a tareas que no producen el servicio que vende—, pero es un constructo con tratamiento propio en la literatura, y conviene apoyarse en él antes de definirlo operacionalmente.</w:t>
      </w:r>
    </w:p>
    <w:p>
      <w:r>
        <w:t xml:space="preserve">Moynihan, Herd y Harvey (2015) lo descomponen en tres costos que no son intercambiables: los costos de aprendizaje, que son el tiempo y el esfuerzo de averiguar qué hay que hacer y cómo; los costos de cumplimiento, que son la ejecución material de la tarea —reunir datos, completar formularios, producir y enviar documentos—; y los costos psicológicos, que son el desgaste, la sensación de pérdida de control y la ansiedad que la tarea produce. La formulación se propuso para las interacciones entre el ciudadano y el Estado, y su traslado al trabajo independiente es analógico y no literal: la carga que este trabajo aborda no la impone una autoridad sino el propio proceso comercial. Lo que se conserva del marco es la distinción, que es lo que aquí importa.</w:t>
      </w:r>
    </w:p>
    <w:p>
      <w:r>
        <w:t xml:space="preserve">Esa descomposición vuelve legible el alcance de lo que este trabajo hace. La automatización que se propone incide sobre los costos de cumplimiento: delega la ejecución material de las tareas repetitivas. No incide sobre los costos de aprendizaje —el profesional sigue teniendo que saber qué precio poner y qué alcance comprometer, y el sistema no se lo enseña— ni permite afirmar nada sobre los costos psicológicos, que exigirían instrumentos que este trabajo no aplica. Cuando el §1.5 delimita el objetivo general, lo que está haciendo es, en estos términos, restringirse a un componente de los tres.</w:t>
      </w:r>
    </w:p>
    <w:p>
      <w:r>
        <w:t xml:space="preserve">La medición tiene además una tradición metodológica establecida. El Modelo de Costos Estándar, adoptado en Europa para cuantificar la carga administrativa que la regulación impone a las empresas, la expresa como el producto de tres factores: el tiempo que insume cada acción, la frecuencia con que se repite y una tarifa que valoriza ese tiempo. Ntaliani y Costopoulou (2017) lo aplican al caso de las pequeñas y medianas empresas y documentan la dificultad práctica de estimar el primero de esos factores sin observación directa. La estructura del modelo explica con precisión qué mide y qué no mide la definición operacional del §1.5: el conteo de acciones manuales por lead es el factor de frecuencia; el tiempo por acción y su tarifa quedan sin medir, y son los que el Capítulo 8 propone obtener con un estudio con usuarios. No se trata, por lo tanto, de una medición incompleta por descuido, sino de uno de los tres factores del modelo, declarado como tal.</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 (ISO/IEC 25010:2023)</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Cuatro entradas inválidas (tres condiciones por separado más su combinación). Criterio: 0 filas nuevas en </w:t>
            </w:r>
            <w:r>
              <w:rPr>
                <w:b w:val="0"/>
                <w:i w:val="0"/>
                <w:sz w:val="14"/>
                <w:rFonts w:ascii="Consolas" w:hAnsi="Consolas" w:cs="Consolas"/>
              </w:rPr>
              <w:t>leads</w:t>
            </w:r>
            <w:r>
              <w:rPr>
                <w:b w:val="0"/>
                <w:i w:val="0"/>
                <w:sz w:val="14"/>
              </w:rPr>
              <w:t xml:space="preserve"> y al menos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cuatro anchos (360, 768, 1440 y 1920 px), verificado en vivo el 30 de agosto de 2026 sin desborde horizontal en ninguno.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 con su versión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que la suite tenía en esa fecha se ejecutaron en verde tres veces seguidas contra ella; la suite creció después a doce, que es el número vigente que reproduce la Tabla 15.</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cuatro.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 Cuarta, apoyo de herramientas de inteligencia artificial generativa: como declara la portada, se usaron para redactar y para verificar afirmaciones del documento contra el código, siempre bajo revisión de los autores; no sustituyen la validación independiente y externa que sigue ausente.</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 xml:space="preserve">Tres ejecuciones independientes para los escenarios de camino principal (E1–E7) y una para los de camino alternativo (E8–E10), salvo E6, que por definición exige dos invocaciones consecutivas y dos concurrentes. Los escenarios de procesos programados (E11–E13) se disparan una vez desde el editor de n8n, por no tener camino automatizado de invocación. E14, E15 y E16 se ejecutan una vez por corrida de su instrumento, que es idempotente y repetible: E14 contra el doble de la pasarela, E15 sobre un lead que crea y elimina, y E16 sobre los trece webhooks. Se declara esta diferencia en lugar de presentar todas las corridas como equivalentes.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—CVE-2025-29927, con puntaje CVSS 9.1— había demostrado que las verificaciones de autenticación alojadas allí podían eludirse falsificando la cabecera x-middleware-subrequest (NVD, 2025).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cinco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COLD en caso contrario. Recién entonces el lead, ya calificado, se persiste con el nodo Insert Lead en la tabla leads: el cálculo del puntaje precede a la persistencia y no al revés (§4.8). Un nodo condicional bifurca entonces el flujo.</w:t>
      </w:r>
      <w:r>
        <w:rPr>
          <w:rFonts w:ascii="Consolas" w:hAnsi="Consolas" w:cs="Consolas"/>
        </w:rPr>
        <w:t xml:space="preserve"/>
      </w:r>
      <w:r>
        <w:t xml:space="preserve">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En una versión anterior,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por eso el nodo Gmail - Acuse Lead Frio (Anexo I),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no es casual, y conviene señalarlo: la garantía se había aplicado donde el riesgo era la doble facturación y no donde el riesgo era el duplicado comercial. Se cerró en las dos puntas que el diagnóstico proponía (Anexo I).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En una versión anterior el respaldo era desarrollo_web, es decir la ponderación máxima de la tabla: un servicio que el nodo no lograba leer puntuaba como el mejor de la lista. Se lo alineó por eso con la traducción de «Otro» (Anexo I),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La traducción se reemplazó por consultoria (12 puntos), una asignación neutra en lugar de la mínima, y se alineó con ella el valor de respaldo de la normalización (Anexo I).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ya corregido (Anexo I):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La rotación del token en cada reenvío (S3 de la Tabla 11, §4.6) agrega un cuarto caso con el mismo síntoma: un cliente que hace clic en un correo de propuesta anterior, ya reemplazado por un reenvío tras un pedido de cambios o un seguimiento, recibe el mismo «enlace ya utilizado» aunque ese enlace en particular nunca se haya usado —lo que rotó fue el token, no el estado del cliente frente a él—. Corresponde distinguir cuatro desenlaces —«ya procesado», «expirado», «rotado por un reenvío posterior» e «inválido»— y comunicarlos por separado; hoy los tres primeros se confunden bajo el mismo mensaje.</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por su vencimiento configurable (columna token_expira_en, TOKEN_VIGENCIA_DIAS=14 por defecto) y, desde el 31 de agosto de 2026, por su rotación en cada reenvío de la propuesta (S3 de la Tabla 11): un token capturado en un registro de acceso deja de servir en cuanto la propuesta se reenvía, no sólo cuando vence. El riesgo no queda eliminado —el token sigue almacenándose en claro en la columna accept_token— pero sí acotado por tres vías en lugar de una. Corresponde señalar que evitar registrar la cadena de consulta completa en los logs de producción sigue siendo una línea de código pendiente y no una línea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Factura Cobrada concilia el estado de la factura mediante una actualización condicional —UPDATE … WHERE lead_id = $1 AND estado_pago = 'PENDIENTE'—, de modo que el cierre no reescribe la fecha de cobro de una factura ya cobrada ni da por cobrada una que se hubiera anulado. Sin esa condición, cerrar el proyecto marcaba la factura como COBRADO cualquiera fuese su estado previo, lo que contradecía la regla del §4.8 y podía inflar la tasa de cobro del tablero con dinero que no ingresó.</w:t>
      </w:r>
      <w:r>
        <w:rPr>
          <w:b w:val="0"/>
          <w:i/>
        </w:rPr>
        <w:t xml:space="preserve"/>
      </w:r>
      <w:r>
        <w:rPr>
          <w:b w:val="0"/>
          <w:i w:val="0"/>
        </w:rPr>
        <w:t xml:space="preserve"> A continuación se notifica el cierre por Telegram y se solicita al cliente un testimonio por correo, cerrando el ciclo de relación (Figura 11, véase Anexo A). En una versión anterior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 (Anexo I).</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(Anexo I). Antes, en ese caso, la vista no devolvía ninguna fila y el proceso se detenía sin enviar nada, que es la razón por la que el escenario E13 no había producido evidencia al principio.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9 y la suma del embudo, 23. No se trata de una inconsistencia de datos sino de dos criterios de agregación distintos.</w:t>
      </w:r>
    </w:p>
    <w:p w:rsidR="00D60FC7" w:rsidRDefault="00000000">
      <w:r>
        <w:t xml:space="preserve">La columna estado_pago de facturas declara cuatro valores: PENDIENTE (factura emitida, aún sin cobrar), COBRADO (pago registrado), VENCIDA (se superó la fecha de vencimiento sin cobro) y ANULADA (factura anulada o cancelada). Sólo los dos primeros se asignan efectivamente: los otros dos están previstos en el enumerado y ningún componente los escribe, según se declara en §4.8.</w:t>
      </w:r>
      <w:proofErr w:type="spellStart"/>
      <w:r>
        <w:rPr>
          <w:rFonts w:ascii="Consolas" w:hAnsi="Consolas" w:cs="Consolas"/>
        </w:rPr>
        <w:t xml:space="preserve"/>
      </w:r>
      <w:proofErr w:type="spellEnd"/>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en su mayor parte, mediante los webhooks de la Tabla 10: once se originan en una acción del usuario en el frontend o en la página pública de aceptación; los dos restantes —mp/notificacion y pago-confirmado— se originan, respectivamente, en el servidor de MercadoPago y en el PDF de la factura, fuera del frontend.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Token por factura.</w:t>
            </w:r>
            <w:r>
              <w:rPr>
                <w:b w:val="0"/>
                <w:i w:val="0"/>
                <w:sz w:val="13"/>
              </w:rPr>
              <w:t xml:space="preserve"> pago_token (mismo mecanismo que accept_token), generado al emitir la factura y exigido junto al identificador en la cadena de consulta (§4.3.3, S1 de la Tabla 11, cerrada el 31-ago-2026).</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obligatoria (S8, cerrada).</w:t>
            </w:r>
            <w:r>
              <w:rPr>
                <w:b w:val="0"/>
                <w:i w:val="0"/>
                <w:sz w:val="13"/>
              </w:rPr>
              <w:t xml:space="preserve"> Valida HMAC sobre x-signature con MP_WEBHOOK_SECRET; sin firma válida, la notificación se ignora sin aplicar ningún efecto, y el pago igual se reconfirma contra la API de MercadoPago antes de marcar la factura COBRADO.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cinco de los trece webhooks no verifican la identidad de quien los invoca: no hay firma HMAC, ni secreto compartido, ni lista blanca de direcciones, ni mTLS. Un sexto —pago-confirmado— tenía el mismo problema y se cerró el 31 de agosto de 2026 con un token por factura, exigido junto al identificador de factura (S1, Tabla 11, parcial). Los seis invocados desde el tablero interno ya exigen Header Auth con revalidación de sesión y rol, y el webhook de confirmación de pago con MercadoPago contrasta cada notificación contra la API del proveedor y, desde el 31 de agosto de 2026, exige además una firma válida antes de aplicar cualquier cambio (Tabla 11, S8, cerrada).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 Tampoco alcanza con declararlas: el escenario E16 las mide, ejecutado por primera vez el 30 de agosto de 2026 y reejecutado el 31 tras cerrar S1 y S8, todas las veces contra el sistema levantado (docs/evidencia-E15-E16.md). Invocados los trece webhooks desde un cliente que no es un navegador y sin credencial, seis atienden la petición, seis responden 403 y el restante —la pasarela de MercadoPago— ignora sin aplicar ningún cambio la notificación sin firma válida, y el alta de un lead prospera y se persiste por la vía de los seis sin autenticar (cinco de ellos sin credencial alguna posible, uno —pago-confirmado— sin la única credencial que le corresponde), lo que comprueba sobre el propio artefacto que la lista blanca de orígenes no es una autenticación.</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Cinco de los trece webhooks no autentican el origen de la invocación (§4.5): lead/nuevo, lead-acepta, lead-propuesta, lead-rechaza y lead-modifica. pago-confirmado (modo desarrollo) se cerró con un token por factura, verificado contra la base (docs/verificacion-y-seguridad.md §5.2). Los seis invocados desde el tablero interno (trabajo-estado, lead-cancelar, cambio-aceptar, cambio-rechazar, proyecto-cerrado y propuesta-enviar) ya exigen Header Auth, con revalidación de sesión y de rol admin del lado del servidor en /api/crm/[accion]. El de MercadoPago (mp/notificacion) se trata aparte en S8, cerrada.</w:t>
            </w:r>
          </w:p>
        </w:tc>
        <w:tc>
          <w:tcPr>
            <w:tcW w:type="dxa" w:w="2324"/>
          </w:tcPr>
          <w:p>
            <w:pPr>
              <w:spacing w:after="40" w:before="40"/>
              <w:jc w:val="left"/>
            </w:pPr>
            <w:r>
              <w:rPr>
                <w:b w:val="0"/>
                <w:i w:val="0"/>
                <w:sz w:val="13"/>
              </w:rPr>
              <w:t>Cualquiera que conozca una de las cinco URL sin protección puede inyectar leads o aceptar una propuesta sin autorización. Mientras estuvo abierta, además, marcar un pago era posible con solo adivinar el factura_id (formato FAC-&lt;año&gt;-&lt;4 dígitos&gt;, 10.000 combinaciones por año).</w:t>
            </w:r>
          </w:p>
        </w:tc>
        <w:tc>
          <w:tcPr>
            <w:tcW w:type="dxa" w:w="2494"/>
          </w:tcPr>
          <w:p>
            <w:pPr>
              <w:spacing w:after="40" w:before="40"/>
              <w:jc w:val="left"/>
            </w:pPr>
            <w:r>
              <w:rPr>
                <w:b w:val="0"/>
                <w:i w:val="0"/>
                <w:sz w:val="13"/>
              </w:rPr>
              <w:t>Implementada el 31-ago-2026 para pago-confirmado: un token por factura (pago_token, mismo mecanismo que accept_token), generado al emitir la factura y exigido en la consulta de confirmación. Para los cinco webhooks restantes —el formulario público y los cuatro protegidos por accept_token—, un secreto compartido no es viable: los ejecuta el navegador de un tercero y quedaría expuesto en el código (docs/verificacion-y-seguridad.md §5.2, que desarrolla por qué agregar uno ahí sería seguridad aparente). La mitigación que corresponde a esos cinco es limitar el abuso —rate limiting o captcha en lead/nuevo—, no autenticación de origen; queda como trabajo futuro (Capítulo 8).</w:t>
            </w:r>
          </w:p>
        </w:tc>
        <w:tc>
          <w:tcPr>
            <w:tcW w:type="dxa" w:w="1191"/>
          </w:tcPr>
          <w:p>
            <w:pPr>
              <w:spacing w:after="40" w:before="40"/>
              <w:jc w:val="left"/>
            </w:pPr>
            <w:r>
              <w:rPr>
                <w:b w:val="0"/>
                <w:i w:val="0"/>
                <w:sz w:val="13"/>
              </w:rPr>
              <w:t>Parcial — cerrada para pago-confirmado; los otros cinco quedan abiertos por diseño</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tiene vencimiento (columna token_expira_en, revalidada en las cuatro consultas que lo aceptan; TOKEN_VIGENCIA_DIAS=14 por defecto) y, desde el 31 de agosto de 2026, rota en cada reenvío de la propuesta —al aceptar o rechazar un pedido de cambios, y en el cron de seguimiento—, aunque sigue almacenándose en claro y viajando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 y, además, se acorta cada vez que la propuesta se reenvía: un token capturado en un log deja de servir en cuanto rota, no sólo cuando vence.</w:t>
            </w:r>
          </w:p>
        </w:tc>
        <w:tc>
          <w:tcPr>
            <w:tcW w:type="dxa" w:w="2494"/>
          </w:tcPr>
          <w:p>
            <w:pPr>
              <w:spacing w:after="40" w:before="40"/>
              <w:jc w:val="left"/>
            </w:pPr>
            <w:r>
              <w:rPr>
                <w:b w:val="0"/>
                <w:i w:val="0"/>
                <w:sz w:val="13"/>
              </w:rPr>
              <w:t>Implementada el 31-ago-2026: rotación del token en cada reenvío en vez de un resumen criptográfico, que no era viable —los recordatorios de seguimiento releen el token en claro días después del envío inicial para reconstruir el mismo enlace, y un hash irreversible lo impediría—. Sigue pendiente evitar registrar la cadena de consulta completa en los logs de producción.</w:t>
            </w:r>
          </w:p>
        </w:tc>
        <w:tc>
          <w:tcPr>
            <w:tcW w:type="dxa" w:w="1191"/>
          </w:tcPr>
          <w:p>
            <w:pPr>
              <w:spacing w:after="40" w:before="40"/>
              <w:jc w:val="left"/>
            </w:pPr>
            <w:r>
              <w:rPr>
                <w:b w:val="0"/>
                <w:i w:val="0"/>
                <w:sz w:val="13"/>
              </w:rPr>
              <w:t>Parcial — cerrada la parte del valor en claro reutilizable (rotación en vez de hash); sigue abierto evitar registrar la cadena de consulta completa en los logs de producción</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y almacenamiento en gestor de secretos de la clave. La mitigación de código que esta fila proponía originalmente —políticas de escritura acotadas por rol— no tendría efecto: service_role tiene el atributo BYPASSRLS, que hace que las políticas de fila no se evalúen contra sus escrituras, sean cuales fueran (verificado en tests/rls/bootstrap.sql). La mitigación de código que sí tendría efecto es reemplazar la conexión de n8n por un rol de Postgres sin BYPASSRLS, con privilegios acotados por tabla y operación. No se implementa: las 28 escrituras que hace hoy el flujo no tienen ninguna verificación automatizada que corra bajo ese rol acotado —solo una está cubierta bajo service_role en tests/rls/casos.sql, y tests/idempotencia.mjs corre como superusuario, con la RLS inerte por completo—, de modo que introducir el cambio sin esa cobertura arriesgaría romper una escritura legítima sin que ninguna prueba lo detectara a tiempo.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era opcional y estaba deshabilitada por defecto (§4.3.3).</w:t>
            </w:r>
          </w:p>
        </w:tc>
        <w:tc>
          <w:tcPr>
            <w:tcW w:type="dxa" w:w="2324"/>
          </w:tcPr>
          <w:p>
            <w:pPr>
              <w:spacing w:after="40" w:before="40"/>
              <w:jc w:val="left"/>
            </w:pPr>
            <w:r>
              <w:rPr>
                <w:b w:val="0"/>
                <w:i w:val="0"/>
                <w:sz w:val="13"/>
              </w:rPr>
              <w:t>Mientras estuvo abierta: sin el secreto configurado, el endpoint aceptaba notificaciones sin verificar que provinieran de MercadoPago; el nodo Obtener Pago MP mitigaba el impacto porque igual contrastaba el pago contra la API antes de aplicar cualquier cambio, pero la superficie de ataque quedaba abierta a notificaciones falsas que forzaran consultas innecesarias.</w:t>
            </w:r>
          </w:p>
        </w:tc>
        <w:tc>
          <w:tcPr>
            <w:tcW w:type="dxa" w:w="2494"/>
          </w:tcPr>
          <w:p>
            <w:pPr>
              <w:spacing w:after="40" w:before="40"/>
              <w:jc w:val="left"/>
            </w:pPr>
            <w:r>
              <w:rPr>
                <w:b w:val="0"/>
                <w:i w:val="0"/>
                <w:sz w:val="13"/>
              </w:rPr>
              <w:t>Implementada el 31-ago-2026: el nodo Code - Leer Notificacion MP pasó a rechazar por defecto toda notificación sin firma válida (antes la aceptaba por defecto), y MP_WEBHOOK_SECRET pasó a tener un valor obligatorio también en desarrollo (docker-compose.yml).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Cerrada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 xml:space="preserve">Solo los leads clasificados como HOT o WARM reciben propuesta; los COLD no la reciben y dan lugar a dos avisos en paralelo: una notificación interna por Telegram y un acuse de recibo por correo al interesado (§4.3.1).</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 xml:space="preserve">Los valores VENCIDA y ANULADA del enumerado pago_estado están previstos en el modelo de datos (Tabla 7) pero ningún componente los asigna: una factura impaga permanece en PENDIENTE aunque supere su fecha de vencimiento. El vencimiento se comunica por la vía de los recordatorios (§4.3.5), que lo registran como nivel de auditoría y no como estado de la factura, y el tablero lo computa contando las facturas PENDIENTE con fecha de vencimiento pasada (Tabla 8). Se declara aquí para no presentar como regla vigente una transición que el artefacto no ejecuta; su implementación se registra en el Capítulo 8.</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cerrada el 31 de agosto de 2026 tras estar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sólo una (S4) permanece completamente abierta: S2 dejó de estarlo el 23 de agosto de 2026, con la verificación que rechaza el modo de desarrollo del webhook de pago si hay credenciales de MercadoPago activas (§6.2); dos más el 27 de agosto de 2026, por la vía que la propia Tabla 11 tenía escrita; y S1, S3 y S8 el 31 de agosto de 2026 —S1 de forma parcial, para pago-confirmado; S3 con la rotación del token en cada reenvío en lugar del resumen criptográfico que se había propuesto, inviable porque los recordatorios de seguimiento necesitan releer el token en claro; S8 por completo, con la firma del webhook de MercadoPago pasando a ser obligatoria por defecto—.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 abierta, sin mitigación de código todavía, únicamente S4; S1 y S3 conservan un remanente parcial —los cinco webhooks restantes en el primer caso, el registro en logs de producción en el segundo—, y también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pStyle w:val="Ttulo2"/>
      </w:pPr>
      <w:r>
        <w:t xml:space="preserve">5.1 Escenarios de validación</w:t>
      </w:r>
    </w:p>
    <w:p>
      <w:pPr/>
      <w:r>
        <w:rPr>
          <w:b w:val="0"/>
          <w:i w:val="0"/>
        </w:rPr>
        <w:t xml:space="preserve">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 Tabla 15 del Anexo A reproduce íntegra la última de esas corridas.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E15 ejercita la tercera condición de refutación de la proposición del §1.5: reconstruye el ciclo de una oportunidad a partir de las marcas temporales de leads y del registro de auditoría de logs, sin volver a consultar al motor de orquestación. E16, por último, mide la deuda de seguridad S1 que la Tabla 11 declara, invocando los trece webhooks desde un cliente que no es un navegador. Ambos se ejecutaron el 30 de agosto de 2026 contra el sistema levantado, con la salida completa en docs/evidencia-E15-E16.md. Los diecisiete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 xml:space="preserve">Resultado esperado</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queda esperando los términos, igual que el HOT: estado NUEVO.</w:t>
            </w:r>
          </w:p>
        </w:tc>
        <w:tc>
          <w:tcPr>
            <w:tcW w:type="dxa" w:w="2041"/>
          </w:tcPr>
          <w:p>
            <w:pPr>
              <w:spacing w:after="40" w:before="40"/>
              <w:jc w:val="left"/>
            </w:pPr>
            <w:r>
              <w:rPr>
                <w:b w:val="0"/>
                <w:i w:val="0"/>
                <w:sz w:val="13"/>
              </w:rPr>
              <w:t>score = 47 (20 + 15 + 12 + 0 + 0) · tier = WARM · estado = NUEVO (queda esperando los términos, igual que el HOT).</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evaluado en cuatro invocaciones: nombre de un carácter, correo sin arroba y presupuesto cero por separado, y las tres condiciones juntas.</w:t>
            </w:r>
          </w:p>
        </w:tc>
        <w:tc>
          <w:tcPr>
            <w:tcW w:type="dxa" w:w="2268"/>
          </w:tcPr>
          <w:p>
            <w:pPr>
              <w:spacing w:after="40" w:before="40"/>
              <w:jc w:val="left"/>
            </w:pPr>
            <w:r>
              <w:rPr>
                <w:b w:val="0"/>
                <w:i w:val="0"/>
                <w:sz w:val="13"/>
              </w:rPr>
              <w:t xml:space="preserve">Las tres validaciones fallan en cada invocación;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cuatro filas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en las cuatro invocaciones · 4 filas nuevas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por separado y, además, combinadas (cuatro invocaciones en total).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 xml:space="preserve">Corrida automatizada de tests/escenarios.mjs (docs/evidencia-validacion.md), reejecutada el 29 de agosto de 2026 con los doce escenarios en verde, cuya salida completa se reproduce en la Tabla 15 del Anexo A. La suite consulta la base hasta que estado_trabajo pasa a EN_PROGRESO y comprueba que el lead tenga card_id, es decir que la ficha del tablero externo se creó. No se reproduce una captura de esa ficha: la sincronización se acredita por el identificador que devuelve la API de Notion y que queda persistido en la fila.</w:t>
            </w:r>
            <w:r>
              <w:rPr>
                <w:b w:val="0"/>
                <w:i w:val="0"/>
                <w:sz w:val="13"/>
              </w:rPr>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 Ilustra en vivo el riesgo ya señalado en S5 para una rama distinta a la de facturación. Verificado el 31 de agosto de 2026 contra la base real: no queda ningún lead con el formato de identificador que genera el webhook (LD-&lt;timestamp&gt;-&lt;aleatorio&gt;) en ese estado inconsistente.</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19).</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 Corrida adicional del 31-ago-2026 contra el adaptador de Stripe (pasarela real, modo de prueba): estado_pago antes/después = PENDIENTE → COBRADO · mp_preference_id = pi_3UAXFV48ekm6gWbu2scTyQzZ (PaymentIntent real de Stripe, confirmado con la tarjeta de prueba pm_card_visa) · mp_payment_id persistido = 900000002 (id sintético numérico que exige el nodo real) · notificación duplicada aplicada una sola vez.</w:t>
            </w:r>
          </w:p>
        </w:tc>
        <w:tc>
          <w:tcPr>
            <w:tcW w:type="dxa" w:w="1928"/>
          </w:tcPr>
          <w:p>
            <w:pPr>
              <w:spacing w:after="40" w:before="40"/>
              <w:jc w:val="left"/>
            </w:pPr>
            <w:r>
              <w:t>Ejecutado contra dos instrumentos (§5.3): un doble que reproduce el contrato documentado de la API de MercadoPago (tests/e14-cobro-mp.mjs, tests/mp-doble.mjs, tests/fixtures-e14/), y un adaptador que traduce el mismo contrato hacia una pasarela real —Stripe, en modo de prueba— (tests/adaptador-stripe-e14.mjs). Ninguno de los dos verifica el servicio real de MercadoPago: la activación de credenciales de prueba del proveedor falla por una causa ajena al artefacto (§5.3). Esa validación específica queda como trabajo futuro (Capítulo 8, punto 6).</w:t>
            </w:r>
          </w:p>
        </w:tc>
      </w:tr>
      <w:tr>
        <w:tc>
          <w:tcPr>
            <w:tcW w:type="dxa" w:w="510"/>
          </w:tcPr>
          <w:p>
            <w:r>
              <w:t xml:space="preserve">E15</w:t>
            </w:r>
          </w:p>
        </w:tc>
        <w:tc>
          <w:tcPr>
            <w:tcW w:type="dxa" w:w="2041"/>
          </w:tcPr>
          <w:p>
            <w:r>
              <w:t>Trazabilidad: una oportunidad recorre la captación y el envío de la propuesta, y luego se reconstruye su historia leyendo únicamente la base.</w:t>
            </w:r>
          </w:p>
        </w:tc>
        <w:tc>
          <w:tcPr>
            <w:tcW w:type="dxa" w:w="2268"/>
          </w:tcPr>
          <w:p>
            <w:r>
              <w:t xml:space="preserve">La línea de tiempo se reconstruye a partir de las marcas temporales de leads y de las filas de logs; arranca en el alta, es cronológicamente consistente y el estado actual se explica por la última transición fechada.</w:t>
            </w:r>
          </w:p>
        </w:tc>
        <w:tc>
          <w:tcPr>
            <w:tcW w:type="dxa" w:w="2041"/>
          </w:tcPr>
          <w:p>
            <w:r>
              <w:t>línea reconstruida NUEVO → PROPUESTA_ENVIADA, con la fila de auditoría propuesta_enviada intercalada · score = 100 y tier = HOT recuperables · precio_propuesto = 8400 ≠ presupuesto = 6000 · 10 de 10 comprobaciones en verde. Corrida del 30 de agosto de 2026 contra el sistema levantado.</w:t>
            </w:r>
          </w:p>
        </w:tc>
        <w:tc>
          <w:tcPr>
            <w:tcW w:type="dxa" w:w="1928"/>
          </w:tcPr>
          <w:p>
            <w:r>
              <w:t>Corrida de tests/trazabilidad.mjs (npm run test:trazabilidad). El escenario elimina el lead de prueba al terminar, conforme al protocolo de la Tabla 4. Salida completa en docs/evidencia-E15-E16.md.</w:t>
            </w:r>
          </w:p>
        </w:tc>
      </w:tr>
      <w:tr>
        <w:tc>
          <w:tcPr>
            <w:tcW w:type="dxa" w:w="510"/>
          </w:tcPr>
          <w:p>
            <w:r>
              <w:t xml:space="preserve">E16</w:t>
            </w:r>
          </w:p>
        </w:tc>
        <w:tc>
          <w:tcPr>
            <w:tcW w:type="dxa" w:w="2041"/>
          </w:tcPr>
          <w:p>
            <w:r>
              <w:t xml:space="preserve">Exposición: los trece webhooks se invocan desde un cliente que no es un navegador y sin credencial alguna (deuda S1 de la Tabla 11).</w:t>
            </w:r>
          </w:p>
        </w:tc>
        <w:tc>
          <w:tcPr>
            <w:tcW w:type="dxa" w:w="2268"/>
          </w:tcPr>
          <w:p>
            <w:r>
              <w:t xml:space="preserve">Los seis webhooks del panel interno responden 403; los seis declarados sin autenticación de origen atienden la petición; el de la pasarela la acepta y la contrasta contra la API del proveedor.</w:t>
            </w:r>
          </w:p>
        </w:tc>
        <w:tc>
          <w:tcPr>
            <w:tcW w:type="dxa" w:w="2041"/>
          </w:tcPr>
          <w:p>
            <w:r>
              <w:t>6 de 13 atendieron sin credencial · 6 de 6 del panel respondieron 403 · el alta prosperó y persistió un lead desde un cliente que no es un navegador, lo que mide —y no sólo enuncia— que la lista blanca de orígenes no es una autenticación. Corrida del 30 de agosto de 2026 contra el sistema levantado.</w:t>
            </w:r>
          </w:p>
        </w:tc>
        <w:tc>
          <w:tcPr>
            <w:tcW w:type="dxa" w:w="1928"/>
          </w:tcPr>
          <w:p>
            <w:r>
              <w:t>Corrida de tests/exposicion-webhooks.mjs (npm run test:exposicion). El escenario falla si el reparto deja de coincidir con la Tabla 11, en cualquiera de las dos direcciones. Salida completa en docs/evidencia-E15-E16.md.</w:t>
            </w:r>
          </w:p>
        </w:tc>
      </w:tr>
    </w:tbl>
    <w:p>
      <w:pPr/>
      <w:r>
        <w:rPr>
          <w:b w:val="0"/>
          <w:i/>
        </w:rPr>
        <w:t xml:space="preserve">Nota. Elaboración propia. En los escenarios E1 a E3 los valores de la columna «Resultado esperado» se derivan aritméticamente de las reglas de la Tabla 5 y son verificables por cálculo sin ejecutar el sistema. En los demás no proceden de esa tabla sino del requisito, del contrato de integración o de la garantía que cada escenario ejercita, y así deben leerse: E4 del RNF3, E5 y E6 del RNF2, E7 del RNF6, E8 a E10 de las transiciones de la Tabla 9, E11 a E13 de la definición de los procesos programados (§4.3.5), E14 del contrato documentado de la API del proveedor (§4.3.3), E15 de la tercera condición de refutación del §1.5 y E16 del reparto de la Tabla 11. Todos los escenarios cuentan con evidencia registrada. La de E11 y E12 proviene de una corrida manual y la de E14, de un doble de prueba; ambas circunstancias se declaran en la celda correspondiente en lugar de presentarse como equivalentes a una corrida automatizada contra el servicio real.</w:t>
      </w:r>
    </w:p>
    <w:p>
      <w:pPr>
        <w:pStyle w:val="Ttulo2"/>
      </w:pPr>
      <w:r>
        <w:t xml:space="preserve">5.2 Alcance de lo que la corrida acredita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El flujo recibió después dos correcciones sustantivas en el camino principal —la deduplicación por correo en la captación y el proceso de reconciliación de facturas, ambas del 27 de agosto de 2026—, que conforme a la misma Tabla 4 obligaban a reejecutar los escenarios completos y no sólo el paso corregido; la suite se corrió de nuevo tres veces seguidas, sin cambios de resultado, el 30 de agosto de 2026.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pPr>
        <w:pStyle w:val="Ttulo2"/>
      </w:pPr>
      <w:r>
        <w:t xml:space="preserve">5.3 La rama de cobro y su doble de prueba</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pPr/>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22),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t>El 31 de agosto de 2026 se sumó un segundo instrumento, con un alcance distinto: tests/adaptador-stripe-e14.mjs habla el mismo contrato hacia los nodos reales de n8n, pero por dentro llama a la API real de Stripe en modo de prueba en lugar de fabricar el desenlace del pago. La corrida ejecutada esa fecha confirmó de verdad un PaymentIntent de Stripe (pi_3UAXFV48ekm6gWbu2scTyQzZ) con la tarjeta de prueba oficial pm_card_visa, y verificó sobre los nodos reales del flujo el mismo ciclo que exige la Tabla 12: la preferencia se creó con el identificador real de Stripe persistido en mp_preference_id, la notificación disparó la consulta del pago contra la API —que releyó el estado en vivo en lugar de confiar en el cuerpo notificado—, la factura pasó de PENDIENTE a COBRADO con su mp_payment_id, y una notificación repetida no volvió a aplicar el efecto. La divergencia declarada respecto de producción es de moneda (USD en el adaptador de prueba, MP_CURRENCY=ARS en producción) y de mecanismo de confirmación (el adaptador confirma el pago de forma directa contra la API, sin el checkout hospedado que usaría un cliente real); ninguna de las dos altera la lógica de negocio que la corrida ejercita.</w:t>
      </w:r>
    </w:p>
    <w:p w:rsidR="00D60FC7" w:rsidRDefault="00000000">
      <w:pPr/>
      <w:proofErr w:type="spellStart"/>
      <w:proofErr w:type="spellEnd"/>
      <w:r>
        <w:rPr>
          <w:b/>
        </w:rPr>
        <w:t>Alcance de lo que estas corridas acreditan.</w:t>
      </w:r>
      <w:r>
        <w:t xml:space="preserve"> Contra el doble, la corrida verifica el comportamiento del artefacto contra el contrato documentado del proveedor, no el del proveedor mismo: un cambio no anunciado en la API de MercadoPago no sería detectado por esta prueba. Contra el adaptador de Stripe, la corrida acredita además que la misma lógica de cobro sostiene el ciclo de vida de un pago real —no fabricado— de una pasarela real. Ninguna de las dos prueba el servicio real de MercadoPago en particular: esa validación sigue pendiente y se registra como trabajo futuro (Capítulo 8, punto 6). Corresponde una segunda precisión, de método, válida para ambas corridas: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ambas corridas. La emisión de la factura por el camino completo es lo que verifica el escenario E5, ya ejecutado; lo que E14 verifica, y lo que estas corridas ejercitan de punta a punta, es la rama de cobro.</w:t>
      </w:r>
    </w:p>
    <w:p>
      <w:pPr>
        <w:pStyle w:val="Ttulo2"/>
      </w:pPr>
      <w:r>
        <w:t xml:space="preserve">5.4 Pruebas automatizadas</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servicio, teléfono y descripción,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 Esa contención verificaba al principio sólo cantidades —nodos, webhooks, tablas, ponderaciones—, y eso resultó insuficiente: tres afirmaciones del documento habían dejado de describir el flujo sin que nada fallara, porque ninguna era un número. Se le incorporaron por eso ocho comprobaciones de forma, que verifican contra el flujo exportado que el cálculo del puntaje precede a la persistencia, que la rama fría acusa recibo al interesado además de avisar al profesional, que una factura sólo pasa a COBRADO desde PENDIENTE, que los valores VENCIDA y ANULADA del enumerado no los escribe ningún nodo, que la transición a ACEPTADO es condicional sobre el estado previo y que los seis webhooks del panel —y sólo ésos— exigen Header Auth. A ellas se suman tests/trazabilidad.mjs y tests/exposicion-webhooks.mjs, que instrumentan los escenarios E15 y E16.</w:t>
      </w:r>
    </w:p>
    <w:p>
      <w:pPr>
        <w:pStyle w:val="Ttulo2"/>
      </w:pPr>
      <w:r>
        <w:t xml:space="preserve">5.5 Cobertura de requisitos y evidencia registrada</w:t>
      </w:r>
    </w:p>
    <w:p>
      <w:pPr/>
      <w:r>
        <w:rPr>
          <w:b w:val="0"/>
          <w:i w:val="0"/>
        </w:rPr>
        <w:t>Los once requisitos funcionales y los siete no funcionales se trazan individualmente en el Anexo E, con el resultado de su verificación en la columna correspondiente. Los que quedaron sin verificar del todo se identifican como tales y no se dan por cumplidos. Además del cierre de proyecto (RF7), verificado manualmente y sin escenario propio según consigna la Tabla 20,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 xml:space="preserve">Como evidencia complementaria, el Anexo A reúne las capturas de pantalla del formulario, del tablero, de los flujos configurados en n8n y de los desenlaces de la página pública de aceptación, y reproduce en su Tabla 15 la salida de la corrida completa de la suite automatizada.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La tarifa de infraestructura se publica en euros (Hetzner Online, s. f.) y la celda consigna el importe en su moneda de origen, EUR 4,35, convertido a USD 4,70 al tipo de cambio de 1 EUR = 1,08 USD de esa misma fecha, de modo que la conversión pueda rehacerse con otro tipo de cambio sin volver a la fuente. Los totales a doce meses son el producto directo del costo mensual por doce. La estimación no incorpora el costo del desarrollo ni el del mantenimiento, que se consignan por separado en la última fila por no ser monetizables sin una tarifa horaria declarada. Corresponde precisar, además, que la celda de infraestructura de la solución construida corresponde al despliegue en la nube que el punto 2 del Capítulo 8 propone como trabajo futuro, y no al entorno en que el trabajo se desarrolló y validó —un equipo local, sin ese costo—; y que no incluye por separado el despliegue del frontend en Vercel, cuyo nivel gratuito cubre el volumen de uso que esta estimación declara.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a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La variable sí recibe una definición operacional y su componente contable se mide (§1.5), pero el componente que decide esa promesa —el tiempo y el esfuerzo que cada acción cuesta— carece de línea de base y de medición posterior, de modo que el objetivo se reformuló en términos de viabilidad técnica. Lo que este trabajo acredita es que los flujos funcionan y cuántas acciones del ciclo quedan delegadas;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cinco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 en su primera mitad —propuesta y aceptación—. En la segunda, el registro del cobro, cumplido contra el contrato documentado de la API de MercadoPago, verificado mediante un doble de prueba y con los nodos reales del flujo (escenario E14); la pasarela no se validó aún contra el servicio del proveedor (§4.3.3 y Capítulo 8, punto 6).</w:t>
      </w:r>
      <w:r>
        <w:t xml:space="preserve"/>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parcialmente.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pPr>
        <w:pStyle w:val="Prrafodelista"/>
        <w:numPr>
          <w:ilvl w:val="0"/>
          <w:numId w:val="1"/>
        </w:numPr>
      </w:pPr>
      <w:r>
        <w:t>OE6. Se especificaron los controles de acceso en tres capas —enrutamiento, componente de servidor y seguridad a nivel de fila (§4.2.3 y §4.6)—, se reprodujo el esquema de políticas en el Anexo C y se declararon ocho deudas de seguridad en la Tabla 11, con su consecuencia, su mitigación propuesta y su estado. Cumplido en sus dos mitades, y con resultados distintos en cada una. Los controles implementados se verifican con npm run test:rls, que aplica el esquema versionado sobre un PostgreSQL desechable y ejecuta veinticuatro casos rol por rol. Las deudas se verifican con el escenario E16, que las mide en lugar de enunciarlas: ejecutado el 30 de agosto de 2026 y reejecutado el 31 tras cerrar S1 y S8, seis de los trece webhooks atienden a un cliente sin credencial y sin navegador, y el alta de un lead prospera por esa vía. De las ocho deudas, siete se cerraron o mitigaron en distinto grado en el curso del trabajo (S1, S2, S3, S5, S6, S7 y S8) y una permanece completamente abierta (S4). Ninguna impide la demostración de viabilidad técnica; el remanente de S1 —los cinco webhooks que quedan sin autenticación de origen por diseño, según se justifica en §4.6— sí impide el uso con clientes reales.</w:t>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se acredita por evidencia y no sólo por construcción. Cada lead tiene un estado explícito, marcas temporales de cada transición, un registro de auditoría en la tabla logs y un tablero que expone el embudo completo; el escenario E15 comprueba que eso alcanza para el tramo que ejercita: recorre una oportunidad por la captación y el envío de la propuesta y después reconstruye su historia leyendo únicamente la base, sin volver a preguntarle nada al motor de orquestación, en una corrida ejecutada el 30 de agosto de 2026. Las diez comprobaciones de esa reconstrucción —que la línea de tiempo arranca en el alta, que es cronológicamente consistente, que el estado actual se explica por la última transición fechada y que los términos que fijó el profesional son recuperables— terminaron en verde.</w:t>
      </w:r>
      <w:r>
        <w:rPr>
          <w:b w:val="0"/>
          <w:i w:val="0"/>
        </w:rPr>
      </w:r>
      <w:r>
        <w:rPr>
          <w:rFonts w:ascii="Consolas" w:hAnsi="Consolas" w:cs="Consolas"/>
          <w:b w:val="0"/>
          <w:i w:val="0"/>
        </w:rPr>
      </w:r>
      <w:r>
        <w:rPr>
          <w:b w:val="0"/>
          <w:i w:val="0"/>
        </w:rPr>
      </w:r>
    </w:p>
    <w:p>
      <w:pPr/>
      <w:r>
        <w:t>Cierre de la proposición orientadora. Ninguno de los tres supuestos que el §1.5 fijó como condición de refutación se verificó al término del trabajo: los diecisiete escenarios de validación muestran que ningún flujo del ciclo quedó sin poder completarse; el profesional conserva la decisión sobre los términos comerciales de cada propuesta, según se acaba de detallar; y el escenario E15 acredita que el estado de una oportunidad es reconstruible a partir de lo que el sistema persiste. La proposición se sostiene, por tanto, sin necesidad de apelar a ninguno de los tres supuestos que la habrían refutado. Corresponde recordar, sin atenuantes, que el segundo de esos supuestos sí llegó a verificarse transitoriamente durante el desarrollo (§1.3): la proposición se sostiene en su versión final del artefacto, no en la intermedia.</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se estima a partir de precios de lista y no se verifica contra una operación propia: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 Corresponde agregar el matiz que costó descubrir: la contención mecánica que se construyó para eso verificaba cantidades, y las afirmaciones que efectivamente derivaron no eran cantidades sino descripciones —el orden de dos nodos, el alcance de una regla, la existencia de una transición—. Una verificación que sólo cuenta lo que es fácil contar da una seguridad que no tiene.</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La validación de firma del webhook de MercadoPago, el token de pago-confirmado y la rotación del token de aceptación en cada reenvío se implementaron el 31 de agosto de 2026 (Tabla 11, S8 cerrada; S1 y S3 con un remanente parcial cada una). Queda evitar registrar la cadena de consulta completa en los logs de producción (S3) e implementar rate limiting o captcha en el formulario público (lead/nuevo) y en los cuatro webhooks protegidos por accept_token, que es la mitigación que les corresponde en lugar de un secreto compartido (S1; docs/verificacion-y-seguridad.md §5.2). Ninguna de las dos tareas restantes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Un diseño posible: una muestra no probabilística de entre ocho y doce freelancers que presten servicios comparables a los descritos en §1.1, reclutados por conveniencia entre redes profesionales locales; cada participante gestiona un lote de leads ficticios equivalente con el flujo manual habitual y, en un segundo bloque, con el sistema, contrapesando el orden entre participantes para atenuar el efecto de aprendizaje; el instrumento de registro es una planilla de acciones por lead con marca de tiempo de inicio y fin de cada una; cada bloque se acota a dos semanas para limitar la fatiga del participante; y se controla como variable interviniente principal la familiaridad previa con herramientas de automatización, mediante un cuestionario breve antes de empezar.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dos instrumentos: un doble de prueba y, desde el 31 de agosto de 2026, un adaptador contra una pasarela real —Stripe, en modo de prueba— (escenario E14, §5.3). Queda una tarea: repetir esa verificación contra el servicio real de MercadoPago cuando la activación de credenciales de prueba del proveedor vuelva a estar disponible, que es lo único que ninguna de las dos corridas actuales puede acreditar. La otra línea pendiente de este punto es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logs, que hoy existe y no alimenta ningún tablero de salud. Incorporar además el proceso que aplique las transiciones a VENCIDA y a ANULADA de la columna estado_pago, hoy previstas en el modelo de datos y no ejecutadas por ningún componente (§4.8); al hacerlo habrá que rehacer el indicador de facturas vencidas de la Tabla 8, que hoy depende precisamente de que esa transición no ocurra.</w:t>
      </w:r>
      <w:r>
        <w:rPr>
          <w:rFonts w:ascii="Consolas" w:hAnsi="Consolas" w:cs="Consolas"/>
          <w:b w:val="0"/>
          <w:i w:val="0"/>
        </w:rPr>
        <w:t xml:space="preserve"/>
      </w:r>
      <w:r>
        <w:rPr>
          <w:b w:val="0"/>
          <w:i w:val="0"/>
        </w:rPr>
        <w:t xml:space="preserve"/>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pPr>
        <w:ind w:left="720" w:hanging="720"/>
      </w:pPr>
      <w:r>
        <w:t>Coronado, M., &amp; Iglesias, C. A. (2016). Task automation services: Automation for the masses. IEEE Internet Computing, 20(1), 52–58. https://doi.org/10.1109/MIC.2015.73</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pPr/>
      <w:r>
        <w:t>EspoCRM. (s. f.). EspoCRM — Free open source CRM. Recuperado el 30 de agosto de 2026, de https://www.espocrm.com/</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pPr>
        <w:ind w:left="720" w:hanging="720"/>
      </w:pPr>
      <w:r>
        <w:t>Gartner. (2025, 19 de mayo). Magic Quadrant for integration platform as a service. Recuperado el 31 de agosto de 2026, de https://www.gartner.com/en/documents/6483139</w:t>
      </w:r>
    </w:p>
    <w:p>
      <w:pPr>
        <w:ind w:left="720" w:hanging="720"/>
      </w:pPr>
      <w:r>
        <w:t>Gartner. (s. f.-a). Make reviews. Gartner Peer Insights. Recuperado el 31 de agosto de 2026, de https://www.gartner.com/reviews/market/integration-platform-as-a-service/vendor/make/product/make</w:t>
      </w:r>
    </w:p>
    <w:p>
      <w:pPr>
        <w:ind w:left="720" w:hanging="720"/>
      </w:pPr>
      <w:r>
        <w:t>Gartner. (s. f.-b). Pipedrive reviews. Gartner Peer Insights. Recuperado el 31 de agosto de 2026, de https://www.gartner.com/reviews/product/pipedrive</w:t>
      </w:r>
    </w:p>
    <w:p>
      <w:pPr>
        <w:spacing w:after="120"/>
        <w:ind w:left="720" w:hanging="720"/>
      </w:pPr>
      <w:r>
        <w:t xml:space="preserve">Hetzner Online. (s. f.). Cloud — precios. Recuperado el 17 de agosto de 2026, de https://www.hetzner.com/cloud/</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(s. f.).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pPr>
        <w:ind w:left="720" w:hanging="720"/>
      </w:pPr>
      <w:r>
        <w:t>Leggett, K. (2025, 31 de marzo). A market on the cusp of change — Decoding the Forrester Wave™ for customer relationship management software. Forrester. Recuperado el 31 de agosto de 2026, de https://www.forrester.com/blogs/a-market-on-the-cusp-of-change-decoding-the-crm-wave/</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(s. f.).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pPr>
        <w:spacing w:after="120"/>
        <w:ind w:left="720" w:hanging="720"/>
      </w:pPr>
      <w:r>
        <w:t xml:space="preserve">Moynihan, D. P., Herd, P., &amp; Harvey, H. (2015). Administrative burden: Learning, psychological, and compliance costs in citizen-state interactions. Journal of Public Administration Research and Theory, 25(1), 43–69. https://doi.org/10.1093/jopart/muu009</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(s. f.). </w:t>
      </w:r>
      <w:r>
        <w:rPr>
          <w:i/>
        </w:rPr>
        <w:t>n8n documentation</w:t>
      </w:r>
      <w:r>
        <w:rPr>
          <w:i w:val="0"/>
        </w:rPr>
        <w:t>. Recuperado el 17 de agosto de 2026, de https://docs.n8n.io</w:t>
      </w:r>
    </w:p>
    <w:p>
      <w:pPr/>
      <w:r>
        <w:t>NVD. (2025). CVE-2025-29927 detail. National Vulnerability Database. Recuperado el 30 de agosto de 2026, de https://nvd.nist.gov/vuln/detail/CVE-2025-29927</w:t>
      </w:r>
    </w:p>
    <w:p w:rsidR="00D60FC7" w:rsidRDefault="00000000">
      <w:pPr>
        <w:spacing w:after="120"/>
        <w:ind w:left="720" w:hanging="720"/>
      </w:pPr>
      <w:proofErr w:type="spellStart"/>
      <w:proofErr w:type="spellEnd"/>
      <w:r>
        <w:rPr>
          <w:i w:val="0"/>
        </w:rPr>
        <w:t>Neifer, T., Lawo, D., Bossauer, P., &amp; Gadatsch, A. (2021). Decoding IPaaS: Investigation of user requirements for Integration Platforms as a Service. En Proceedings of the 18th International Conference on e-Business (pp. 47–55). SCITEPRESS. https://doi.org/10.5220/0010626000470055</w:t>
      </w:r>
      <w:r>
        <w:rPr>
          <w:i/>
        </w:rPr>
      </w:r>
      <w:r>
        <w:rPr>
          <w:i w:val="0"/>
        </w:rPr>
      </w:r>
    </w:p>
    <w:p>
      <w:pPr>
        <w:spacing w:after="120"/>
        <w:ind w:left="720" w:hanging="720"/>
      </w:pPr>
      <w:r>
        <w:t xml:space="preserve">Ntaliani, M., &amp; Costopoulou, C. (2017). Reduction of administrative burdens for SMEs. Administration &amp; Society, 49(8), 1143–1164. https://doi.org/10.1177/0095399714558715</w:t>
      </w:r>
    </w:p>
    <w:p>
      <w:pPr/>
      <w:r>
        <w:t>Odoo. (s. f.). Odoo Enterprise vs Community — Editions comparison. Recuperado el 30 de agosto de 2026, de https://www.odoo.com/page/editions</w:t>
      </w:r>
    </w:p>
    <w:p>
      <w:pPr>
        <w:spacing w:after="120"/>
        <w:ind w:left="720" w:hanging="720"/>
      </w:pPr>
      <w:r>
        <w:t xml:space="preserve">Open Source Initiative. (2024). The open source definition. Recuperado el 17 de agosto de 2026, de https://opensource.org/osd</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(s. f.).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pPr>
        <w:ind w:left="720" w:hanging="720"/>
      </w:pPr>
      <w:r>
        <w:t>Rahmati, A., Fernandes, E., Jung, J., &amp; Prakash, A. (2017). IFTTT vs. Zapier: A comparative study of trigger-action programming frameworks [Preprint]. arXiv. https://doi.org/10.48550/arXiv.1709.02788</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(s. f.).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(s. f.).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(s. f.).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 xml:space="preserve">Anexo A. Evidencias de la validación</w:t>
      </w:r>
      <w:bookmarkEnd w:id="55"/>
    </w:p>
    <w:p w:rsidR="00D60FC7" w:rsidRDefault="00000000">
      <w:r>
        <w:rPr>
          <w:b w:val="0"/>
          <w:i w:val="0"/>
        </w:rPr>
        <w:t xml:space="preserve">Este anexo reúne la evidencia del funcionamiento del sistema: las capturas de pantalla de la aplicación y de los flujos configurados en n8n, y la salida de la corrida completa de la suite de escenarios de validación (Tabla 15).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5047271"/>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5047271"/>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29 de agosto de 2026 sobre el sistema en ejecución, con datos de prueba ficticios conforme al protocolo de la Tabla 4. Las facturas pendientes, los trabajos activos y los pedidos de cambio continúan por debajo del corte de la imagen. Obsérvese que el indicador «LEADS» (9) y la suma del embudo (23)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verificación de duplicados, scoring, inserción ya calificada y el aviso de que la propuesta queda pendiente de que el profesional la envíe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que se reporta en la Tabla 12 con la respuesta de la API de Telegram que confirma la entrega.</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w:t>
      </w:r>
      <w:r>
        <w:rPr>
          <w:b w:val="0"/>
          <w:i w:val="0"/>
          <w:sz w:val="17"/>
        </w:rPr>
        <w:t xml:space="preserve"> Correo de propuesta generado por el sistema, con los términos fijados por el profesional (§4.3.1, escenario E5). </w:t>
      </w:r>
      <w:r>
        <w:rPr>
          <w:b w:val="0"/>
          <w:i/>
          <w:sz w:val="17"/>
        </w:rPr>
        <w:t>Nota.</w:t>
      </w:r>
      <w:r>
        <w:rPr>
          <w:b w:val="0"/>
          <w:i w:val="0"/>
          <w:sz w:val="17"/>
        </w:rPr>
        <w:t xml:space="preserve"> Esta figura se generó ejecutando el nodo real Code - Generar Propuesta con datos neutros conforme al protocolo de la Tabla 4 (Cliente Demo 1, dominio ejemplo.com) y los valores reales de E5 (precio 7200, plazo 3 semanas), renderizando el HTML resultante. La figura reproduce la salida del nodo y no la captura de un correo enviado, de modo que el contenido es exactamente el que el sistema produce, sin variación.</w:t>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Esta figura se generó ejecutando el nodo real Code - Generar Factura HTML del flujo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leads (§4.3.1, escenarios E1 a E3). </w:t>
      </w:r>
      <w:r>
        <w:rPr>
          <w:b w:val="0"/>
          <w:i/>
          <w:sz w:val="17"/>
        </w:rPr>
        <w:t>Nota.</w:t>
      </w:r>
      <w:r>
        <w:rPr>
          <w:b w:val="0"/>
          <w:i w:val="0"/>
          <w:sz w:val="17"/>
        </w:rPr>
        <w:t xml:space="preserve"> Esta figura se generó enviando tres leads reales con los datos de la Tabla 4 (Cliente Demo 1 a 3, dominio ejemplo.com) y las entradas exactas de E1, E2 y E3, y consultando la tabla leads resultante: los tres puntajes (100, 47, 20) coinciden con la Tabla 12.</w:t>
      </w:r>
    </w:p>
    <w:p>
      <w:pPr>
        <w:jc w:val="center"/>
        <w:keepNext/>
      </w:pPr>
      <w:r>
        <w:drawing>
          <wp:inline xmlns:a="http://schemas.openxmlformats.org/drawingml/2006/main" xmlns:pic="http://schemas.openxmlformats.org/drawingml/2006/picture">
            <wp:extent cx="4754880" cy="1768033"/>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1768033"/>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w:t>
      </w:r>
      <w:r>
        <w:rPr>
          <w:b w:val="0"/>
          <w:i w:val="0"/>
          <w:sz w:val="17"/>
        </w:rPr>
        <w:t xml:space="preserve">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w:t>
      </w:r>
      <w:r>
        <w:rPr>
          <w:b w:val="0"/>
          <w:i/>
          <w:sz w:val="17"/>
        </w:rPr>
        <w:t>Nota.</w:t>
      </w:r>
      <w:r>
        <w:rPr>
          <w:b w:val="0"/>
          <w:i w:val="0"/>
          <w:sz w:val="17"/>
        </w:rPr>
        <w:t xml:space="preserve"> Captura propia.</w:t>
      </w:r>
    </w:p>
    <w:p>
      <w:pPr/>
      <w:r>
        <w:t>La Tabla 15 reproduce la corrida completa de tests/escenarios.mjs, ejecutada el 30 de agosto de 2026 a las 23:25 UTC contra el sistema levantado (n8n en http://localhost:5678, Supabase en la URL declarada en .env.local), sin editar —la tercera de tres corridas seguidas sin cambios de resultado ese mismo día, conforme exige la Tabla 4 tras las correcciones del 27 de agosto de 2026 en el camino principal—. Las doce filas de la suite terminan en OK, y cubren los diez escenarios que enumera la Tabla 12 —E5 y E6 comparten una sola fila— más las tres garantías sin escenario propio que se detallan a continuación. Los escenarios E1, E2 y E3 verifican el desglose del puntaje contra la Tabla 5, no sólo el total; las cuatro entradas inválidas de la Tabla 12 se verifican en una sola corrida (lead-invalido). Tres filas no llevan identificador de la Tabla 12 —la lectura de la propuesta con el token correcto, la idempotencia del pago y el rechazo de un token vencido— porque ejercitan garantías descritas en §4.3.2 y §4.3.3 que no tienen escenario propio en aquella tabla. El proceso de reconciliación (§4.3.5) existe precisamente porque no depende de la credencial de correo.</w:t>
      </w:r>
    </w:p>
    <w:p>
      <w:pPr/>
      <w:r>
        <w:t xml:space="preserve">Tabla 15. Salida de la corrida completa de la suite de escenarios de validación</w:t>
      </w:r>
    </w:p>
    <w:tbl>
      <w:tblPr>
        <w:tblW w:type="auto" w:w="0"/>
        <w:tblLook w:firstColumn="1" w:firstRow="1" w:lastColumn="0" w:lastRow="0" w:noHBand="0" w:noVBand="1" w:val="04A0"/>
      </w:tblPr>
      <w:tblGrid>
        <w:gridCol w:w="2197"/>
        <w:gridCol w:w="2197"/>
        <w:gridCol w:w="2197"/>
        <w:gridCol w:w="2197"/>
      </w:tblGrid>
      <w:tr>
        <w:tc>
          <w:tcPr>
            <w:tcW w:type="dxa" w:w="2197"/>
          </w:tcPr>
          <w:p>
            <w:r>
              <w:t xml:space="preserve">Escenario</w:t>
            </w:r>
          </w:p>
        </w:tc>
        <w:tc>
          <w:tcPr>
            <w:tcW w:type="dxa" w:w="2197"/>
          </w:tcPr>
          <w:p>
            <w:r>
              <w:t xml:space="preserve">Descripción</w:t>
            </w:r>
          </w:p>
        </w:tc>
        <w:tc>
          <w:tcPr>
            <w:tcW w:type="dxa" w:w="2197"/>
          </w:tcPr>
          <w:p>
            <w:r>
              <w:t xml:space="preserve">Resultado</w:t>
            </w:r>
          </w:p>
        </w:tc>
        <w:tc>
          <w:tcPr>
            <w:tcW w:type="dxa" w:w="2197"/>
          </w:tcPr>
          <w:p>
            <w:r>
              <w:t xml:space="preserve">Tiempo</w:t>
            </w:r>
          </w:p>
        </w:tc>
      </w:tr>
      <w:tr>
        <w:tc>
          <w:tcPr>
            <w:tcW w:type="dxa" w:w="2197"/>
          </w:tcPr>
          <w:p>
            <w:r>
              <w:t xml:space="preserve">E1</w:t>
            </w:r>
          </w:p>
        </w:tc>
        <w:tc>
          <w:tcPr>
            <w:tcW w:type="dxa" w:w="2197"/>
          </w:tcPr>
          <w:p>
            <w:r>
              <w:t xml:space="preserve">Un lead de presupuesto alto se califica HOT y queda esperando propuesta</w:t>
            </w:r>
          </w:p>
        </w:tc>
        <w:tc>
          <w:tcPr>
            <w:tcW w:type="dxa" w:w="2197"/>
          </w:tcPr>
          <w:p>
            <w:r>
              <w:t xml:space="preserve">OK</w:t>
            </w:r>
          </w:p>
        </w:tc>
        <w:tc>
          <w:tcPr>
            <w:tcW w:type="dxa" w:w="2197"/>
          </w:tcPr>
          <w:p>
            <w:r>
              <w:t xml:space="preserve">5586 ms</w:t>
            </w:r>
          </w:p>
        </w:tc>
      </w:tr>
      <w:tr>
        <w:tc>
          <w:tcPr>
            <w:tcW w:type="dxa" w:w="2197"/>
          </w:tcPr>
          <w:p>
            <w:r>
              <w:t xml:space="preserve">E1b</w:t>
            </w:r>
          </w:p>
        </w:tc>
        <w:tc>
          <w:tcPr>
            <w:tcW w:type="dxa" w:w="2197"/>
          </w:tcPr>
          <w:p>
            <w:r>
              <w:t xml:space="preserve">El profesional fija precio, plazo y alcance, y recién ahí sale la propuesta</w:t>
            </w:r>
          </w:p>
        </w:tc>
        <w:tc>
          <w:tcPr>
            <w:tcW w:type="dxa" w:w="2197"/>
          </w:tcPr>
          <w:p>
            <w:r>
              <w:t xml:space="preserve">OK</w:t>
            </w:r>
          </w:p>
        </w:tc>
        <w:tc>
          <w:tcPr>
            <w:tcW w:type="dxa" w:w="2197"/>
          </w:tcPr>
          <w:p>
            <w:r>
              <w:t xml:space="preserve">5412 ms</w:t>
            </w:r>
          </w:p>
        </w:tc>
      </w:tr>
      <w:tr>
        <w:tc>
          <w:tcPr>
            <w:tcW w:type="dxa" w:w="2197"/>
          </w:tcPr>
          <w:p>
            <w:r>
              <w:t xml:space="preserve">E2</w:t>
            </w:r>
          </w:p>
        </w:tc>
        <w:tc>
          <w:tcPr>
            <w:tcW w:type="dxa" w:w="2197"/>
          </w:tcPr>
          <w:p>
            <w:r>
              <w:t xml:space="preserve">Un lead de valor medio se califica WARM y también espera propuesta</w:t>
            </w:r>
          </w:p>
        </w:tc>
        <w:tc>
          <w:tcPr>
            <w:tcW w:type="dxa" w:w="2197"/>
          </w:tcPr>
          <w:p>
            <w:r>
              <w:t xml:space="preserve">OK</w:t>
            </w:r>
          </w:p>
        </w:tc>
        <w:tc>
          <w:tcPr>
            <w:tcW w:type="dxa" w:w="2197"/>
          </w:tcPr>
          <w:p>
            <w:r>
              <w:t xml:space="preserve">4132 ms</w:t>
            </w:r>
          </w:p>
        </w:tc>
      </w:tr>
      <w:tr>
        <w:tc>
          <w:tcPr>
            <w:tcW w:type="dxa" w:w="2197"/>
          </w:tcPr>
          <w:p>
            <w:r>
              <w:t xml:space="preserve">E3</w:t>
            </w:r>
          </w:p>
        </w:tc>
        <w:tc>
          <w:tcPr>
            <w:tcW w:type="dxa" w:w="2197"/>
          </w:tcPr>
          <w:p>
            <w:r>
              <w:t xml:space="preserve">Un lead de presupuesto bajo se califica COLD y NO recibe propuesta</w:t>
            </w:r>
          </w:p>
        </w:tc>
        <w:tc>
          <w:tcPr>
            <w:tcW w:type="dxa" w:w="2197"/>
          </w:tcPr>
          <w:p>
            <w:r>
              <w:t xml:space="preserve">OK</w:t>
            </w:r>
          </w:p>
        </w:tc>
        <w:tc>
          <w:tcPr>
            <w:tcW w:type="dxa" w:w="2197"/>
          </w:tcPr>
          <w:p>
            <w:r>
              <w:t xml:space="preserve">3941 ms</w:t>
            </w:r>
          </w:p>
        </w:tc>
      </w:tr>
      <w:tr>
        <w:tc>
          <w:tcPr>
            <w:tcW w:type="dxa" w:w="2197"/>
          </w:tcPr>
          <w:p>
            <w:r>
              <w:t xml:space="preserve">E4</w:t>
            </w:r>
          </w:p>
        </w:tc>
        <w:tc>
          <w:tcPr>
            <w:tcW w:type="dxa" w:w="2197"/>
          </w:tcPr>
          <w:p>
            <w:r>
              <w:t xml:space="preserve">Un lead inválido se rechaza sin persistirse y queda registrado</w:t>
            </w:r>
          </w:p>
        </w:tc>
        <w:tc>
          <w:tcPr>
            <w:tcW w:type="dxa" w:w="2197"/>
          </w:tcPr>
          <w:p>
            <w:r>
              <w:t xml:space="preserve">OK</w:t>
            </w:r>
          </w:p>
        </w:tc>
        <w:tc>
          <w:tcPr>
            <w:tcW w:type="dxa" w:w="2197"/>
          </w:tcPr>
          <w:p>
            <w:r>
              <w:t xml:space="preserve">5848 ms</w:t>
            </w:r>
          </w:p>
        </w:tc>
      </w:tr>
      <w:tr>
        <w:tc>
          <w:tcPr>
            <w:tcW w:type="dxa" w:w="2197"/>
          </w:tcPr>
          <w:p>
            <w:r>
              <w:t xml:space="preserve">—</w:t>
            </w:r>
          </w:p>
        </w:tc>
        <w:tc>
          <w:tcPr>
            <w:tcW w:type="dxa" w:w="2197"/>
          </w:tcPr>
          <w:p>
            <w:r>
              <w:t xml:space="preserve">La propuesta se lee sólo con el token correcto</w:t>
            </w:r>
          </w:p>
        </w:tc>
        <w:tc>
          <w:tcPr>
            <w:tcW w:type="dxa" w:w="2197"/>
          </w:tcPr>
          <w:p>
            <w:r>
              <w:t xml:space="preserve">OK</w:t>
            </w:r>
          </w:p>
        </w:tc>
        <w:tc>
          <w:tcPr>
            <w:tcW w:type="dxa" w:w="2197"/>
          </w:tcPr>
          <w:p>
            <w:r>
              <w:t xml:space="preserve">603 ms</w:t>
            </w:r>
          </w:p>
        </w:tc>
      </w:tr>
      <w:tr>
        <w:tc>
          <w:tcPr>
            <w:tcW w:type="dxa" w:w="2197"/>
          </w:tcPr>
          <w:p>
            <w:r>
              <w:t xml:space="preserve">E5/E6</w:t>
            </w:r>
          </w:p>
        </w:tc>
        <w:tc>
          <w:tcPr>
            <w:tcW w:type="dxa" w:w="2197"/>
          </w:tcPr>
          <w:p>
            <w:r>
              <w:t xml:space="preserve">Aceptación válida y reutilización del enlace: una sola factura</w:t>
            </w:r>
          </w:p>
        </w:tc>
        <w:tc>
          <w:tcPr>
            <w:tcW w:type="dxa" w:w="2197"/>
          </w:tcPr>
          <w:p>
            <w:r>
              <w:t xml:space="preserve">OK</w:t>
            </w:r>
          </w:p>
        </w:tc>
        <w:tc>
          <w:tcPr>
            <w:tcW w:type="dxa" w:w="2197"/>
          </w:tcPr>
          <w:p>
            <w:r>
              <w:t xml:space="preserve">12207 ms</w:t>
            </w:r>
          </w:p>
        </w:tc>
      </w:tr>
      <w:tr>
        <w:tc>
          <w:tcPr>
            <w:tcW w:type="dxa" w:w="2197"/>
          </w:tcPr>
          <w:p>
            <w:r>
              <w:t xml:space="preserve">—</w:t>
            </w:r>
          </w:p>
        </w:tc>
        <w:tc>
          <w:tcPr>
            <w:tcW w:type="dxa" w:w="2197"/>
          </w:tcPr>
          <w:p>
            <w:r>
              <w:t xml:space="preserve">El pago simulado es idempotente</w:t>
            </w:r>
          </w:p>
        </w:tc>
        <w:tc>
          <w:tcPr>
            <w:tcW w:type="dxa" w:w="2197"/>
          </w:tcPr>
          <w:p>
            <w:r>
              <w:t xml:space="preserve">OK</w:t>
            </w:r>
          </w:p>
        </w:tc>
        <w:tc>
          <w:tcPr>
            <w:tcW w:type="dxa" w:w="2197"/>
          </w:tcPr>
          <w:p>
            <w:r>
              <w:t xml:space="preserve">4641 ms</w:t>
            </w:r>
          </w:p>
        </w:tc>
      </w:tr>
      <w:tr>
        <w:tc>
          <w:tcPr>
            <w:tcW w:type="dxa" w:w="2197"/>
          </w:tcPr>
          <w:p>
            <w:r>
              <w:t xml:space="preserve">E8</w:t>
            </w:r>
          </w:p>
        </w:tc>
        <w:tc>
          <w:tcPr>
            <w:tcW w:type="dxa" w:w="2197"/>
          </w:tcPr>
          <w:p>
            <w:r>
              <w:t xml:space="preserve">El rechazo de la propuesta deja el lead en PERDIDO</w:t>
            </w:r>
          </w:p>
        </w:tc>
        <w:tc>
          <w:tcPr>
            <w:tcW w:type="dxa" w:w="2197"/>
          </w:tcPr>
          <w:p>
            <w:r>
              <w:t xml:space="preserve">OK</w:t>
            </w:r>
          </w:p>
        </w:tc>
        <w:tc>
          <w:tcPr>
            <w:tcW w:type="dxa" w:w="2197"/>
          </w:tcPr>
          <w:p>
            <w:r>
              <w:t xml:space="preserve">7145 ms</w:t>
            </w:r>
          </w:p>
        </w:tc>
      </w:tr>
      <w:tr>
        <w:tc>
          <w:tcPr>
            <w:tcW w:type="dxa" w:w="2197"/>
          </w:tcPr>
          <w:p>
            <w:r>
              <w:t xml:space="preserve">E9</w:t>
            </w:r>
          </w:p>
        </w:tc>
        <w:tc>
          <w:tcPr>
            <w:tcW w:type="dxa" w:w="2197"/>
          </w:tcPr>
          <w:p>
            <w:r>
              <w:t xml:space="preserve">El pedido de cambios vuelve el lead a EN_SEGUIMIENTO y guarda el mensaje</w:t>
            </w:r>
          </w:p>
        </w:tc>
        <w:tc>
          <w:tcPr>
            <w:tcW w:type="dxa" w:w="2197"/>
          </w:tcPr>
          <w:p>
            <w:r>
              <w:t xml:space="preserve">OK</w:t>
            </w:r>
          </w:p>
        </w:tc>
        <w:tc>
          <w:tcPr>
            <w:tcW w:type="dxa" w:w="2197"/>
          </w:tcPr>
          <w:p>
            <w:r>
              <w:t xml:space="preserve">6304 ms</w:t>
            </w:r>
          </w:p>
        </w:tc>
      </w:tr>
      <w:tr>
        <w:tc>
          <w:tcPr>
            <w:tcW w:type="dxa" w:w="2197"/>
          </w:tcPr>
          <w:p>
            <w:r>
              <w:t xml:space="preserve">E10</w:t>
            </w:r>
          </w:p>
        </w:tc>
        <w:tc>
          <w:tcPr>
            <w:tcW w:type="dxa" w:w="2197"/>
          </w:tcPr>
          <w:p>
            <w:r>
              <w:t xml:space="preserve">El estado del trabajo se actualiza desde el panel y se sincroniza</w:t>
            </w:r>
          </w:p>
        </w:tc>
        <w:tc>
          <w:tcPr>
            <w:tcW w:type="dxa" w:w="2197"/>
          </w:tcPr>
          <w:p>
            <w:r>
              <w:t xml:space="preserve">OK</w:t>
            </w:r>
          </w:p>
        </w:tc>
        <w:tc>
          <w:tcPr>
            <w:tcW w:type="dxa" w:w="2197"/>
          </w:tcPr>
          <w:p>
            <w:r>
              <w:t xml:space="preserve">858 ms</w:t>
            </w:r>
          </w:p>
        </w:tc>
      </w:tr>
      <w:tr>
        <w:tc>
          <w:tcPr>
            <w:tcW w:type="dxa" w:w="2197"/>
          </w:tcPr>
          <w:p>
            <w:r>
              <w:t xml:space="preserve">—</w:t>
            </w:r>
          </w:p>
        </w:tc>
        <w:tc>
          <w:tcPr>
            <w:tcW w:type="dxa" w:w="2197"/>
          </w:tcPr>
          <w:p>
            <w:r>
              <w:t xml:space="preserve">Un token vencido no permite aceptar la propuesta</w:t>
            </w:r>
          </w:p>
        </w:tc>
        <w:tc>
          <w:tcPr>
            <w:tcW w:type="dxa" w:w="2197"/>
          </w:tcPr>
          <w:p>
            <w:r>
              <w:t xml:space="preserve">OK</w:t>
            </w:r>
          </w:p>
        </w:tc>
        <w:tc>
          <w:tcPr>
            <w:tcW w:type="dxa" w:w="2197"/>
          </w:tcPr>
          <w:p>
            <w:r>
              <w:t xml:space="preserve">9086 ms</w:t>
            </w:r>
          </w:p>
        </w:tc>
      </w:tr>
    </w:tbl>
    <w:p>
      <w:pPr/>
      <w:r>
        <w:t>Nota. Elaboración propia a partir de la salida de tests/escenarios.mjs (corrida del 30 de agosto de 2026, 23:25 UTC, la última de tres corridas seguidas ese día). El detalle completo, con cada aserción verificada, vive en docs/evidencia-validacion.md, que este mismo comando regenera en cada corrida y que consigna la fecha y la hora de la ejecución que lo generó. El escenario E7 no forma parte de esta suite: se mide por separado con scripts/medir-realtime.mjs (§5). Tampoco E11 a E14: los tres primeros corresponden a procesos programados que se disparan desde el editor de n8n y el último, a la rama de cobro, que se ejercita con tests/e14-cobro-mp.mjs contra el doble descrito en el Capítulo 5.</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 xml:space="preserve">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16 resume su composición por tipo de nodo y la Tabla 17,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 xml:space="preserve">Tabla 16.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 xml:space="preserve">Tabla 17.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18 especifica el contrato de entrada campo por campo, con su tipo, obligatoriedad y restricciones; después se reproducen un ejemplo de petición y las tres respuestas posibles.</w:t>
      </w:r>
    </w:p>
    <w:p>
      <w:pPr>
        <w:keepNext/>
      </w:pPr>
      <w:r>
        <w:rPr>
          <w:b w:val="0"/>
          <w:i w:val="0"/>
        </w:rPr>
        <w:t xml:space="preserve">Tabla 18.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19 vincula el objetivo general, la pregunta de investigación y los seis objetivos específicos con la sección de diseño que los implementa, el escenario que los valida y la conclusión que los retoma. La Tabla 20 traza los once requisitos funcionales y la Tabla 21, los siete requisitos no funcionales.</w:t>
      </w:r>
    </w:p>
    <w:p w:rsidR="00D60FC7" w:rsidRDefault="00000000">
      <w:pPr>
        <w:spacing w:after="120" w:line="240" w:lineRule="auto"/>
        <w:jc w:val="center"/>
      </w:pPr>
      <w:r>
        <w:rPr>
          <w:sz w:val="20"/>
          <w:szCs w:val="20"/>
        </w:rPr>
        <w:t xml:space="preserve">Tabla 19.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 xml:space="preserve">E1–E16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 xml:space="preserve">E1–E16 (E1b incluido), E15 y Tabla 8</w:t>
            </w:r>
          </w:p>
        </w:tc>
        <w:tc>
          <w:tcPr>
            <w:tcW w:type="dxa" w:w="2608"/>
          </w:tcPr>
          <w:p>
            <w:pPr>
              <w:spacing w:after="40" w:before="40"/>
              <w:jc w:val="left"/>
            </w:pPr>
            <w:r>
              <w:rPr>
                <w:b w:val="0"/>
                <w:i w:val="0"/>
                <w:sz w:val="14"/>
              </w:rPr>
              <w:t xml:space="preserve">Respondida afirmativamente en viabilidad y trazabilidad; el control del profesional se materializa en el tablero interno. La trazabilidad, además, se comprueba con E15, que reconstruye el ciclo de una oportunidad leyendo sólo lo que el sistema persiste.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r>
        <w:tc>
          <w:tcPr>
            <w:tcW w:type="dxa" w:w="2381"/>
          </w:tcPr>
          <w:p>
            <w:r>
              <w:t xml:space="preserve">OE6 — controles de acceso y deudas de seguridad declaradas</w:t>
            </w:r>
          </w:p>
        </w:tc>
        <w:tc>
          <w:tcPr>
            <w:tcW w:type="dxa" w:w="1644"/>
          </w:tcPr>
          <w:p>
            <w:r>
              <w:t xml:space="preserve">§4.2.3, §4.6, §4.9, Anexo C</w:t>
            </w:r>
          </w:p>
        </w:tc>
        <w:tc>
          <w:tcPr>
            <w:tcW w:type="dxa" w:w="1247"/>
          </w:tcPr>
          <w:p>
            <w:r>
              <w:t xml:space="preserve">RNF1, RNF2, E16</w:t>
            </w:r>
          </w:p>
        </w:tc>
        <w:tc>
          <w:tcPr>
            <w:tcW w:type="dxa" w:w="2608"/>
          </w:tcPr>
          <w:p>
            <w:r>
              <w:t xml:space="preserve">Verificado en sus dos mitades. Los controles implementados: npm run test:rls ejecuta 24 casos rol por rol sobre un PostgreSQL real —anon sin acceso, autenticado sin rol admin con 0 filas, admin con lectura, logs cerrada incluso para admin y escritura denegada—. Las deudas declaradas: el escenario E16 mide el reparto de la Tabla 11 —6 webhooks atienden sin credencial, 6 del panel responden 403— y falla si ese reparto cambia en cualquiera de las dos direcciones. Cuatro deudas cerradas o mitigadas, cuatro abiertas.</w:t>
            </w:r>
          </w:p>
        </w:tc>
        <w:tc>
          <w:tcPr>
            <w:tcW w:type="dxa" w:w="907"/>
          </w:tcPr>
          <w:p>
            <w:r>
              <w:t xml:space="preserve">Cap. 7</w:t>
            </w:r>
          </w:p>
        </w:tc>
      </w:tr>
    </w:tbl>
    <w:p>
      <w:pPr/>
      <w:r>
        <w:rPr>
          <w:b w:val="0"/>
          <w:i/>
        </w:rPr>
        <w:t>Nota. Elaboración propia.</w:t>
      </w:r>
    </w:p>
    <w:p>
      <w:pPr>
        <w:keepNext/>
      </w:pPr>
      <w:r>
        <w:rPr>
          <w:b w:val="0"/>
          <w:i w:val="0"/>
        </w:rPr>
        <w:t xml:space="preserve">Tabla 20.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 xml:space="preserve">Tabla 21.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Cuatro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cuatro anchos de pantalla —incluido el extremo superior de 1920 px que fija el requisito— y recuento de códigos traducidos.</w:t>
            </w:r>
          </w:p>
        </w:tc>
        <w:tc>
          <w:tcPr>
            <w:tcW w:type="dxa" w:w="1247"/>
          </w:tcPr>
          <w:p>
            <w:pPr>
              <w:spacing w:after="40" w:before="40"/>
              <w:jc w:val="left"/>
            </w:pPr>
            <w:r>
              <w:rPr>
                <w:b w:val="0"/>
                <w:i w:val="0"/>
                <w:sz w:val="14"/>
              </w:rPr>
              <w:t>Verificado. La interfaz no desborda horizontalmente en ninguno de los cuatro anchos revisados, incluido el extremo de 1920 px que fija el requisito (verificado el 30 de agosto de 2026).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22 detalla las variables requeridas.</w:t>
      </w:r>
    </w:p>
    <w:p>
      <w:pPr>
        <w:keepNext/>
      </w:pPr>
      <w:r>
        <w:rPr>
          <w:b w:val="0"/>
          <w:i w:val="0"/>
        </w:rPr>
        <w:t xml:space="preserve">Tabla 22.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Obligatorio (Tabla 11, S8, cerrada): sin este valor, o con firma inválida, el nodo rechaza la notificación. En desarrollo, docker-compose.yml aplica un valor por defecto; en producción hay que configurar acá el secreto real que entrega el panel de MercadoPago.</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p>
      <w:pPr>
        <w:pStyle w:val="Ttulo2"/>
      </w:pPr>
      <w:r>
        <w:t>Anexo H. Glosario de siglas y acrónimos</w:t>
      </w:r>
    </w:p>
    <w:p>
      <w:pPr/>
      <w:r>
        <w:t>Se listan aquí, por orden alfabético, las siglas y acrónimos empleados a lo largo del documento, con el punto del texto donde cada uno se define o emplea por primera vez.</w:t>
      </w:r>
    </w:p>
    <w:p>
      <w:pPr>
        <w:pStyle w:val="Prrafodelista"/>
      </w:pPr>
      <w:r>
        <w:t>AFIP — Administración Federal de Ingresos Públicos, organismo antecesor de ARCA (§2.9).</w:t>
      </w:r>
    </w:p>
    <w:p>
      <w:pPr>
        <w:pStyle w:val="Prrafodelista"/>
      </w:pPr>
      <w:r>
        <w:t>AGPL — Affero General Public License, licencia de software libre citada en el §2.7 para EspoCRM.</w:t>
      </w:r>
    </w:p>
    <w:p>
      <w:pPr>
        <w:pStyle w:val="Prrafodelista"/>
      </w:pPr>
      <w:r>
        <w:t>API — Application Programming Interface, interfaz de programación de aplicaciones.</w:t>
      </w:r>
    </w:p>
    <w:p>
      <w:pPr>
        <w:pStyle w:val="Prrafodelista"/>
      </w:pPr>
      <w:r>
        <w:t>APA — American Psychological Association, normas de estilo bibliográfico adoptadas en el Capítulo 3.</w:t>
      </w:r>
    </w:p>
    <w:p>
      <w:pPr>
        <w:pStyle w:val="Prrafodelista"/>
      </w:pPr>
      <w:r>
        <w:t>ARCA — Agencia de Recaudación y Control Aduanero (§2.9, §4.3.2).</w:t>
      </w:r>
    </w:p>
    <w:p>
      <w:pPr>
        <w:pStyle w:val="Prrafodelista"/>
      </w:pPr>
      <w:r>
        <w:t>BaaS — Backend as a Service, patrón descrito en el §2.4.</w:t>
      </w:r>
    </w:p>
    <w:p>
      <w:pPr>
        <w:pStyle w:val="Prrafodelista"/>
      </w:pPr>
      <w:r>
        <w:t>CAE — Código de Autorización Electrónico, exigido por el régimen de facturación electrónica (§2.9).</w:t>
      </w:r>
    </w:p>
    <w:p>
      <w:pPr>
        <w:pStyle w:val="Prrafodelista"/>
      </w:pPr>
      <w:r>
        <w:t>CORS — Cross-Origin Resource Sharing, control del navegador descrito en la Tabla 10 y el §4.6.</w:t>
      </w:r>
    </w:p>
    <w:p>
      <w:pPr>
        <w:pStyle w:val="Prrafodelista"/>
      </w:pPr>
      <w:r>
        <w:t>CRM — Customer Relationship Management, sistema de gestión de relaciones con clientes.</w:t>
      </w:r>
    </w:p>
    <w:p>
      <w:pPr>
        <w:pStyle w:val="Prrafodelista"/>
      </w:pPr>
      <w:r>
        <w:t>DDL — Data Definition Language, lenguaje de definición de datos (Anexo F).</w:t>
      </w:r>
    </w:p>
    <w:p>
      <w:pPr>
        <w:pStyle w:val="Prrafodelista"/>
      </w:pPr>
      <w:r>
        <w:t>DOI — Digital Object Identifier, identificador persistente citado en las Referencias.</w:t>
      </w:r>
    </w:p>
    <w:p>
      <w:pPr>
        <w:pStyle w:val="Prrafodelista"/>
      </w:pPr>
      <w:r>
        <w:t>HMAC — Hash-based Message Authentication Code, mecanismo de autenticación de origen mencionado en el §4.6 y la Tabla 11.</w:t>
      </w:r>
    </w:p>
    <w:p>
      <w:pPr>
        <w:pStyle w:val="Prrafodelista"/>
      </w:pPr>
      <w:r>
        <w:t>HTTP / HTTPS — HyperText Transfer Protocol (Secure), protocolo de transferencia de hipertexto.</w:t>
      </w:r>
    </w:p>
    <w:p>
      <w:pPr>
        <w:pStyle w:val="Prrafodelista"/>
      </w:pPr>
      <w:r>
        <w:t>iPaaS — Integration Platform as a Service, categoría de plataformas discutida en el §2.7.</w:t>
      </w:r>
    </w:p>
    <w:p>
      <w:pPr>
        <w:pStyle w:val="Prrafodelista"/>
      </w:pPr>
      <w:r>
        <w:t>ISO/IEC — International Organization for Standardization / International Electrotechnical Commission.</w:t>
      </w:r>
    </w:p>
    <w:p>
      <w:pPr>
        <w:pStyle w:val="Prrafodelista"/>
      </w:pPr>
      <w:r>
        <w:t>JWT — JSON Web Token, mecanismo de credenciales mencionado en el §6.3.</w:t>
      </w:r>
    </w:p>
    <w:p>
      <w:pPr>
        <w:pStyle w:val="Prrafodelista"/>
      </w:pPr>
      <w:r>
        <w:t>LGPL — Lesser General Public License, licencia de software libre citada en el §2.7 para Odoo.</w:t>
      </w:r>
    </w:p>
    <w:p>
      <w:pPr>
        <w:pStyle w:val="Prrafodelista"/>
      </w:pPr>
      <w:r>
        <w:t>mTLS — mutual TLS, mecanismo de autenticación mutua mencionado en la Tabla 11.</w:t>
      </w:r>
    </w:p>
    <w:p>
      <w:pPr>
        <w:pStyle w:val="Prrafodelista"/>
      </w:pPr>
      <w:r>
        <w:t>MVP — Minimum Viable Product / Producto Mínimo Viable (§1.7).</w:t>
      </w:r>
    </w:p>
    <w:p>
      <w:pPr>
        <w:pStyle w:val="Prrafodelista"/>
      </w:pPr>
      <w:r>
        <w:t>OE — Objetivo Específico (§1.6).</w:t>
      </w:r>
    </w:p>
    <w:p>
      <w:pPr>
        <w:pStyle w:val="Prrafodelista"/>
      </w:pPr>
      <w:r>
        <w:t>OIT — Organización Internacional del Trabajo (§1.1).</w:t>
      </w:r>
    </w:p>
    <w:p>
      <w:pPr>
        <w:pStyle w:val="Prrafodelista"/>
      </w:pPr>
      <w:r>
        <w:t>OWASP — Open Web Application Security Project.</w:t>
      </w:r>
    </w:p>
    <w:p>
      <w:pPr>
        <w:pStyle w:val="Prrafodelista"/>
      </w:pPr>
      <w:r>
        <w:t>PDF — Portable Document Format, formato del comprobante de pago (§4.3.2).</w:t>
      </w:r>
    </w:p>
    <w:p>
      <w:pPr>
        <w:pStyle w:val="Prrafodelista"/>
      </w:pPr>
      <w:r>
        <w:t>RF / RNF — Requisito Funcional / Requisito No Funcional (§3.4, §3.5).</w:t>
      </w:r>
    </w:p>
    <w:p>
      <w:pPr>
        <w:pStyle w:val="Prrafodelista"/>
      </w:pPr>
      <w:r>
        <w:t>RLS — Row Level Security, seguridad a nivel de fila (§2.6, §4.6).</w:t>
      </w:r>
    </w:p>
    <w:p>
      <w:pPr>
        <w:pStyle w:val="Prrafodelista"/>
      </w:pPr>
      <w:r>
        <w:t>SQuaRE — Systems and software Quality Requirements and Evaluation, marco de la norma ISO/IEC 25010:2023 (Tabla 2).</w:t>
      </w:r>
    </w:p>
    <w:p>
      <w:pPr>
        <w:pStyle w:val="Prrafodelista"/>
      </w:pPr>
      <w:r>
        <w:t>URL — Uniform Resource Locator, localizador uniforme de recursos.</w:t>
      </w:r>
    </w:p>
    <w:p>
      <w:pPr>
        <w:pStyle w:val="Prrafodelista"/>
      </w:pPr>
      <w:r>
        <w:t>UTN — Universidad Tecnológica Nacional.</w:t>
      </w:r>
    </w:p>
    <w:p>
      <w:pPr>
        <w:pStyle w:val="Ttulo2"/>
      </w:pPr>
      <w:r>
        <w:t>Anexo I. Bitácora de correcciones durante el desarrollo</w:t>
      </w:r>
    </w:p>
    <w:p>
      <w:pPr/>
      <w:r>
        <w:t>Este anexo consolida cronológicamente las correcciones introducidas durante el desarrollo que el cuerpo del documento narraba antes con su fecha puntual. El objetivo es que el cuerpo describa el estado final del artefacto sin competir con el detalle de cuándo se llegó a él, y que ese detalle siga disponible acá para quien lo necesite. No repite lo que la Tabla 11 (deudas de seguridad) y la Tabla 12 (escenarios de validación) ya registran con su propia fecha como parte del protocolo de evidencia: esas fechas son evidenciales, no narrativas, y siguen en el cuerpo del documento sin cambios.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Pr>
      <w:tblGrid>
        <w:gridCol w:w="2929"/>
        <w:gridCol w:w="2929"/>
        <w:gridCol w:w="2929"/>
      </w:tblGrid>
      <w:tr>
        <w:tc>
          <w:tcPr>
            <w:tcW w:type="dxa" w:w="2929"/>
            <w:shd w:val="clear" w:color="auto" w:fill="1F2937"/>
          </w:tcPr>
          <w:p>
            <w:r>
              <w:rPr>
                <w:b/>
                <w:color w:val="FFFFFF"/>
              </w:rPr>
              <w:t>Fecha</w:t>
            </w:r>
          </w:p>
        </w:tc>
        <w:tc>
          <w:tcPr>
            <w:tcW w:type="dxa" w:w="2929"/>
            <w:shd w:val="clear" w:color="auto" w:fill="1F2937"/>
          </w:tcPr>
          <w:p>
            <w:r>
              <w:rPr>
                <w:b/>
                <w:color w:val="FFFFFF"/>
              </w:rPr>
              <w:t>Corrección</w:t>
            </w:r>
          </w:p>
        </w:tc>
        <w:tc>
          <w:tcPr>
            <w:tcW w:type="dxa" w:w="2929"/>
            <w:shd w:val="clear" w:color="auto" w:fill="1F2937"/>
          </w:tcPr>
          <w:p>
            <w:r>
              <w:rPr>
                <w:b/>
                <w:color w:val="FFFFFF"/>
              </w:rPr>
              <w:t>Sección afectada</w:t>
            </w:r>
          </w:p>
        </w:tc>
      </w:tr>
      <w:tr>
        <w:tc>
          <w:tcPr>
            <w:tcW w:type="dxa" w:w="2929"/>
          </w:tcPr>
          <w:p>
            <w:r>
              <w:t>23-ago-2026</w:t>
            </w:r>
          </w:p>
        </w:tc>
        <w:tc>
          <w:tcPr>
            <w:tcW w:type="dxa" w:w="2929"/>
          </w:tcPr>
          <w:p>
            <w:r>
              <w:t>Se corrige el sesgo de la opción «Otro» en el scoring: pasaba de mapear a soporte (5 puntos, la ponderación mínima) a mapear a consultoria (12, neutra).</w:t>
            </w:r>
          </w:p>
        </w:tc>
        <w:tc>
          <w:tcPr>
            <w:tcW w:type="dxa" w:w="2929"/>
          </w:tcPr>
          <w:p>
            <w:r>
              <w:t>§4.3.1, Tabla 5</w:t>
            </w:r>
          </w:p>
        </w:tc>
      </w:tr>
      <w:tr>
        <w:tc>
          <w:tcPr>
            <w:tcW w:type="dxa" w:w="2929"/>
          </w:tcPr>
          <w:p>
            <w:r>
              <w:t>23-ago-2026</w:t>
            </w:r>
          </w:p>
        </w:tc>
        <w:tc>
          <w:tcPr>
            <w:tcW w:type="dxa" w:w="2929"/>
          </w:tcPr>
          <w:p>
            <w:r>
              <w:t>Se cierra la deuda S2 de la Tabla 11: el webhook de pago en modo de desarrollo pasa a rechazarse en cuanto hay credenciales de MercadoPago activas.</w:t>
            </w:r>
          </w:p>
        </w:tc>
        <w:tc>
          <w:tcPr>
            <w:tcW w:type="dxa" w:w="2929"/>
          </w:tcPr>
          <w:p>
            <w:r>
              <w:t>§4.3.3, §6.2</w:t>
            </w:r>
          </w:p>
        </w:tc>
      </w:tr>
      <w:tr>
        <w:tc>
          <w:tcPr>
            <w:tcW w:type="dxa" w:w="2929"/>
          </w:tcPr>
          <w:p>
            <w:r>
              <w:t>23-ago-2026</w:t>
            </w:r>
          </w:p>
        </w:tc>
        <w:tc>
          <w:tcPr>
            <w:tcW w:type="dxa" w:w="2929"/>
          </w:tcPr>
          <w:p>
            <w:r>
              <w:t>La corrida manual de E11 a E13 revela y permite corregir tres defectos de expresión reales en los procesos programados, no visibles en ninguna lectura estática ni en la suite automatizada.</w:t>
            </w:r>
          </w:p>
        </w:tc>
        <w:tc>
          <w:tcPr>
            <w:tcW w:type="dxa" w:w="2929"/>
          </w:tcPr>
          <w:p>
            <w:r>
              <w:t>§5.2</w:t>
            </w:r>
          </w:p>
        </w:tc>
      </w:tr>
      <w:tr>
        <w:tc>
          <w:tcPr>
            <w:tcW w:type="dxa" w:w="2929"/>
          </w:tcPr>
          <w:p>
            <w:r>
              <w:t>24-ago-2026</w:t>
            </w:r>
          </w:p>
        </w:tc>
        <w:tc>
          <w:tcPr>
            <w:tcW w:type="dxa" w:w="2929"/>
          </w:tcPr>
          <w:p>
            <w:r>
              <w:t>Se agrega el nodo Gmail - Acuse Lead Frio: los leads COLD no recibían ningún correo pese a que el formulario promete una respuesta dentro de las 24 horas.</w:t>
            </w:r>
          </w:p>
        </w:tc>
        <w:tc>
          <w:tcPr>
            <w:tcW w:type="dxa" w:w="2929"/>
          </w:tcPr>
          <w:p>
            <w:r>
              <w:t>§4.3.1</w:t>
            </w:r>
          </w:p>
        </w:tc>
      </w:tr>
      <w:tr>
        <w:tc>
          <w:tcPr>
            <w:tcW w:type="dxa" w:w="2929"/>
          </w:tcPr>
          <w:p>
            <w:r>
              <w:t>24-ago-2026</w:t>
            </w:r>
          </w:p>
        </w:tc>
        <w:tc>
          <w:tcPr>
            <w:tcW w:type="dxa" w:w="2929"/>
          </w:tcPr>
          <w:p>
            <w:r>
              <w:t>Se incorpora el paso manual de fijación de términos (webhook /propuesta-enviar). Hasta entonces, la propuesta y la factura tomaban el presupuesto que el propio interesado había declarado en el formulario, sin que el profesional interviniera en el precio.</w:t>
            </w:r>
          </w:p>
        </w:tc>
        <w:tc>
          <w:tcPr>
            <w:tcW w:type="dxa" w:w="2929"/>
          </w:tcPr>
          <w:p>
            <w:r>
              <w:t>§4.3.2, §1.3, §1.5, Capítulo 7</w:t>
            </w:r>
          </w:p>
        </w:tc>
      </w:tr>
      <w:tr>
        <w:tc>
          <w:tcPr>
            <w:tcW w:type="dxa" w:w="2929"/>
          </w:tcPr>
          <w:p>
            <w:r>
              <w:t>24-ago-2026</w:t>
            </w:r>
          </w:p>
        </w:tc>
        <w:tc>
          <w:tcPr>
            <w:tcW w:type="dxa" w:w="2929"/>
          </w:tcPr>
          <w:p>
            <w:r>
              <w:t>El valor de respaldo de la normalización de servicio se alinea con la traducción de «Otro»: antes era desarrollo_web (la ponderación máxima), pasa a consultoria.</w:t>
            </w:r>
          </w:p>
        </w:tc>
        <w:tc>
          <w:tcPr>
            <w:tcW w:type="dxa" w:w="2929"/>
          </w:tcPr>
          <w:p>
            <w:r>
              <w:t>§4.3.1</w:t>
            </w:r>
          </w:p>
        </w:tc>
      </w:tr>
      <w:tr>
        <w:tc>
          <w:tcPr>
            <w:tcW w:type="dxa" w:w="2929"/>
          </w:tcPr>
          <w:p>
            <w:r>
              <w:t>24-ago-2026</w:t>
            </w:r>
          </w:p>
        </w:tc>
        <w:tc>
          <w:tcPr>
            <w:tcW w:type="dxa" w:w="2929"/>
          </w:tcPr>
          <w:p>
            <w:r>
              <w:t>Se corrige el desajuste entre el control deslizante de presupuesto (tope de 5.000) y el tramo más alto del scoring: el tope del control pasa a 20.000.</w:t>
            </w:r>
          </w:p>
        </w:tc>
        <w:tc>
          <w:tcPr>
            <w:tcW w:type="dxa" w:w="2929"/>
          </w:tcPr>
          <w:p>
            <w:r>
              <w:t>§4.3.1</w:t>
            </w:r>
          </w:p>
        </w:tc>
      </w:tr>
      <w:tr>
        <w:tc>
          <w:tcPr>
            <w:tcW w:type="dxa" w:w="2929"/>
          </w:tcPr>
          <w:p>
            <w:r>
              <w:t>24-ago-2026</w:t>
            </w:r>
          </w:p>
        </w:tc>
        <w:tc>
          <w:tcPr>
            <w:tcW w:type="dxa" w:w="2929"/>
          </w:tcPr>
          <w:p>
            <w:r>
              <w:t>Se corrige la causa por la que el escenario E13 no producía evidencia: la consulta del reporte diario pasa a partir de una fila sintética del mes en curso, de modo que el reporte se emite aunque el mes no registre actividad.</w:t>
            </w:r>
          </w:p>
        </w:tc>
        <w:tc>
          <w:tcPr>
            <w:tcW w:type="dxa" w:w="2929"/>
          </w:tcPr>
          <w:p>
            <w:r>
              <w:t>§4.3.5</w:t>
            </w:r>
          </w:p>
        </w:tc>
      </w:tr>
      <w:tr>
        <w:tc>
          <w:tcPr>
            <w:tcW w:type="dxa" w:w="2929"/>
          </w:tcPr>
          <w:p>
            <w:r>
              <w:t>24-ago-2026</w:t>
            </w:r>
          </w:p>
        </w:tc>
        <w:tc>
          <w:tcPr>
            <w:tcW w:type="dxa" w:w="2929"/>
          </w:tcPr>
          <w:p>
            <w:r>
              <w:t>El cierre de proyecto deja de depender de una petición directa del profesional y pasa a tener una acción («Cerrar proyecto») en el tablero interno.</w:t>
            </w:r>
          </w:p>
        </w:tc>
        <w:tc>
          <w:tcPr>
            <w:tcW w:type="dxa" w:w="2929"/>
          </w:tcPr>
          <w:p>
            <w:r>
              <w:t>§4.3.4</w:t>
            </w:r>
          </w:p>
        </w:tc>
      </w:tr>
      <w:tr>
        <w:tc>
          <w:tcPr>
            <w:tcW w:type="dxa" w:w="2929"/>
          </w:tcPr>
          <w:p>
            <w:r>
              <w:t>26-ago-2026</w:t>
            </w:r>
          </w:p>
        </w:tc>
        <w:tc>
          <w:tcPr>
            <w:tcW w:type="dxa" w:w="2929"/>
          </w:tcPr>
          <w:p>
            <w:r>
              <w:t>Se habilita la publicación supabase_realtime para la tabla leads, condición pendiente para poder medir el RNF6 (escenario E7).</w:t>
            </w:r>
          </w:p>
        </w:tc>
        <w:tc>
          <w:tcPr>
            <w:tcW w:type="dxa" w:w="2929"/>
          </w:tcPr>
          <w:p>
            <w:r>
              <w:t>§5.2</w:t>
            </w:r>
          </w:p>
        </w:tc>
      </w:tr>
      <w:tr>
        <w:tc>
          <w:tcPr>
            <w:tcW w:type="dxa" w:w="2929"/>
          </w:tcPr>
          <w:p>
            <w:r>
              <w:t>27-ago-2026</w:t>
            </w:r>
          </w:p>
        </w:tc>
        <w:tc>
          <w:tcPr>
            <w:tcW w:type="dxa" w:w="2929"/>
          </w:tcPr>
          <w:p>
            <w:r>
              <w:t>Se cierra el incidente de seguridad S7: rotación de la service_role key del proyecto de Supabase y deshabilitación de las claves JWT legacy.</w:t>
            </w:r>
          </w:p>
        </w:tc>
        <w:tc>
          <w:tcPr>
            <w:tcW w:type="dxa" w:w="2929"/>
          </w:tcPr>
          <w:p>
            <w:r>
              <w:t>§6.3, Tabla 11</w:t>
            </w:r>
          </w:p>
        </w:tc>
      </w:tr>
      <w:tr>
        <w:tc>
          <w:tcPr>
            <w:tcW w:type="dxa" w:w="2929"/>
          </w:tcPr>
          <w:p>
            <w:r>
              <w:t>27-ago-2026</w:t>
            </w:r>
          </w:p>
        </w:tc>
        <w:tc>
          <w:tcPr>
            <w:tcW w:type="dxa" w:w="2929"/>
          </w:tcPr>
          <w:p>
            <w:r>
              <w:t>Se cierra la deuda S6 de la Tabla 11: deduplicación por correo en la captación, con cerrojo consultivo en la base y bloqueo del envío en el formulario mientras la petición está en vuelo.</w:t>
            </w:r>
          </w:p>
        </w:tc>
        <w:tc>
          <w:tcPr>
            <w:tcW w:type="dxa" w:w="2929"/>
          </w:tcPr>
          <w:p>
            <w:r>
              <w:t>§4.3.1</w:t>
            </w:r>
          </w:p>
        </w:tc>
      </w:tr>
      <w:tr>
        <w:tc>
          <w:tcPr>
            <w:tcW w:type="dxa" w:w="2929"/>
          </w:tcPr>
          <w:p>
            <w:r>
              <w:t>27-ago-2026</w:t>
            </w:r>
          </w:p>
        </w:tc>
        <w:tc>
          <w:tcPr>
            <w:tcW w:type="dxa" w:w="2929"/>
          </w:tcPr>
          <w:p>
            <w:r>
              <w:t>Se mitiga la deuda S5 de la Tabla 11: un cuarto proceso programado de reconciliación busca leads en ACEPTADO sin factura asociada y reemite el comprobante de forma idempotente.</w:t>
            </w:r>
          </w:p>
        </w:tc>
        <w:tc>
          <w:tcPr>
            <w:tcW w:type="dxa" w:w="2929"/>
          </w:tcPr>
          <w:p>
            <w:r>
              <w:t>§4.3.5</w:t>
            </w:r>
          </w:p>
        </w:tc>
      </w:tr>
      <w:tr>
        <w:tc>
          <w:tcPr>
            <w:tcW w:type="dxa" w:w="2929"/>
          </w:tcPr>
          <w:p>
            <w:r>
              <w:t>27-ago-2026</w:t>
            </w:r>
          </w:p>
        </w:tc>
        <w:tc>
          <w:tcPr>
            <w:tcW w:type="dxa" w:w="2929"/>
          </w:tcPr>
          <w:p>
            <w:r>
              <w:t>Al ejercitar el escenario E12 se descubre que las notificaciones de Telegram del CRM estaban rotas —primero por una variable de entorno vacía y, corregida esa, por una credencial de bot vencida—; se corrigen ambas causas.</w:t>
            </w:r>
          </w:p>
        </w:tc>
        <w:tc>
          <w:tcPr>
            <w:tcW w:type="dxa" w:w="2929"/>
          </w:tcPr>
          <w:p>
            <w:r>
              <w:t>§5.2</w:t>
            </w:r>
          </w:p>
        </w:tc>
      </w:tr>
      <w:tr>
        <w:tc>
          <w:tcPr>
            <w:tcW w:type="dxa" w:w="2929"/>
          </w:tcPr>
          <w:p>
            <w:r>
              <w:t>28-ago-2026</w:t>
            </w:r>
          </w:p>
        </w:tc>
        <w:tc>
          <w:tcPr>
            <w:tcW w:type="dxa" w:w="2929"/>
          </w:tcPr>
          <w:p>
            <w:r>
              <w:t>Se reejecuta E13 contra el sistema real tras la corrección del 24-ago-2026: la API de Telegram confirma la entrega y los indicadores coinciden con la vista metrics_mensuales.</w:t>
            </w:r>
          </w:p>
        </w:tc>
        <w:tc>
          <w:tcPr>
            <w:tcW w:type="dxa" w:w="2929"/>
          </w:tcPr>
          <w:p>
            <w:r>
              <w:t>Tabla 12 (E13)</w:t>
            </w:r>
          </w:p>
        </w:tc>
      </w:tr>
      <w:tr>
        <w:tc>
          <w:tcPr>
            <w:tcW w:type="dxa" w:w="2929"/>
          </w:tcPr>
          <w:p>
            <w:r>
              <w:t>30-ago-2026</w:t>
            </w:r>
          </w:p>
        </w:tc>
        <w:tc>
          <w:tcPr>
            <w:tcW w:type="dxa" w:w="2929"/>
          </w:tcPr>
          <w:p>
            <w:r>
              <w:t>Se verifica en vivo el RNF5 en los cuatro anchos de pantalla que fija el requisito, y se ejecutan por primera vez los escenarios E15 y E16 contra el sistema levantado.</w:t>
            </w:r>
          </w:p>
        </w:tc>
        <w:tc>
          <w:tcPr>
            <w:tcW w:type="dxa" w:w="2929"/>
          </w:tcPr>
          <w:p>
            <w:r>
              <w:t>§5.1, Tabla 12</w:t>
            </w:r>
          </w:p>
        </w:tc>
      </w:tr>
      <w:tr>
        <w:tc>
          <w:tcPr>
            <w:tcW w:type="dxa" w:w="2929"/>
          </w:tcPr>
          <w:p>
            <w:r>
              <w:t>31-ago-2026</w:t>
            </w:r>
          </w:p>
        </w:tc>
        <w:tc>
          <w:tcPr>
            <w:tcW w:type="dxa" w:w="2929"/>
          </w:tcPr>
          <w:p>
            <w:r>
              <w:t>Se cierra la deuda S8 de la Tabla 11: la validación de firma del webhook de MercadoPago pasa de opcional a obligatoria por defecto.</w:t>
            </w:r>
          </w:p>
        </w:tc>
        <w:tc>
          <w:tcPr>
            <w:tcW w:type="dxa" w:w="2929"/>
          </w:tcPr>
          <w:p>
            <w:r>
              <w:t>§4.6, Tabla 11</w:t>
            </w:r>
          </w:p>
        </w:tc>
      </w:tr>
      <w:tr>
        <w:tc>
          <w:tcPr>
            <w:tcW w:type="dxa" w:w="2929"/>
          </w:tcPr>
          <w:p>
            <w:r>
              <w:t>31-ago-2026</w:t>
            </w:r>
          </w:p>
        </w:tc>
        <w:tc>
          <w:tcPr>
            <w:tcW w:type="dxa" w:w="2929"/>
          </w:tcPr>
          <w:p>
            <w:r>
              <w:t>Se ejecuta el escenario E14 contra un segundo instrumento —un adaptador que llama a la API real de Stripe en modo de prueba—, complementario al doble de contrato ya existente.</w:t>
            </w:r>
          </w:p>
        </w:tc>
        <w:tc>
          <w:tcPr>
            <w:tcW w:type="dxa" w:w="2929"/>
          </w:tcPr>
          <w:p>
            <w:r>
              <w:t>§5.3, Tabla 12</w:t>
            </w:r>
          </w:p>
        </w:tc>
      </w:tr>
    </w:tbl>
    <w:p>
      <w:pPr/>
      <w:r>
        <w:t>Nota. Elaboración propia a partir de las secciones citadas, todas verificadas contra el artefacto en el momento de cada corrección. Las fechas de las corridas de validación que integran el protocolo de la Tabla 4 —Tabla 12, Tabla 15, §5.1 y §5.2— no se repiten aquí por no ser correcciones sino evidencia de ejecución; permanecen en el cuerpo del documento con su fecha original.</w:t>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