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S8, ambas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cuatro dejaron de estar abiertos: S2 el 23 de agosto de 2026, con la verificación que rechaza el modo de desarrollo del webhook de pago si hay credenciales de MercadoPago activas (§6.2); dos más el 27 de agosto de 2026, por la vía que la propia Tabla 11 tenía escrita; y S8 el 31 de agosto de 2026,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y S4,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S8, seis de los trece webhooks atienden a un cliente sin credencial y sin navegador, y el alta de un lead prospera por esa vía. De las ocho deudas, cinco se cerraron o mitigaron en el curso del trabajo (S2, S5, S6, S7 y S8) y tres siguen abiertas en distinto grado (S1, S3 y S4). Ninguna impide la demostración de viabilidad técnica; S1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Y almacenar un resumen criptográfico del token de aceptación en lugar del valor en claro (el vencimiento configurable ya está implementado). La validación de firma del webhook de MercadoPago (MP_WEBHOOK_SECRET) se implementó el 31 de agosto de 2026 y dejó de figurar aquí (Tabla 11, S8, cerrada).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