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rP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las normas de la American Psychological Association (APA) en su séptima edición, declaradas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t>El trabajo aborda la carga administrativa que enfrenta el freelancer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frontend desarrollado en Next.js y React que expone un formulario público de captación y un tablero de control autenticado; un motor de orquestación de bajo código, n8n, que coordina la normalización, el scoring, la generación de propuestas y facturas, y las notificaciones multicanal; y una base de datos relacional gestionada, Supabase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cuatro procesos programados: seguimiento, recordatorio de pago y reporte diario de métricas, más una reconciliación periódica que audita la facturación. La validación mediante escenarios controlados verificó el funcionamiento integral de los flujos de captación, calificación, aceptación y facturación, y también la actualización en tiempo real del tablero, cuya latencia se midió por debajo del umbral fijado. El trabajo demuestra la viabilidad técnica de la automatización propuesta; la magnitud de la reducción de la carga administrativa no se midió y se declara fuera de alcance.</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four scheduled processes: follow-up, payment reminder and daily metrics reporting, plus a periodic reconciliation that audits invoicing. Validation through controlled scenarios verified the end-to-end operation of the capture, qualification, acceptance and invoicing flows, as well as the dashboard's real-time updating, whose latency was measured below the established threshold.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2"/>
      </w:pPr>
      <w:r>
        <w:t>2.9 Encuadre normativo: datos personales y comprobantes fiscales</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Propuesta, aceptación y facturación (webhooks de propuesta enviar y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rPr>
        <w:t>6.3 Incidente de seguridad: exposición y cierre de credenciales</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 Corresponde declarar además bajo qué condición la respuesta habría sido negativa, porque las dos mitades de la pregunta no se responden con el mismo rigor. La primera —si la automatización es técnicamente viable— se acredita por construcción: un artefacto que ejecuta el ciclo de extremo a extremo la responde afirmativamente, y sólo un flujo que no pudiera completarse la habría refutado. La segunda —si eso ocurre «sin sacrificar la trazabilidad ni el control del profesional»— sí es refutable de forma sustantiva, y es la que ordena el trabajo: la respuesta habría sido negativa si el sistema hubiera tomado por el profesional una decisión de negocio reservada a él, o si el estado de una oportunidad no hubiera podido reconstruirse a partir de lo registrado. El primero de esos dos criterios fue efectivamente incumplido por un diseño intermedio, en el que el importe de la propuesta provenía del formulario que completaba el propio interesado, y la condición se restituyó devolviendo esa decisión al profesional (§4.3.2 y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El propósito es, en efecto, demostrar la viabilidad técnica de delegar en el sistema las tareas administrativas que hoy se ejecutan de forma manual.</w:t>
      </w:r>
    </w:p>
    <w:p w:rsidR="00D60FC7" w:rsidRDefault="00000000">
      <w:pPr/>
      <w:proofErr w:type="spellStart"/>
      <w:proofErr w:type="spellEnd"/>
      <w:proofErr w:type="spellStart"/>
      <w:proofErr w:type="spellEnd"/>
      <w:r>
        <w:rPr>
          <w:i w:val="0"/>
        </w:rPr>
        <w:t>Este trabajo no formula una hipótesis en sentido convencional: al tratarse de un desarrollo tecnológico de carácter aplicado y no de una investigación empírica, se lo orienta mediante la pregunta de investigación del §1.3 y los objetivos aquí definidos, cuyo cumplimiento se verifica en el Capítulo 5. El §3.1 desarrolla en detalle el fundamento metodológico de esta decisión.</w:t>
      </w:r>
    </w:p>
    <w:p>
      <w:pPr/>
      <w:r>
        <w:rPr>
          <w:b/>
        </w:rPr>
        <w:t>Delimitación del objetivo general. Este objetivo excluye deliberadamente el resultado «reducir la carga administrativa manual». La razón no es que la variable quede indefinida —a continuación se le da una definición operacional y se mide uno de sus dos componentes— sino que el componente que decide esa promesa, el tiempo y el esfuerzo que cada acción cuesta, exigiría una línea de base previa y una medición posterior sobre operación real que este trabajo no realiza. Incluir la promesa dejaría al trabajo concluyendo sobre algo que su estrategia de validación no puede acreditar.</w:t>
      </w:r>
    </w:p>
    <w:p>
      <w:pPr/>
      <w:r>
        <w:rPr>
          <w:b w:val="0"/>
          <w:i w:val="0"/>
        </w:rPr>
        <w:t xml:space="preserve">Se adopta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Se entiende, en particular, por acción manual toda interacción del profesional con una herramienta (redactar un correo, copiar datos entre sistemas, generar un documento, actualizar una planilla). Esa definición tiene dos componentes y este trabajo mide sólo el primero. El conteo de acciones sí se mide, porque puede derivarse del artefacto. El tiempo y el esfuerzo que cada acción cuesta no, porque exigirían observar a una muestra de freelancers gestionando leads con el sistema y sin él. El Capítulo 8 recoge esa segunda línea.</w:t>
      </w:r>
    </w:p>
    <w:p>
      <w:pPr/>
      <w:r>
        <w:rPr>
          <w:b w:val="0"/>
          <w:i w:val="0"/>
        </w:rPr>
        <w:t>Medición del componente contable. Aplicada esa definición sobre el artefacto, el ciclo de un lead calificado —del ingreso del contacto al cierre del proyecto— comprende dieciocho acciones administrativas. El sistema ejecuta dieciséis de ellas y el profesional conserva dos: decidir el precio, el plazo y el alcance de la propuesta, y dar por cerrado el proyecto. Ambas son decisiones de negocio que el trabajo deja deliberadamente fuera de la automatización (§4.3.2 y §7). El conteo se obtiene con scripts/medir-carga-administrativa.mjs, que declara cada acción junto al nodo del flujo que la ejecuta y falla si alguno dejó de existir, de modo que la medición se invalida sola si el artefacto cambia. Corresponde subrayar su alcance: mide cuántas acciones del ciclo quedan delegadas, no cuánto tiempo ni cuánto esfuerzo ahorran. Sostener lo segundo exigiría el estudio con usuarios que plantea el Capítulo 8.</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 El OE3 reúne dos resultados que se verifican por separado —el ciclo comercial hasta la emisión del comprobante y el registro del cobro—, y su grado de cumplimiento se declara de forma independiente para cada uno en el Capítulo 7, porque el segundo depende de una pasarela externa y el primero no:</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 La variable sí se define operacionalmente y su componente contable se mide: de las dieciocho acciones del ciclo, el sistema ejecuta dieciséis (§1.5). Lo que queda fuera de alcance es el otro componente, el tiempo y el esfuerzo que esas acciones cuestan, que exigiría un estudio con usuarios (Capítulo 8). El trabajo acredita cuántas acciones quedan delegadas,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rPr>
        <w:t>Pasarela de pago real.</w:t>
      </w:r>
      <w:r>
        <w:t xml:space="preserve"> La integración con MercadoPago (§4.3.3) no se validó con una operación en producción. La activación de credenciales de prueba falló del lado del proveedor, de modo que la rama de cobro se ejercitó contra un doble que reproduce el contrato documentado de su API (§5); eso verifica el artefacto, no el servicio. Cuando no hay credenciales reales configuradas, el sistema cae a un modo de desarrollo que confirma el cobro sin depender del proveedor.</w:t>
      </w:r>
    </w:p>
    <w:p>
      <w:pPr>
        <w:pStyle w:val="Prrafodelista"/>
      </w:pPr>
      <w:r>
        <w:rPr>
          <w:b/>
        </w:rPr>
        <w:t>Validez fiscal de los comprobantes.</w:t>
      </w:r>
      <w:r>
        <w:t xml:space="preserve"> El documento que el sistema genera y titula «FACTURA» es un comprobante interno sin valor fiscal: no solicita el Código de Autorización Electrónico (CAE) que exige el régimen de facturación electrónica argentino, ni consigna CUIT del emisor, punto de venta ni tipo de comprobante. El §2.9 desarrolla el régimen aplicable y su incorporación se plantea como trabajo futuro (Capítulo 8).</w:t>
      </w:r>
    </w:p>
    <w:p>
      <w:pPr>
        <w:pStyle w:val="Prrafodelista"/>
      </w:pPr>
      <w:r>
        <w:rPr>
          <w:b/>
        </w:rPr>
        <w:t>Tratamiento de datos personales.</w:t>
      </w:r>
      <w:r>
        <w:t xml:space="preserve"> El sistema capta, almacena y transfiere a terceros (Supabase, el servicio de correo, Telegram y Notion) datos de contacto de personas físicas identificables. No se implementan aviso de privacidad, consentimiento informado, política de retención ni inscripción de la base conforme a la Ley 25.326 de Protección de Datos Personales, y varios de esos destinatarios están domiciliados en países que la Disposición 60-E/2016 no considera de protección adecuada, lo que activa además el régimen de transferencia internacional de su art. 12. El §2.9 desarrolla las obligaciones aplicables; la dimensión se retoma en el Capítulo 6 y se difiere al Capítulo 8.</w:t>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ella, por ejemplo,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proofErr w:type="spellStart"/>
      <w:proofErr w:type="spellEnd"/>
      <w:proofErr w:type="spellStart"/>
      <w:proofErr w:type="spellEnd"/>
      <w:r>
        <w:rPr/>
        <w:t>n8n es una plataforma de automatización de flujos de trabajo que permite integrar aplicaciones y servicios mediante nodos configurables conectados en un lienzo visual (n8n,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w:t>
      </w:r>
      <w:proofErr w:type="spellStart"/>
      <w:r>
        <w:t>framework</w:t>
      </w:r>
      <w:proofErr w:type="spellEnd"/>
      <w:r>
        <w:t xml:space="preserve"> de desarrollo web construido sobre la biblioteca </w:t>
      </w:r>
      <w:proofErr w:type="spellStart"/>
      <w:r>
        <w:t>React</w:t>
      </w:r>
      <w:proofErr w:type="spellEnd"/>
      <w:r>
        <w:t xml:space="preserve"> que habilita un modelo de renderizado híbrido: combina componentes que se ejecutan en el servidor (</w:t>
      </w:r>
      <w:proofErr w:type="spellStart"/>
      <w:r>
        <w:rPr>
          <w:i/>
        </w:rPr>
        <w:t>React</w:t>
      </w:r>
      <w:proofErr w:type="spellEnd"/>
      <w:r>
        <w:rPr>
          <w:i/>
        </w:rPr>
        <w:t xml:space="preserve"> Server </w:t>
      </w:r>
      <w:proofErr w:type="spellStart"/>
      <w:r>
        <w:rPr>
          <w:i/>
        </w:rPr>
        <w:t>Components</w:t>
      </w:r>
      <w:proofErr w:type="spellEnd"/>
      <w:r>
        <w:t>) con componentes de cliente, y organiza la aplicación mediante un enrutador basado en el sistema de archivos (</w:t>
      </w:r>
      <w:r>
        <w:rPr>
          <w:i/>
        </w:rPr>
        <w:t xml:space="preserve">App </w:t>
      </w:r>
      <w:proofErr w:type="spellStart"/>
      <w:r>
        <w:rPr>
          <w:i/>
        </w:rPr>
        <w:t>Router</w:t>
      </w:r>
      <w:proofErr w:type="spellEnd"/>
      <w:r>
        <w:t>) (</w:t>
      </w:r>
      <w:proofErr w:type="spellStart"/>
      <w:r>
        <w:t>Vercel</w:t>
      </w:r>
      <w:proofErr w:type="spellEnd"/>
      <w:r>
        <w:t xml:space="preserve">, 2024). Este modelo permite ejecutar en el servidor las verificaciones sensibles —como la validación de la sesión antes de renderizar una página protegida— y reservar para el cliente la </w:t>
      </w:r>
      <w:r>
        <w:t>interactividad, lo que resulta pertinente para una aplicación que combina un formulario público con un tablero de control autenticado.</w:t>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Sin embargo, esa literatura no trata específicamente la adopción de plataformas iPaaS: una búsqueda dirigida a ese tema no encontró resultados arbitrados sólidos posteriores a 2020, laguna que se reconoce en vez de forzar una cita débil.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i w:val="0"/>
        </w:rPr>
        <w:t>Dos antecedentes arbitrados estrechan esa laguna, sin cerrarla del todo. Domański, Wojciechowski, Lewandowicz y Hadaś (2023) revisan y evalúan mediante una metodología arbitrada un conjunto de plataformas low-code/no-code orientadas específicamente a pequeñas y medianas empresas, el mismo segmento —un freelancer es, como señala este trabajo, un caso límite de PyME— en el que se sitúa la comparación de este apartado. Muhammad, Prybutok y Sinha (2025) revisan sistemáticamente la literatura sobre los factores que determinan la efectividad de quien construye con herramientas de bajo código sin ser un desarrollador de oficio —el «desarrollador ciudadano»—, lo que respalda con literatura arbitrada la figura invocada en el §2.8 para justificar la decisión de construir. Ninguno de los dos trata la adopción de plataformas iPaaS en particular, de modo que esa laguna específica —Zapier y Make como categoría— se mantiene.</w:t>
      </w:r>
    </w:p>
    <w:p>
      <w:pPr>
        <w:pStyle w:val="Prrafodelista"/>
      </w:pPr>
      <w:r>
        <w:rPr>
          <w:b/>
          <w:i w:val="0"/>
        </w:rPr>
        <w:t>Las fuentes de la comparación son, en su mayor parte, las de los propios evaluados. Las cuatro herramientas se caracterizan a partir de su documentación y de sus páginas de precios, consultadas el 17 de agosto de 2026, fecha que cada celda de la Tabla 13 consigna. Para que la comparación no dependa además de un recorte arbitrario de aspectos, las dimensiones que se contrastan se fijaron antes de compararlas y se derivan del problema planteado en §1.2: sistema de registro propio, reglas de calificación propias, cierre del ciclo hasta el comprobante, control sobre la lógica de negocio, custodia del dato, esfuerzo de puesta en marcha y madurez operativa. Son las siete que ordena la Tabla 14, y constituyen una aplicación reducida del tipo de marco multicriterio que propone Lamanna (2025), no una evaluación exhaustiva. Subsiste, con todo, la limitación de fondo: no se incorporaron análisis independientes ni estudios de adopción de terceros, de modo que las afirmaciones funcionales sobre los cuatro productos describen lo que cada proveedor declara de sí mismo y no lo que un tercero verificó.</w:t>
      </w:r>
      <w:r>
        <w:rPr>
          <w:b w:val="0"/>
          <w:i w:val="0"/>
        </w:rPr>
      </w:r>
    </w:p>
    <w:p>
      <w:pPr>
        <w:pStyle w:val="Prrafodelista"/>
      </w:pPr>
      <w:r>
        <w:rPr>
          <w:i w:val="0"/>
        </w:rPr>
        <w:t>Un relevamiento adicional matiza, sin revertirla, esa dependencia de las fuentes de los proveedores. Lamanna (2025) propone un marco de evaluación estructurado y multicriterio para plataformas de bajo código, formulado precisamente para superar la brecha entre comparaciones dirigidas por el marketing de los proveedores y una evaluación rigurosa basada en criterios explícitos; aplicarlo en profundidad a las cuatro herramientas revisadas excede el alcance de este trabajo, pero su existencia confirma que la limitación señalada aquí es un problema metodológico reconocido en la literatura, no una omisión aislada de este documento. Por otra parte, un estudio de caso reciente que compara la ejecución manual y automatizada de un flujo de captación de leads con n8n en un entorno de negocio a pequeña escala —el mismo tipo de operación que describe este trabajo— registra una reducción del tiempo de ejecución de 185,35 a 1,23 segundos y la eliminación de la tasa de error del 5 % observada en la ejecución manual (Amir, 2026, un preprint todavía sin revisión por pares), lo que aporta evidencia empírica independiente —aunque preliminar y no arbitrada— a favor de automatizar precisamente el tipo de tarea que aborda este trabajo. Ninguna de las dos fuentes evalúa de forma independiente a HubSpot, Pipedrive, Zapier o Make en particular, de modo que la comparación de precios y prestaciones de este apartado sigue apoyada en las páginas de los proveedores; lo que cambia es que la decisión de automatizar en sí —y el criterio para evaluarla con rigor— ya no depende solo de la argumentación propia de los autores.</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En cambio, estos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y dos lo hacen de forma parcial y así se declaran: el argumento de costo se estima en el Capítulo 6 y el de propiedad del dato se limita a la capa de orquestación.</w:t>
      </w:r>
    </w:p>
    <w:p w:rsidR="00D60FC7" w:rsidRDefault="00000000">
      <w:pPr>
        <w:pStyle w:val="Ttulo2"/>
      </w:pPr>
      <w:proofErr w:type="spellStart"/>
      <w:proofErr w:type="spellEnd"/>
      <w:r>
        <w:t>2.9 Encuadre normativo: datos personales y comprobantes fiscales</w:t>
      </w:r>
    </w:p>
    <w:p w:rsidR="00D60FC7" w:rsidRDefault="00000000">
      <w:pPr/>
      <w:proofErr w:type="spellStart"/>
      <w:proofErr w:type="spellEnd"/>
      <w:r>
        <w:t>El sistema capta datos de contacto de personas físicas identificables y emite un documento que titula «FACTURA». Ambas cosas están reguladas en Argentina, de modo que corresponde enunciar qué obligaciones son aplicables antes de declarar, en §1.7 y en el Capítulo 6, cuáles el prototipo no satisface. Encuadrar el límite es parte del trabajo: un prototipo académico puede legítimamente no cumplir un régimen que no lo alcanza todavía, pero no puede desconocerlo.</w:t>
      </w:r>
    </w:p>
    <w:p w:rsidR="00D60FC7" w:rsidRDefault="00000000">
      <w:pPr/>
      <w:proofErr w:type="spellStart"/>
      <w:proofErr w:type="spellEnd"/>
      <w:r>
        <w:rPr>
          <w:b/>
        </w:rPr>
        <w:t>Protección de datos personales (Ley 25.326).</w:t>
      </w:r>
      <w:r>
        <w:t xml:space="preserve"> La Ley 25.326 define como dato personal toda «información de cualquier tipo referida a personas físicas o de existencia ideal determinadas o determinables» (art. 2), categoría en la que caen el nombre, el correo, el teléfono y el presupuesto declarado que capta el formulario del §4.2.1. Ninguno de ellos es un dato sensible en el sentido del art. 7, lo que excluye el régimen agravado de esa categoría, pero sí quedan alcanzados por el régimen general. Cinco obligaciones son directamente pertinentes. El art. 4 exige que los datos sean pertinentes y no excesivos respecto de la finalidad, que no se usen para fines incompatibles con los que motivaron su obtención y que se destruyan cuando dejen de ser necesarios. El art. 5 exige consentimiento libre, expreso e informado, por escrito o medio equivalente; su inciso 2.d exceptúa los datos que derivan de una relación contractual o profesional y resultan necesarios para su desarrollo, excepción que podría cubrir parte del tratamiento posterior a la aceptación de una propuesta, pero no la captación inicial, que ocurre antes de que exista relación alguna. El art. 6 obliga a informar, al recolectar, la finalidad del tratamiento, quiénes son sus destinatarios, la identidad del responsable, el carácter obligatorio o facultativo de cada respuesta y la posibilidad de ejercer los derechos de acceso, rectificación y supresión. El art. 9 exige medidas técnicas y organizativas de seguridad y confidencialidad. Y el art. 21 obliga a inscribir la base ante el organismo de control, hoy la Agencia de Acceso a la Información Pública.</w:t>
      </w:r>
    </w:p>
    <w:p w:rsidR="00D60FC7" w:rsidRDefault="00000000">
      <w:pPr/>
      <w:proofErr w:type="spellStart"/>
      <w:proofErr w:type="spellEnd"/>
      <w:r>
        <w:rPr>
          <w:b/>
        </w:rPr>
        <w:t>Cesión y transferencia internacional.</w:t>
      </w:r>
      <w:r>
        <w:t xml:space="preserve"> Es la dimensión que este trabajo tiene más comprometida, y la que conviene enunciar con precisión. El art. 11 sujeta la cesión de datos a terceros al consentimiento previo del titular, informándole la finalidad de la cesión e identificando al cesionario. El art. 12, más exigente, prohíbe la transferencia a países que no proporcionen «niveles de protección adecuados». La Disposición 60-E/2016 de la entonces Dirección Nacional de Protección de Datos Personales enumera cuáles se consideran adecuados —los Estados miembros de la Unión Europea y del Espacio Económico Europeo, Suiza, Guernsey, Jersey, Isla de Man, Islas Feroe, Canadá sólo respecto de su sector privado, Andorra, Nueva Zelanda, Uruguay e Israel sólo respecto de datos de tratamiento automatizado— y aprueba cláusulas contractuales tipo para transferir hacia los que no lo son. Los Estados Unidos no integran esa lista, y allí tienen su domicilio varios de los servicios a los que la arquitectura de este trabajo transfiere datos de contacto: Supabase, Notion, Telegram y el servicio de correo. En consecuencia, la arquitectura híbrida que el §2.8 justifica por razones de costo y de control tiene, además, una consecuencia regulatoria que no puede resolverse eligiendo mejor el proveedor: para operar con clientes reales haría falta consentimiento expreso del titular para la transferencia, o bien las cláusulas contractuales tipo con cada encargado.</w:t>
      </w:r>
    </w:p>
    <w:p w:rsidR="00D60FC7" w:rsidRDefault="00000000">
      <w:pPr/>
      <w:proofErr w:type="spellStart"/>
      <w:proofErr w:type="spellEnd"/>
      <w:r>
        <w:rPr>
          <w:b/>
        </w:rPr>
        <w:t>Comprobantes fiscales. La emisión de comprobantes está regida por el régimen de facturación electrónica que administra la Agencia de Recaudación y Control Aduanero (ARCA, continuadora de la AFIP desde 2024; ARCA, 2026). Un comprobante tiene validez fiscal sólo si el organismo le asigna un Código de Autorización Electrónico (CAE), que se solicita por servicio web al emitir, y si consigna los datos que el régimen exige: CUIT del emisor, punto de venta habilitado, tipo de comprobante según la condición de emisor y receptor frente al IVA, y el propio CAE con su fecha de vencimiento. El documento que genera este sistema (§4.3.2) no solicita CAE, no declara CUIT ni punto de venta, y numera con un identificador aleatorio dentro del año en lugar de la secuencia correlativa que el régimen supone (Tabla 7). No es, por lo tanto, una factura en sentido fiscal, sino un comprobante interno de la operación; el trabajo lo declara así en §1.7 y evita presentarlo de otro modo.</w:t>
      </w:r>
    </w:p>
    <w:p w:rsidR="00D60FC7" w:rsidRDefault="00000000">
      <w:pPr/>
      <w:proofErr w:type="spellStart"/>
      <w:proofErr w:type="spellEnd"/>
      <w:r>
        <w:rPr>
          <w:b/>
        </w:rPr>
        <w:t>Qué se sigue de esto para el alcance del trabajo.</w:t>
      </w:r>
      <w:r>
        <w:t xml:space="preserve"> El prototipo no satisface ninguno de los dos regímenes, y esa distancia es admisible únicamente por lo que el trabajo es: un artefacto validado en un entorno controlado, con datos de prueba ficticios y sin operación con clientes reales, según fija el protocolo de la Tabla 4, que prohíbe expresamente usar datos personales reales. Lo que no sería admisible es operar en producción en ese estado. Por eso el cumplimiento normativo no figura como una mejora deseable sino como condición previa a cualquier uso real, en los mismos términos en que lo son las deudas de seguridad (Capítulo 8). Las obligaciones enunciadas aquí son las que ese trabajo futuro debe satisfacer, y no una lista genérica de buenas prácticas.</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y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Fueron: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t>La Tabla 2 presenta los requisitos no funcionales (RNF), organizados según las características de calidad de la norma ISO/IEC 25010:2023 (ISO/IEC, 2023), segunda edición del modelo de calidad del producto de software vigente, que reemplaza a la edición 2011. Dos características cambiaron de nombre respecto de esa edición previa: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Revisión en tres anchos (360, 768 y 1440 px). Recuento automatizado de los códigos cubiertos por translateAuthError sobre el conjunto de códigos que la plataforma puede devolver en los tres flujos que la aplicación invoca (signUp, signInWithPassword y verifyOtp), declarados uno por uno en tests/auth_errores.js.</w:t>
            </w:r>
            <w:r>
              <w:rPr>
                <w:b w:val="0"/>
                <w:i w:val="0"/>
                <w:sz w:val="14"/>
                <w:rFonts w:ascii="Consolas" w:hAnsi="Consolas" w:cs="Consolas"/>
              </w:rPr>
            </w:r>
            <w:r>
              <w:rPr>
                <w:b w:val="0"/>
                <w:i w:val="0"/>
                <w:sz w:val="14"/>
              </w:rPr>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sz w:val="14"/>
              </w:rPr>
              <w:t>Veinte escrituras consecutivas sobre leads con una suscripción abierta al canal postgres_changes, midiendo el intervalo entre la escritura y la recepción del evento. Criterio: los veinte eventos recibidos, con el peor caso por debajo de 3 s. El repintado de la fila añade a ese intervalo el tiempo de render del cliente, de orden de milisegundos.</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se ejecutaron en verde tres veces seguidas contra ella.</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rPr>
              <w:t>Frontend en el despliegue de Vercel; n8n y Gotenberg en contenedores locales levantados con docker compose up -d (Anexo G); base de datos en el proyecto gestionado de Supabase. Máquina de ejecución: Microsoft Windows 11 Pro, versión 10.0.26100; Docker 29.6.2 (build dfc4efb) con Docker Compose v5.3.1.</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161 nodos funcionales —178 en total, incluidas 17 notas de documentación— organizados en trece webhooks y cuatro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w:t>
      </w:r>
    </w:p>
    <w:p>
      <w:pPr>
        <w:jc w:val="center"/>
        <w:keepNext/>
      </w:pPr>
      <w:r>
        <w:drawing>
          <wp:inline xmlns:a="http://schemas.openxmlformats.org/drawingml/2006/main" xmlns:pic="http://schemas.openxmlformats.org/drawingml/2006/picture">
            <wp:extent cx="5486400" cy="3627479"/>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3627479"/>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 xml:space="preserve">El </w:t>
      </w:r>
      <w:proofErr w:type="spellStart"/>
      <w:r>
        <w:t>frontend</w:t>
      </w:r>
      <w:proofErr w:type="spellEnd"/>
      <w:r>
        <w:t xml:space="preserve"> se organiza con el App </w:t>
      </w:r>
      <w:proofErr w:type="spellStart"/>
      <w:r>
        <w:t>Router</w:t>
      </w:r>
      <w:proofErr w:type="spellEnd"/>
      <w:r>
        <w:t xml:space="preserve"> de Next.js. Las rutas principales son el formulario público (</w:t>
      </w:r>
      <w:r>
        <w:rPr>
          <w:rFonts w:ascii="Consolas" w:hAnsi="Consolas" w:cs="Consolas"/>
        </w:rPr>
        <w:t>/</w:t>
      </w:r>
      <w:r>
        <w:t>), las pantallas de autenticación (</w:t>
      </w:r>
      <w:r>
        <w:rPr>
          <w:rFonts w:ascii="Consolas" w:hAnsi="Consolas" w:cs="Consolas"/>
        </w:rPr>
        <w:t>/</w:t>
      </w:r>
      <w:proofErr w:type="spellStart"/>
      <w:r>
        <w:rPr>
          <w:rFonts w:ascii="Consolas" w:hAnsi="Consolas" w:cs="Consolas"/>
        </w:rPr>
        <w:t>login</w:t>
      </w:r>
      <w:proofErr w:type="spellEnd"/>
      <w:r>
        <w:t xml:space="preserve">, </w:t>
      </w:r>
      <w:r>
        <w:rPr>
          <w:rFonts w:ascii="Consolas" w:hAnsi="Consolas" w:cs="Consolas"/>
        </w:rPr>
        <w:t>/</w:t>
      </w:r>
      <w:proofErr w:type="spellStart"/>
      <w:r>
        <w:rPr>
          <w:rFonts w:ascii="Consolas" w:hAnsi="Consolas" w:cs="Consolas"/>
        </w:rPr>
        <w:t>register</w:t>
      </w:r>
      <w:proofErr w:type="spellEnd"/>
      <w:r>
        <w:t>), el tablero protegido (</w:t>
      </w:r>
      <w:r>
        <w:rPr>
          <w:rFonts w:ascii="Consolas" w:hAnsi="Consolas" w:cs="Consolas"/>
        </w:rPr>
        <w:t>/</w:t>
      </w:r>
      <w:proofErr w:type="spellStart"/>
      <w:r>
        <w:rPr>
          <w:rFonts w:ascii="Consolas" w:hAnsi="Consolas" w:cs="Consolas"/>
        </w:rPr>
        <w:t>dashboard</w:t>
      </w:r>
      <w:proofErr w:type="spellEnd"/>
      <w:r>
        <w:t>), la página de aceptación (</w:t>
      </w:r>
      <w:r>
        <w:rPr>
          <w:rFonts w:ascii="Consolas" w:hAnsi="Consolas" w:cs="Consolas"/>
        </w:rPr>
        <w:t>/aceptar/[</w:t>
      </w:r>
      <w:proofErr w:type="spellStart"/>
      <w:r>
        <w:rPr>
          <w:rFonts w:ascii="Consolas" w:hAnsi="Consolas" w:cs="Consolas"/>
        </w:rPr>
        <w:t>leadId</w:t>
      </w:r>
      <w:proofErr w:type="spellEnd"/>
      <w:r>
        <w:rPr>
          <w:rFonts w:ascii="Consolas" w:hAnsi="Consolas" w:cs="Consolas"/>
        </w:rPr>
        <w:t>]</w:t>
      </w:r>
      <w:r>
        <w:t>), los manejadores de confirmación y cierre de sesión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el tablero de tickets (/dashboard/tickets, correspondiente al módulo fuera de alcance que declara el Anexo B) y las tres páginas de retorno del checkout de MercadoPago (/pago-exitoso, /pago-pendiente y /pago-fallido), que son las back_urls declaradas en la preferencia de pago (§4.3.3).</w:t>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t xml:space="preserve">El componente </w:t>
      </w:r>
      <w:r>
        <w:rPr>
          <w:rFonts w:ascii="Consolas" w:hAnsi="Consolas"/>
        </w:rPr>
        <w:t>lead-form.tsx</w:t>
      </w:r>
      <w:r>
        <w:t xml:space="preserve">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w:t>
      </w:r>
      <w:r>
        <w:rPr>
          <w:rFonts w:ascii="Consolas" w:hAnsi="Consolas"/>
        </w:rPr>
        <w:t>NEXT_PUBLIC_N8N_BASE</w:t>
      </w:r>
      <w:r>
        <w:t>. Ante una respuesta satisfactoria se muestra una confirmación; ante un error, un mensaje de alerta. Con esto se satisface el OE1 (Figura 5, véase Anexo A). En §4.3.1 se analizan tres consecuencias de este diseño: el desajuste entre el rango del control deslizante y los tramos de puntaje; el hecho de que cuatro de los nueve valores ponderados del scoring no puedan originarse en este formulario; y, finalmente, el sesgo con que la opción «Otro» penalizaba a los leads que el sistema no supo clasificar. La Figura 17 documenta el comportamiento de esa validación ante una entrada inválida (véase Anexo A).</w:t>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El acceso al tablero se resuelve con Supabase Auth por correo y contraseña. El registro (register-form.tsx) invoca signUp —crea la cuenta y dispara el correo de confirmación— con redirección a /auth/confirm; el inicio de sesión (login-form.tsx) invoca signInWithPassword —valida las credenciales y abre la sesión—; el manejador /auth/confirm verifica el código de un solo uso (verifyOtp, que canjea el enlace del correo por una sesión válida) y el manejador /auth/signout cierra la sesión. Los códigos de error de Supabase se traducen a mensajes en español mediante la función translateAuthError del módulo auth-errors.ts, en cumplimiento del RNF5.</w:t>
      </w:r>
      <w:proofErr w:type="spellStart"/>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La protección de rutas se resuelve en dos niveles, en un esquema de defensa en profundidad. El primero es el archivo proxy.ts —la convención vigente en Next.js 16, que reemplaza al histórico middleware.ts—, apoyado en el ayudante updateSession del módulo lib/supabase/middleware.ts. En cada petición comprueba si la ruta pertenece al conjunto de rutas protegidas (PROTECTED_ROUTES, que incluye /dashboard) y, mediante getUser —que consulta la sesión vigente contra Supabase—, valida la sesión; si no hay usuario, redirige a /login conservando el destino original en el parámetro redirectTo.</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t>Conviene precisar la naturaleza de esa capa: no se ejecuta en el borde ni implementa por sí misma la protección de las rutas.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p>
    <w:p>
      <w:pPr/>
      <w:r>
        <w:t xml:space="preserve">El segundo nivel —y el único que constituye un control de acceso efectivo— es el componente de servidor de la ruta protegida. </w:t>
      </w:r>
      <w:r>
        <w:rPr>
          <w:rFonts w:ascii="Consolas" w:hAnsi="Consolas"/>
        </w:rPr>
        <w:t>dashboard/page.tsx</w:t>
      </w:r>
      <w:r>
        <w:t xml:space="preserve"> vuelve a resolver </w:t>
      </w:r>
      <w:r>
        <w:rPr>
          <w:rFonts w:ascii="Consolas" w:hAnsi="Consolas"/>
        </w:rPr>
        <w:t>getUser</w:t>
      </w:r>
      <w:r>
        <w:t xml:space="preserve"> y, además, consulta la tabla </w:t>
      </w:r>
      <w:r>
        <w:rPr>
          <w:rFonts w:ascii="Consolas" w:hAnsi="Consolas"/>
        </w:rPr>
        <w:t>profiles</w:t>
      </w:r>
      <w:r>
        <w:t xml:space="preserve"> y redirige a la raíz a todo usuario cuyo </w:t>
      </w:r>
      <w:r>
        <w:rPr>
          <w:rFonts w:ascii="Consolas" w:hAnsi="Consolas"/>
        </w:rPr>
        <w:t>role</w:t>
      </w:r>
      <w:r>
        <w:t xml:space="preserve"> no sea </w:t>
      </w:r>
      <w:r>
        <w:rPr>
          <w:rFonts w:ascii="Consolas" w:hAnsi="Consolas"/>
        </w:rPr>
        <w:t>admin</w:t>
      </w:r>
      <w:r>
        <w:t>. No alcanza, por tanto, con estar autenticado: el tablero exige rol de administrador.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Se trata de un cliente de navegador (</w:t>
      </w:r>
      <w:r>
        <w:rPr>
          <w:rFonts w:ascii="Consolas" w:hAnsi="Consolas" w:cs="Consolas"/>
          <w:b w:val="0"/>
          <w:i w:val="0"/>
        </w:rPr>
        <w:t>client.ts</w:t>
      </w:r>
      <w:r>
        <w:rPr>
          <w:b w:val="0"/>
          <w:i w:val="0"/>
        </w:rPr>
        <w:t>), un cliente de servidor que gestiona la sesión mediante cookies (</w:t>
      </w:r>
      <w:r>
        <w:rPr>
          <w:rFonts w:ascii="Consolas" w:hAnsi="Consolas" w:cs="Consolas"/>
          <w:b w:val="0"/>
          <w:i w:val="0"/>
        </w:rPr>
        <w:t>server.ts</w:t>
      </w:r>
      <w:r>
        <w:rPr>
          <w:b w:val="0"/>
          <w:i w:val="0"/>
        </w:rPr>
        <w:t>) y un cliente para la comprobación de sesión en la capa de proxy (</w:t>
      </w:r>
      <w:r>
        <w:rPr>
          <w:rFonts w:ascii="Consolas" w:hAnsi="Consolas" w:cs="Consolas"/>
          <w:b w:val="0"/>
          <w:i w:val="0"/>
        </w:rPr>
        <w:t>middleware.ts</w:t>
      </w:r>
      <w:r>
        <w:rPr>
          <w:b w:val="0"/>
          <w:i w:val="0"/>
        </w:rPr>
        <w:t>), que se ejecuta en el entorno de Node.js. Todos comparten un criterio defensivo: si faltan las variables de entorno, devuelven un valor nulo en lugar de interrumpir la construcción de la aplicación, lo que permite desplegar sin configurar y evita caídas del despliegue (RNF3).</w:t>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161 nodos funcionales (178 en total, incluidas 17 notas adhesivas de documentación) y organiza la lógica de negocio en varios procesos. En particular, son: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w:t>
      </w:r>
      <w:r>
        <w:rPr>
          <w:rFonts w:ascii="Consolas" w:hAnsi="Consolas" w:cs="Consolas"/>
          <w:b w:val="0"/>
          <w:i w:val="0"/>
        </w:rPr>
        <w:t>POST /lead/nuevo</w:t>
      </w:r>
      <w:r>
        <w:rPr>
          <w:b w:val="0"/>
          <w:i w:val="0"/>
        </w:rPr>
        <w:t xml:space="preserve">. El primer nodo, </w:t>
      </w:r>
      <w:r>
        <w:rPr>
          <w:b w:val="0"/>
          <w:i/>
        </w:rPr>
        <w:t>Normalizar Lead</w:t>
      </w:r>
      <w:r>
        <w:rPr>
          <w:b w:val="0"/>
          <w:i w:val="0"/>
        </w:rPr>
        <w:t xml:space="preserve">, ejecuta código JavaScript que recorta y estandariza los campos: convierte el correo a minúsculas, interpreta el presupuesto como entero, restringe la urgencia al conjunto {alta, media, baja} —con </w:t>
      </w:r>
      <w:r>
        <w:rPr>
          <w:rFonts w:ascii="Consolas" w:hAnsi="Consolas" w:cs="Consolas"/>
          <w:b w:val="0"/>
          <w:i w:val="0"/>
        </w:rPr>
        <w:t>media</w:t>
      </w:r>
      <w:r>
        <w:rPr>
          <w:b w:val="0"/>
          <w:i w:val="0"/>
        </w:rPr>
        <w:t xml:space="preserve">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b w:val="0"/>
          <w:i w:val="0"/>
        </w:rPr>
        <w:t>LD-&lt;timestamp&gt;-&lt;aleatorio&gt;</w:t>
      </w:r>
      <w:r>
        <w:rPr>
          <w:b w:val="0"/>
          <w:i w:val="0"/>
        </w:rPr>
        <w:t xml:space="preserve"> y trunca la descripción a 2000 caracteres. El lead normalizado se persiste con el nodo </w:t>
      </w:r>
      <w:r>
        <w:rPr>
          <w:b w:val="0"/>
          <w:i/>
        </w:rPr>
        <w:t>Insert Lead</w:t>
      </w:r>
      <w:r>
        <w:rPr>
          <w:b w:val="0"/>
          <w:i w:val="0"/>
        </w:rPr>
        <w:t xml:space="preserve"> en la tabla </w:t>
      </w:r>
      <w:r>
        <w:rPr>
          <w:rFonts w:ascii="Consolas" w:hAnsi="Consolas" w:cs="Consolas"/>
          <w:b w:val="0"/>
          <w:i w:val="0"/>
        </w:rPr>
        <w:t>leads</w:t>
      </w:r>
      <w:r>
        <w:rPr>
          <w:b w:val="0"/>
          <w:i w:val="0"/>
        </w:rPr>
        <w:t>.</w:t>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quedan a la espera de que el profesional fije los términos —precio, plazo y alcance— desde el tablero interno, y sólo entonces se genera y se envía la propuesta (§4.3.2). En cambio, los COLD no reciben propuesta, evitando invertir esfuerzo comercial en oportunidades de baja prioridad (OE2). Hasta el 24 de agosto de 2026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el nodo Gmail - Acuse Lead Frio,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de modo que un servicio que no reconoce recibe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se declaran aquí antes que en el capítulo de conclusiones; el primero se resolvió en el curso del trabajo y el segundo sigue abierto. El primero era la </w:t>
      </w:r>
      <w:r>
        <w:rPr>
          <w:b w:val="0"/>
          <w:i/>
        </w:rPr>
        <w:t>ausencia de idempotencia en la captación</w:t>
      </w:r>
      <w:r>
        <w:rPr>
          <w:b w:val="0"/>
          <w:i w:val="0"/>
        </w:rPr>
        <w:t>: el webhook no declaraba clave de idempotencia, ni deduplicación por correo dentro de una ventana temporal, ni bloqueo del botón de envío. Un doble clic generaba dos leads con identificadores distintos, dos cálculos de score y dos avisos por el mismo interesado, lo que contradice el objetivo de proyectar una imagen profesional. El contraste con el cuidado puesto en la idempotencia de la aceptación (§4.3.2) y del pago (§4.3.3) era deliberado señalarlo: la garantía se había aplicado donde el riesgo era la doble facturación y no donde el riesgo era el duplicado comercial. El 27 de agosto de 2026 se cerró en las dos puntas que el diagnóstico proponía. En el formulario, el envío queda bloqueado mientras la petición está en vuelo. En el flujo, la inserción del lead pasó a ser condicional: no inserta si en los últimos DEDUP_VENTANA_MINUTOS —diez por defecto— ya entró un lead con el mismo correo, y sin fila el proceso termina en un nodo de operación nula, sin segundo puntaje ni segundo aviso. Dos precisiones importan. La primera es que el webhook responde en el momento en que recibe la petición, de modo que quien hizo doble clic ve éxito y no un error, que es lo que corresponde desde su punto de vista: su consulta llegó. La segunda es que la comparación por correo, sola, no alcanzaba. Dos peticiones solapadas abren transacciones distintas y, bajo el nivel de aislamiento por defecto de PostgreSQL, ninguna ve la fila que la otra todavía no confirmó; se comprobó ejecutando dos envíos simultáneos contra el sistema levantado, que insertaban dos leads igual. La inserción se serializa por eso con un cerrojo consultivo sobre el correo, que sólo una de las dos transacciones obtiene. Con esa corrección, los dos envíos simultáneos dejan un único lead y un único aviso.</w:t>
      </w:r>
    </w:p>
    <w:p>
      <w:pPr/>
      <w:r>
        <w:rPr>
          <w:b w:val="0"/>
          <w:i w:val="0"/>
        </w:rPr>
        <w:t>El segundo es que un lead calificado como HOT o WARM quede sin que el profesional envíe la propuesta: el cálculo del puntaje precede a la inserción, de modo que todo lead se persiste ya calificado, pero desde que esa decisión pasó a depender de una acción manual desde el tablero (§4.3.2), el estado NUEVO ya no es solo el punto de partida del ciclo, sino también la sala de espera de toda propuesta pendiente de enviarse. Un proceso programado que detecte leads HOT o WARM sin propuesta enviada con antigüedad superior a un umbral resolvería el caso; se registra en el Capítulo 8.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r>
        <w:rPr>
          <w:b w:val="0"/>
          <w:i/>
        </w:rPr>
      </w:r>
      <w:r>
        <w:rPr>
          <w:b w:val="0"/>
          <w:i w:val="0"/>
        </w:rPr>
      </w:r>
    </w:p>
    <w:p>
      <w:pPr/>
      <w:r>
        <w:rPr>
          <w:b w:val="0"/>
          <w:i w:val="0"/>
        </w:rPr>
        <w:t>El mapeo de servicios merece una precisión, porque son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Hasta el 24 de agosto de 2026 el respaldo era desarrollo_web, es decir la ponderación máxima de la tabla: un servicio que el nodo no lograba leer puntuaba como el mejor de la lista. Se lo alineó con la traducción de «Otro» porque ambos describen el mismo estado de conocimiento —el sistema no sabe qué pidió el cliente— y no hay criterio que justifique resolverlos con pesos opuestos.</w:t>
      </w:r>
    </w:p>
    <w:p>
      <w:pPr/>
      <w:r>
        <w:t>De este modo, toda selección del formulario recibe una ponderación de servicio determinada y trazable. Corresponde, no obstante, señalar tres consecuencias del diseño que acotan el alcance del modelo de puntaje:</w:t>
      </w:r>
    </w:p>
    <w:p>
      <w:pPr>
        <w:pStyle w:val="Prrafodelista"/>
      </w:pPr>
      <w:r>
        <w:rPr>
          <w:b/>
          <w:i w:val="0"/>
        </w:rPr>
        <w:t>Cuatro valores ponderados son inalcanzables desde el formulario. La lista blanca contempla nueve servicios, pero las seis opciones del desplegable se traducen a sólo cinco de ellos, porque «Consultoría» y «Otro» comparten destino. Los valores ecommerce (20 puntos), app_movil (18) y automatizacion (18) —precisamente los de ponderación alta e intermedia— y también soporte (5), el más bajo de la tabla, solo pueden originarse si el webhook se invoca desde fuera del formulario; es por esa vía que el escenario E3 ejercita soporte. En la práctica, casi la mitad del modelo de ponderación no se ejercita por la única fuente de entrada declarada.</w:t>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t xml:space="preserve">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El 23 de agosto de 2026 la traducción se reemplazó por consultoria (12 puntos), una asignación neutra en lugar de la mínima, y el 24 de agosto se alineó con ella el valor de respaldo de la normalización.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corregido el 24 de agosto de 2026: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Propuesta, aceptación y facturación (webhooks de propuesta enviar y lead acepta)</w:t>
      </w:r>
      <w:proofErr w:type="spellStart"/>
      <w:r/>
      <w:proofErr w:type="spellEnd"/>
      <w:r/>
      <w:bookmarkEnd w:id="39"/>
    </w:p>
    <w:p>
      <w:pPr/>
      <w:r>
        <w:rPr/>
        <w:t>Los términos de la propuesta los fija el profesional. Un diseño alternativo, descartado, consistía en generar y enviar la propuesta automáticamente en cuanto el scoring clasificara al lead como HOT o WARM, tomando el importe de la columna presupuesto, es decir del valor que el propio interesado elige en el control deslizante del formulario público. Ese valor se habría convertido después en el monto de la factura, en el importe del comprobante en PDF y en el precio de la preferencia de cobro de MercadoPago, de modo que el sistema habría comprometido al profesional con un precio que él no fija en ningún punto del recorrido, contradiciendo la condición de la pregunta de investigación de automatizar «sin sacrificar el control del profesional sobre el proceso» (§1.3). El diseño adoptado evita ese resultado mediante el webhook POST /propuesta-enviar, invocado desde el tablero interno con la misma protección que el resto de las acciones internas: el lead calificado permanece en estado NUEVO y aparece en la sección «Propuestas por enviar», donde el profesional carga precio, plazo y alcance. El nodo Guardar Términos aplica una actualización condicional —UPDATE … WHERE estado = 'NUEVO' AND tier IN ('HOT','WARM')— del mismo tipo que la de la aceptación, de modo que repetir la petición no reabre una propuesta ya enviada, y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Enviada la propuesta, el webhook /lead-acepta recibe el identificador del lead y el token. El nodo Validar Token comprueba la presencia de ambos parámetros y el nodo Buscar Lead consulta la tabla leads por identificador y por token de aceptación (accept_token), interpretado como valor de tipo UUID. Si el lead es válido, el nodo Marcar Aceptado lo actualiza al estado ACEPTADO y registra la fecha de aceptación; en caso contrario, se responde que el enlace ya fue procesado o es inválido, lo que impide la reutilización del token (OE3, RNF2). A partir de la aceptación, el flujo genera la página de confirmación que ve el cliente y, en paralelo, produce la factura en HTML, la convierte a PDF mediante el servicio Gotenberg (Figura 15, véase Anexo A), la envía por correo, la persiste con Insert Factura en la tabla facturas y actualiza el lead al estado FACTURADO. El evento se notifica por Telegram y se registra en Notion mediante peticiones HTTP a su API (Figura 9, véase Anexo A).</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w:t>
      </w:r>
      <w:r>
        <w:rPr>
          <w:b w:val="0"/>
          <w:i w:val="0"/>
        </w:rPr>
        <w:t xml:space="preserve"> Esa atomicidad se limita, sin embargo, a un único nodo. Entre la transición a ACEPTADO y la persistencia de la factura median cuatro operaciones sobre servicios externos: la generación del HTML, la conversión a PDF por Gotenberg, el envío por correo y la inserción en la tabla </w:t>
      </w:r>
      <w:r>
        <w:rPr>
          <w:rFonts w:ascii="Consolas" w:hAnsi="Consolas" w:cs="Consolas"/>
          <w:b w:val="0"/>
          <w:i w:val="0"/>
        </w:rPr>
        <w:t>facturas</w:t>
      </w:r>
      <w:r>
        <w:rPr>
          <w:b w:val="0"/>
          <w:i w:val="0"/>
        </w:rPr>
        <w:t>.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implementó el 27 de agosto de 2026 y se describe en §4.3.5. Conviene ser preciso sobre lo que cierra y lo que no: repara después de la falla en lugar de evitarla, de modo que la frontera transaccional sigue sin existir y la inconsistencia dura hasta media hora; y reemite el comprobante sin reenviar el correo con el PDF, que queda a cargo del proceso de recordatorios de pago en su siguiente pasada o del profesional, avisado por Telegram. La Figura 2 representa la secuencia completa y delimita el alcance de la transacción.</w:t>
      </w:r>
      <w:r>
        <w:rPr>
          <w:b w:val="0"/>
          <w:i w:val="0"/>
        </w:rPr>
        <w:t xml:space="preserve"> El correo con el que la factura llega al cliente y el comprobante en PDF que lleva adjunto se reproducen en las Figuras 14 y 15 (véase Anexo A).</w:t>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3051445"/>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3051445"/>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La confirmación en sí, en cambio,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(Figura 10, véase Anexo A).</w:t>
      </w:r>
    </w:p>
    <w:p>
      <w:pPr/>
      <w:r>
        <w:rPr>
          <w:b/>
        </w:rPr>
        <w:t>Modelo de confianza del modo de desarrollo.</w:t>
      </w:r>
      <w:r>
        <w:t xml:space="preserve"> El endpoint GET /webhook/pago-confirmado —vigente solo cuando no hay credenciales reales configuradas— conserva un defecto conocido: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Por lo tanto,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Hasta el 24 de agosto de 2026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w:t>
      </w:r>
    </w:p>
    <w:p w:rsidR="00D60FC7" w:rsidRDefault="00000000">
      <w:pPr>
        <w:pStyle w:val="Ttulo3"/>
      </w:pPr>
      <w:bookmarkStart w:id="42" w:name="_Toc233808448"/>
      <w:r>
        <w:t>4.3.5 Procesos programados</w:t>
      </w:r>
      <w:bookmarkEnd w:id="42"/>
    </w:p>
    <w:p w:rsidR="00D60FC7" w:rsidRDefault="00000000">
      <w:r>
        <w:t>Cuatro disparadores por calendario ejecutan tareas desatendidas. Los tres primeros responden a OE5; el cuarto se incorporó el 27 de agosto de 2026 para cerrar la deuda S5 de la Tabla 11:</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Luego prepara uno de tres mensajes según el número de seguimiento, cada uno con el enlace a la propuesta —el aviso invita a revisarla, de modo que llevarla es parte de su función—. Por último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Luego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de hecho,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Antes, en ese caso, la vista no devolvía ninguna fila y el proceso se detenía sin enviar nada. Esa es la razón por la que el escenario E13 no había producido evidencia.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Prrafodelista"/>
        <w:numPr>
          <w:ilvl w:val="0"/>
          <w:numId w:val="1"/>
        </w:numPr>
      </w:pPr>
      <w:proofErr w:type="spellStart"/>
      <w:proofErr w:type="spellEnd"/>
      <w:proofErr w:type="spellStart"/>
      <w:proofErr w:type="spellEnd"/>
      <w:r>
        <w:rPr>
          <w:b/>
          <w:i w:val="0"/>
        </w:rPr>
        <w:t>Reconciliación de facturas (cada 30 minutos). Cierra la deuda S5 de la Tabla 11. Busca el lead más antiguo en estado ACEPTADO que no tenga factura asociada y cuya aceptación date de hace más de RECONCILIACION_GRACIA_MINUTOS —quince por defecto, para no pisar una aceptación todavía en curso—, y emite el comprobante que la cadena de facturación no llegó a persistir. Trabaja de a un lead por corrida, la misma unidad sobre la que razona la cadena de facturación normal. La emisión es idempotente por dos vías independientes: la inserción está condicionada a que no exista ya una factura para ese lead, y el identificador de la factura se deriva del propio lead, de modo que una segunda corrida chocaría además contra la restricción de unicidad. La factura recuperada no es de segunda categoría: nace PENDIENTE, lleva el precio que el profesional comprometió y el mismo enlace de pago que habría tenido de emitirse a tiempo, con lo que entra al proceso de recordatorios descrito más arriba. El proceso no depende del correo, y por eso sobrevive a una credencial de Gmail vencida: persiste, marca el lead como FACTURADO y avisa al profesional por Telegram.</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t>El modelo relacional se compone de cinco tablas y dos vistas: cuatro tablas de negocio —</w:t>
      </w:r>
      <w:r>
        <w:rPr>
          <w:rFonts w:ascii="Consolas" w:hAnsi="Consolas"/>
        </w:rPr>
        <w:t>leads</w:t>
      </w:r>
      <w:r>
        <w:t xml:space="preserve">, </w:t>
      </w:r>
      <w:r>
        <w:rPr>
          <w:rFonts w:ascii="Consolas" w:hAnsi="Consolas"/>
        </w:rPr>
        <w:t>facturas</w:t>
      </w:r>
      <w:r>
        <w:t xml:space="preserve">, </w:t>
      </w:r>
      <w:r>
        <w:rPr>
          <w:rFonts w:ascii="Consolas" w:hAnsi="Consolas"/>
        </w:rPr>
        <w:t>seguimientos</w:t>
      </w:r>
      <w:r>
        <w:t xml:space="preserve"> y </w:t>
      </w:r>
      <w:r>
        <w:rPr>
          <w:rFonts w:ascii="Consolas" w:hAnsi="Consolas"/>
        </w:rPr>
        <w:t>logs</w:t>
      </w:r>
      <w:r>
        <w:t xml:space="preserve">— y la tabla </w:t>
      </w:r>
      <w:r>
        <w:rPr>
          <w:rFonts w:ascii="Consolas" w:hAnsi="Consolas"/>
        </w:rPr>
        <w:t>profiles</w:t>
      </w:r>
      <w: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rPr>
        <w:t>db/schema.sql</w:t>
      </w:r>
      <w:r>
        <w:t xml:space="preserve"> del repositorio; la Tabla 6 describe la tabla </w:t>
      </w:r>
      <w:r>
        <w:rPr>
          <w:rFonts w:ascii="Consolas" w:hAnsi="Consolas"/>
        </w:rPr>
        <w:t>leads</w:t>
      </w:r>
      <w:r>
        <w:t>, núcleo del sistema, y la Tabla 7 resume las restantes. El esquema declara siete tipos enumerados, integridad referencial con borrado en cascada, once índices —tres de ellos compuestos o parciales— y un disparador que mantiene actualizada la marca temporal de modificación.</w:t>
      </w:r>
    </w:p>
    <w:p>
      <w:pPr>
        <w:jc w:val="center"/>
        <w:keepNext/>
      </w:pPr>
      <w:r>
        <w:drawing>
          <wp:inline xmlns:a="http://schemas.openxmlformats.org/drawingml/2006/main" xmlns:pic="http://schemas.openxmlformats.org/drawingml/2006/picture">
            <wp:extent cx="5472000" cy="4026748"/>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4026748"/>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4 y la suma del embudo, 14. No se trata de una inconsistencia de datos sino de dos criterios de agregación distintos.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2253176"/>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2253176"/>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t>La comunicación entre el frontend y n8n se realiza mediante los trece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junto al propósito de cada webhook, el origen real de cada invocación y el control de origen aplicado. Esta última columna hace visible la principal deuda de seguridad del sistema, que se analiza en §4.6.</w:t>
      </w:r>
    </w:p>
    <w:p>
      <w:pPr/>
      <w:r>
        <w:rPr>
          <w:b w:val="0"/>
          <w:i w:val="0"/>
        </w:rPr>
        <w:t>Se observa además una inconsistencia de nomenclatura que conviene declarar: de los trece webhooks, dos emplean barra como separador —/lead/nuevo y /mp/notificacion— y los once restantes emplean guion (/lead-acepta, /lead-rechaza, etc.). La ruta de captación diverge por motivos históricos —fue la primera en construirse—; la de MercadoPago diverge porque su formato lo impone el proveedor. Ninguna de las dos tiene efecto funcional, pero rompen la uniformidad del contrato de integración. Unificar el criterio de las rutas propias exige actualizar la variable de entorno del frontend y el nodo correspondiente del flujo; se registra en el Capítulo 8.</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y /mp/notificacion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agravó, mientras estuvo abierto, por el incidente de credenciales descrito en el §6.3, cerrado el 27 de agosto de 2026.</w:t>
      </w:r>
    </w:p>
    <w:p>
      <w:pPr/>
      <w:r>
        <w:rPr>
          <w:b/>
          <w:i w:val="0"/>
        </w:rPr>
        <w:t>Deudas de seguridad declaradas. El apartado quedaría incompleto si se limitara a describir los mecanismos implementados y omitiera los que faltan. La Tabla 11 las enumera. La más relevante es que seis de los trece webhooks no verifican la identidad de quien los invoca: no hay firma HMAC, ni secreto compartido, ni lista blanca de direcciones, ni mTLS. Los seis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Seis de los trece webhooks no autentican el origen de la invocación (§4.5): lead/nuevo, lead-acepta, pago-confirmado (modo desarrollo), lead-propuesta, lead-rechaza y lead-modifica. Los seis invocados desde el tablero interno (trabajo-estado, lead-cancelar, cambio-aceptar, cambio-rechazar y, desde el 24-ago-2026, proyecto-cerrado y propuesta-enviar)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seis URL sin protección puede inyectar leads, marcar un pago o aceptar una propuesta sin autorización.</w:t>
            </w:r>
          </w:p>
        </w:tc>
        <w:tc>
          <w:tcPr>
            <w:tcW w:type="dxa" w:w="2494"/>
          </w:tcPr>
          <w:p>
            <w:pPr>
              <w:spacing w:after="40" w:before="40"/>
              <w:jc w:val="left"/>
            </w:pPr>
            <w:r>
              <w:rPr>
                <w:b w:val="0"/>
                <w:i w:val="0"/>
                <w:sz w:val="13"/>
              </w:rPr>
              <w:t>Secreto compartido en cabecera o firma HMAC del cuerpo para los seis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deja el lead en ACEPTADO sin factura emitida. Mientras no hubo reparación automática, la factura se perdía salvo que alguien advirtiera el hueco y la rehiciera a mano.</w:t>
            </w:r>
          </w:p>
        </w:tc>
        <w:tc>
          <w:tcPr>
            <w:tcW w:type="dxa" w:w="2494"/>
          </w:tcPr>
          <w:p>
            <w:pPr>
              <w:spacing w:after="40" w:before="40"/>
              <w:jc w:val="left"/>
            </w:pPr>
            <w:r>
              <w:rPr>
                <w:b w:val="0"/>
                <w:i w:val="0"/>
                <w:sz w:val="13"/>
              </w:rPr>
              <w:t>Implementada el 27-ago-2026: un cuarto proceso programado (cada 30 minutos) busca leads en ACEPTADO sin factura asociada, con más antigüedad que RECONCILIACION_GRACIA_MINUTOS para no pisar una aceptación en curso, y emite el comprobante que faltaba. La emisión es idempotente por partida doble —la inserción lleva WHERE NOT EXISTS sobre lead_id y el identificador de la factura se deriva del lead—, de modo que dos corridas no producen dos facturas. La factura recuperada nace PENDIENTE, conserva el precio comprometido y queda tomada por el proceso de recordatorios de pago (§4.3.5).</w:t>
            </w:r>
          </w:p>
        </w:tc>
        <w:tc>
          <w:tcPr>
            <w:tcW w:type="dxa" w:w="1191"/>
          </w:tcPr>
          <w:p>
            <w:pPr>
              <w:spacing w:after="40" w:before="40"/>
              <w:jc w:val="left"/>
            </w:pPr>
            <w:r>
              <w:rPr>
                <w:b w:val="0"/>
                <w:i w:val="0"/>
                <w:sz w:val="13"/>
              </w:rPr>
              <w:t>Parcial — 27-ago-2026: la mitigación propuesta está implementada y verificada, pero la frontera transaccional propiamente dicha sigue sin existir. Lo que hay es un proceso compensatorio que repara después de la falla en vez de evitarla, con una ventana de hasta media hora, y que no reenvía el correo con el PDF.</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Mientras estuvo abierta: un doble envío generaba dos leads con identificadores distintos, dos cálculos de score y dos avisos al profesional por el mismo interesado.</w:t>
            </w:r>
          </w:p>
        </w:tc>
        <w:tc>
          <w:tcPr>
            <w:tcW w:type="dxa" w:w="2494"/>
          </w:tcPr>
          <w:p>
            <w:pPr>
              <w:spacing w:after="40" w:before="40"/>
              <w:jc w:val="left"/>
            </w:pPr>
            <w:r>
              <w:rPr>
                <w:b w:val="0"/>
                <w:i w:val="0"/>
                <w:sz w:val="13"/>
              </w:rPr>
              <w:t>Implementada el 27-ago-2026 en las dos puntas que el propio diagnóstico proponía. En el formulario, un cerrojo por referencia —que no depende del ciclo de repintado— descarta el segundo envío mientras el primero está en vuelo. En el flujo, la inserción del lead pasó a ser condicional: no inserta si en los últimos DEDUP_VENTANA_MINUTOS (diez por defecto) ya entró un lead con el mismo correo, y sin fila el proceso termina en un nodo de operación nula, sin segundo score ni segundo aviso. Como el webhook responde al recibir la petición, quien hizo doble clic ve éxito y no un error.</w:t>
            </w:r>
          </w:p>
        </w:tc>
        <w:tc>
          <w:tcPr>
            <w:tcW w:type="dxa" w:w="1191"/>
          </w:tcPr>
          <w:p>
            <w:pPr>
              <w:spacing w:after="40" w:before="40"/>
              <w:jc w:val="left"/>
            </w:pPr>
            <w:r>
              <w:rPr>
                <w:b w:val="0"/>
                <w:i w:val="0"/>
                <w:sz w:val="13"/>
              </w:rPr>
              <w:t>Cerrada — 27-ago-2026: verificada con dos peticiones simultáneas contra el sistema levantado —un solo lead y un solo aviso— y con la verificación automatizada tests/idempotencia.mjs, que ejecuta la consulta del propio nodo sobre el esquema real (§4.3.1).</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rPr>
              <w:t>Mientras estuvo abierto: la confidencialidad y la integridad de los datos no estaban garantizadas. Riesgo cerrado con la rotación de las claves.</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val="0"/>
              </w:rPr>
              <w:t>Cerrado — 27-ago-2026: rotación de la service_role key y deshabilitación de las claves JWT legacy.</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 xml:space="preserve">Se destacan tres decisiones. Primera, el </w:t>
      </w:r>
      <w:r>
        <w:rPr>
          <w:b/>
        </w:rPr>
        <w:t xml:space="preserve">patrón de tres clientes de </w:t>
      </w:r>
      <w:proofErr w:type="spellStart"/>
      <w:r>
        <w:rPr>
          <w:b/>
        </w:rPr>
        <w:t>Supabase</w:t>
      </w:r>
      <w:proofErr w:type="spellEnd"/>
      <w:r>
        <w:t xml:space="preserve">, que separa las responsabilidades de navegador, servidor y capa de proxy —esta última también en el entorno de Node.js, no en el borde (§4.2.3)—, en línea con el modelo de renderizado híbrido de Next.js. Segunda, la </w:t>
      </w:r>
      <w:r>
        <w:rPr>
          <w:b/>
        </w:rPr>
        <w:t>degradación defensiva</w:t>
      </w:r>
      <w:r>
        <w:t xml:space="preserve"> ante la ausencia de variables de entorno, que privilegia la resiliencia del despliegue. Tercera, la elección de </w:t>
      </w:r>
      <w:r>
        <w:rPr>
          <w:b/>
        </w:rPr>
        <w:t>tiempo real por suscripción</w:t>
      </w:r>
      <w:r>
        <w:t xml:space="preserve"> frente al sondeo periódico para el tablero, que reduce la latencia de actualización y el consumo innecesario de recursos.</w:t>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se inserta ya calificado: el cálculo del puntaje precede a la persistencia, no al revés. Permanece en estado NUEVO hasta que el profesional envía la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rPr>
        <w:t>El desarrollo de este capítulo identificó ocho riesgos de diseño y conviene reunirlos para que la discusión (Capítulo 6) y los trabajos futuros (Capítulo 8) los retomen sin dispersión. Seis son de seguridad y están consignados en la Tabla 11: S1 a S5 y S8, esta última la validación de firma del webhook de MercadoPago, opcional y deshabilitada por defecto (§4.3.3). S7, el incidente de credenciales de Supabase que no es un riesgo de diseño sino un episodio puntual, se cerró el 27 de agosto de 2026 y se detalla en el §6.3. Los dos restantes son de consistencia funcional: la ausencia de idempotencia en la captación (S6) y la ausencia de un proceso desatendido que reclame a un lead calificado que el profesional no llega a enviar (§4.3.1). De los ocho, dos dejaron de estar abiertos el 27 de agosto de 2026, y por la vía que la propia Tabla 11 tenía escrita. La ausencia de idempotencia en la captación (S6) se cerró con la deduplicación por correo dentro de una ventana temporal y el bloqueo del envío (§4.3.1). La falta de recuperación entre la aceptación y la facturación (S5) se mitigó con un cuarto proceso programado de reconciliación (§4.3.5), aunque la frontera transaccional propiamente dicha sigue sin existir: lo incorporado repara después de la falla y no la evita. Quedan abiertos, en distinto grado, S1, S3, S4 y S8, y la falta de un proceso que reclame al lead calificado que queda a la espera de que el profesional envíe su propuesta.</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E14 se ejecutó contra un doble de prueba, por la indisponibilidad de las credenciales del proveedor; el procedimiento y su alcance se detallan más abajo.</w:t>
      </w:r>
    </w:p>
    <w:p>
      <w:pPr/>
      <w:r>
        <w:t>Alcance de la cobertura: los escenarios E1 a E4 verifican la normalización, la validación y el scoring (OE1 y OE2); E1b, el paso en que el profesional fija los términos y se envía la propuesta (OE3); E5 y E6, la aceptación, la facturación y la protección por token (OE3). E7 cubre la actualización en tiempo real del tablero (OE4); E8 a E10, los caminos alternativos de la gestión posterior a la propuesta (OE3); y E11 a E13, los tres procesos programados (OE5). E14 cubre la rama de cobro con MercadoPago, ejecutada contra un doble de prueba por la indisponibilidad de las credenciales del proveedor, según se detalla más adelante en este capítulo (§4.3.3). Los quince escenarios se trazan en la matriz del Anexo E.</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20 de 20 eventos recibidos · latencia p95 = 0,79 s · máxima 0,82 s · mínima 0,27 s, en la corrida de veinte repeticiones del 26 de agosto de 2026. Tres corridas previas de cinco repeticiones habían dado p95 de 0,56 s, 1,06 s y 0,55 s. Todos los valores por debajo del umbral de 3 s. Instrumento: scripts/medir-realtime.mjs.</w:t>
            </w:r>
          </w:p>
        </w:tc>
        <w:tc>
          <w:tcPr>
            <w:tcW w:type="dxa" w:w="1928"/>
          </w:tcPr>
          <w:p>
            <w:pPr>
              <w:spacing w:after="40" w:before="40"/>
              <w:jc w:val="left"/>
            </w:pPr>
            <w:r>
              <w:rPr>
                <w:sz w:val="13"/>
              </w:rPr>
              <w:t>Salida de scripts/medir-realtime.mjs (npm run test:realtime) en tres corridas del 26-ago-2026. El script informa la latencia de cada repetición, la máxima y el p95, y termina con código distinto de cero si no se cumple el umbral, de modo que la medición es repetible por un tercero y no una afirmación.</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 Ilustra en vivo el riesgo ya señalado en S5 para una rama distinta a la de facturación.</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El 28-ago-2026 se ejecutó el escenario contra el sistema real y la cadena llegó hasta el final: la API de Telegram devolvió ok = true y message_id = 594, y el texto entregado reproduce los indicadores del mes —mes = 2026-08, 6 leads (3 HOT), facturado 11.700 USD, cobrado 7.200, pendiente 4.500, tasa de cobro 61,5 % y 8 propuestas esperando términos—, idénticos a los que devuelve metrics_mensuales</w:t>
            </w:r>
          </w:p>
        </w:tc>
        <w:tc>
          <w:tcPr>
            <w:tcW w:type="dxa" w:w="1928"/>
          </w:tcPr>
          <w:p>
            <w:pPr>
              <w:spacing w:after="40" w:before="40"/>
              <w:jc w:val="left"/>
            </w:pPr>
            <w:r>
              <w:rPr>
                <w:b/>
                <w:i w:val="0"/>
                <w:sz w:val="13"/>
              </w:rPr>
              <w:t>Respuesta de la API de Telegram con ok = true y message_id = 594 (28-ago-2026), que consigna el texto exacto entregado y permite contrastarlo con la vista. El disparo se hizo por la vía que el protocolo contempla para los procesos programados, sobre los nodos reales del flujo. La causa por la que este escenario no producía evidencia se había corregido el 24-ago-2026:</w:t>
            </w:r>
            <w:r>
              <w:rPr>
                <w:b w:val="0"/>
                <w:i w:val="0"/>
                <w:sz w:val="13"/>
              </w:rPr>
              <w:t xml:space="preserve"> la consulta que alimenta el reporte parte de una fila sintética del mes en curso, de modo que devuelve resultado aunque el mes no registre actividad, y se comprobó contra la base real (§4.3.5). E11 y E12 ya habían dejado registro (véanse su fila en esta tabla y la Tabla 18).</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t>estado_pago antes/después = PENDIENTE → COBRADO · mp_payment_id persistido = 900000001 · notificación duplicada aplicada una sola vez (estado y mp_payment_id sin cambios tras la repetición). Corrida del 27-ago-2026 contra el doble de prueba.</w:t>
            </w:r>
          </w:p>
        </w:tc>
        <w:tc>
          <w:tcPr>
            <w:tcW w:type="dxa" w:w="1928"/>
          </w:tcPr>
          <w:p>
            <w:pPr>
              <w:spacing w:after="40" w:before="40"/>
              <w:jc w:val="left"/>
            </w:pPr>
            <w:r>
              <w:t>Ejecutado contra un doble que reproduce el contrato documentado de la API de MercadoPago (tests/e14-cobro-mp.mjs, tests/mp-doble.mjs, tests/fixtures-e14/), no contra el servicio real: la activación de credenciales de prueba del proveedor falla por una causa ajena al artefacto (§5). La validación con una operación real queda como trabajo futuro (Capítulo 8, punto 6).</w:t>
            </w:r>
          </w:p>
        </w:tc>
      </w:tr>
    </w:tbl>
    <w:p>
      <w:pPr/>
      <w:r>
        <w:rPr>
          <w:b w:val="0"/>
          <w:i/>
        </w:rPr>
        <w:t>Nota. Elaboración propia. Los valores de la columna «Resultado esperado» se derivan de las reglas de la Tabla 5 y son verificables por cálculo. Las celdas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Alcance de lo que esta corrida acredita, y de lo que no. La suite automatizada (E1, E1b y E2 a E6 más E8 a E10: diez escenarios, ya que E1 se desdobló en la calificación y el envío de la propuesta, y E7 se mide aparte) ejecuta cada escenario una vez por invocación. Se corrió tres veces seguidas sin cambios en el resultado el 23 de agosto de 2026, y de nuevo el 24, tras incorporar el paso de fijación de términos.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La corrida que acredita el requisito es la de veinte repeticiones que su método exige: se recibieron los 20 eventos esperados, con una latencia p95 de 0,79 s y un peor caso de 0,82 s, frente al umbral de 3 s del RNF6. Tres corridas previas de cinco repeticiones, todas en verde, habían anticipado el resultado con un peor caso de 1,06 s.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quedaba actividad de agosto para que la vista agregue. Corregida esa causa el 24 de agosto, el escenario se reejecutó el 28 y esta vez sí entregó el reporte, con los valores que consigna su fila de la Tabla 12. Queda, entonces, un solo escenario que no pudo ejercitarse contra el proveedor real: E14, que requiere credenciales de prueba de MercadoPago; se lo ejecutó contra un doble que reproduce el contrato documentado de su API, según se detalla a continuación.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rsidR="00D60FC7" w:rsidRDefault="00000000">
      <w:pPr/>
      <w:proofErr w:type="spellStart"/>
      <w:proofErr w:type="spellEnd"/>
      <w:r>
        <w:t>El escenario E14 merece una explicación aparte, porque su ejecución siguió un camino distinto del resto. El 27 de agosto de 2026 se intentó activar credenciales de prueba en el panel de desarrolladores de MercadoPago para la aplicación registrada del proyecto. La activación falló de forma consistente con un error 422 del propio backend del proveedor (endpoint interno testUserAutomation/create), sin devolver un motivo específico. Se descartó que fuera un problema de la cuenta o de la aplicación: el mismo error se reprodujo creando una cuenta de prueba vendedor nueva y probando desde la cuenta de un tercero independiente, y el patrón —una falla intermitente de la activación de usuarios de prueba en el entorno de sandbox— está documentado en reportes de otros desarrolladores en foros públicos de MercadoPago. La causa es, por lo tanto, del proveedor y no del artefacto.</w:t>
      </w:r>
    </w:p>
    <w:p w:rsidR="00D60FC7" w:rsidRDefault="00000000">
      <w:pPr/>
      <w:proofErr w:type="spellStart"/>
      <w:proofErr w:type="spellEnd"/>
      <w:r>
        <w:t>Ante esa indisponibilidad, el escenario se ejecutó contra un doble de prueba que reproduce el contrato documentado de los dos únicos endpoints de MercadoPago que el flujo consume: la creación de la preferencia de Checkout Pro y la consulta del pago. Para poder hacerlo se parametrizó la base de la API como variable de entorno (MP_API_BASE, Tabla 21), con el servicio real como valor por omisión, de modo que el comportamiento de producción no cambia y el artefacto gana testabilidad. Los nodos que intervienen son los reales del flujo, sin modificar. La corrida verificó, con los valores que consigna la Tabla 12: que la preferencia se crea y su identificador se persiste en la factura; que la notificación de pago dispara la consulta del pago contra la API —el flujo no confía en el cuerpo notificado— y que la factura pasa de PENDIENTE a COBRADO con su mp_payment_id; y que una notificación repetida no vuelve a aplicar el efecto. El instrumento es tests/e14-cobro-mp.mjs, con el doble en tests/mp-doble.mjs y el andamiaje en tests/fixtures-e14/, todo versionado en el repositorio, de modo que la corrida es repetible por un tercero.</w:t>
      </w:r>
    </w:p>
    <w:p w:rsidR="00D60FC7" w:rsidRDefault="00000000">
      <w:pPr/>
      <w:proofErr w:type="spellStart"/>
      <w:proofErr w:type="spellEnd"/>
      <w:r>
        <w:rPr>
          <w:b/>
        </w:rPr>
        <w:t>Alcance de lo que esa corrida acredita.</w:t>
      </w:r>
      <w:r>
        <w:t xml:space="preserve"> Verifica el comportamiento del artefacto contra el contrato documentado del proveedor, no el del proveedor mismo: un cambio no anunciado en la API de MercadoPago no sería detectado por esta prueba. La validación con una operación real sigue pendiente y se registra como trabajo futuro (Capítulo 8, punto 6). Corresponde una segunda precisión, de método: la factura en estado PENDIENTE sobre la que opera el escenario se sembró directamente en la base como precondición, en lugar de producirse recorriendo el flujo de aceptación, porque los nodos de envío de correo detienen la cadena cuando la credencial OAuth del servicio está vencida, como ocurría en el entorno de la corrida. La emisión de la factura por el camino completo es lo que verifica el escenario E5, ya ejecutado; lo que E14 verifica, y lo que esta corrida ejercita de punta a punta, es la rama de cobro.</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41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tests/idempotencia.mjs hace lo mismo con las dos garantías de idempotencia que la Tabla 11 da por resueltas: sobre ese mismo PostgreSQL desechable ejecuta —leídas del propio flujo exportado, no copiadas a mano— la inserción condicional del lead y las tres consultas del proceso de reconciliación, y comprueba en veintidós aserciones que un envío repetido no cree un segundo lead, que dos envíos simultáneos tampoco lo hagan, y que dos corridas del proceso de reconciliación no emitan dos facturas. tests/auth_errores.js cierra la mitad medible del RNF5: declara los veintidós códigos de error que la plataforma de autenticación puede devolver en los tres flujos que la aplicación invoca y comprueba que todos tengan mensaje en español. Y tests/verificar_afirmaciones.js recalcula desde el repositorio los números que este documento afirma —nodos, webhooks, tablas, vistas, umbrales y las ponderaciones de la Tabla 5— y falla si dejaron de ser ciertos. Es, por lo tanto,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En particular, son los tres requisitos que dependen de los procesos programados (RF8, RF9 y RF10). Tras la corrida manual de E11 a E13 del 23 de agosto de 2026, el seguimiento y los recordatorios dejaron evidencia en la base y quedan verificados parcialmente, por los tramos que no se ejercitaron y que sus filas del Anexo E detallan. El reporte diario quedó pendiente hasta el 28 de agosto de 2026, cuando se lo ejecutó contra el sistema real: la API de Telegram confirmó la entrega (ok = true, message_id = 594) y los indicadores del mensaje coinciden con los de la vista metrics_mensuales, de modo que el RF10 queda verificado.</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cuatro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Cada importe consigna el plan concreto y la fecha en que se consultó la tarifa publicada, de modo que la estimación es auditable y su vigencia, acotada. Los totales a doce meses son el producto directo del costo mensual por doce. La estimación no incorpora el costo del desarrollo ni el del mantenimiento, que se consignan por separado en la última fila por no ser monetizables sin una tarifa horaria declarada.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 Las siete dimensiones se fijaron antes de la comparación y se derivan del problema planteado en §1.2, según se explica en §2.7. Las celdas de la solución construida se resuelven contra el artefacto —el esquema db/schema.sql, el flujo exportado y la Tabla 5—; las de las cuatro alternativas, contra la documentación y las páginas de precios de cada proveedor consultadas el 17 de agosto de 2026, con la limitación de fuente que §2.7 declara.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No obstante, obliga a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consiguiente,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rPr>
        <w:t>La arquitectura es híbrida, no autoalojada.</w:t>
      </w:r>
      <w:r>
        <w:rPr>
          <w:b w:val="0"/>
        </w:rPr>
        <w:t xml:space="preserve"> El sistema depende de cinco servicios gestionados por terceros: Supabase, Vercel, Gmail, Telegram y Notion. Solo n8n es efectivamente autoalojado, y en un equipo local. La «propiedad total del dato» que §2.8 invoca como razón para construir no se verifica, por tanto, en el artefacto.</w:t>
      </w:r>
    </w:p>
    <w:p>
      <w:pPr>
        <w:pStyle w:val="Prrafodelista"/>
      </w:pPr>
      <w:r>
        <w:rPr>
          <w:b/>
        </w:rPr>
        <w:t>El sistema tenía deudas de seguridad conocidas; cuatro se cerraron o se mitigaron en el camino y las demás siguen abiertas. La Tabla 11 las enumera. La primera,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La segunda fue el incidente de credenciales de Supabase (S7, §6.3), cerrado el 27-ago-2026 con la rotación de la service_role key y la deshabilitación de las claves JWT legacy. Las otras dos se cerraron el mismo 27 de agosto, y son las dos que la propia tabla declaraba junto con su remedio: la captación dejó de admitir envíos duplicados —deduplicación por correo dentro de una ventana configurable, más el bloqueo del envío en el formulario (S6)—, y la facturación dejó de perder comprobantes ante una falla intermedia, gracias a un proceso programado de reconciliación idempotente (S5). De esta última queda pendiente la frontera transaccional propiamente dicha, porque lo incorporado repara después de la falla en vez de evitarla. La deuda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p>
    <w:p>
      <w:pPr>
        <w:pStyle w:val="Prrafodelista"/>
      </w:pPr>
      <w:r>
        <w:rPr>
          <w:b/>
        </w:rPr>
        <w:t>El sistema opera fuera de dos marcos normativos aplicables. El comprobante que genera no cumple los requisitos del régimen de facturación electrónica argentino y el tratamiento de datos de contacto de personas identificables no contempla la Ley 25.326; la transferencia de esos datos a encargados domiciliados en países que la Disposición 60-E/2016 no reconoce como de protección adecuada agrega, sobre lo anterior, el régimen del art. 12 de esa ley (§2.9 y §1.7). Ambas dimensiones son directamente aplicables al artefacto y su omisión es una limitación del trabajo, no una decisión de alcance neutra: acota su validez a un entorno de prueba con datos ficticios y excluye la operación con clientes reales hasta que se satisfagan.</w:t>
      </w:r>
    </w:p>
    <w:p>
      <w:pPr>
        <w:pStyle w:val="Ttulo2"/>
      </w:pPr>
      <w:r>
        <w:rPr>
          <w:b w:val="0"/>
        </w:rPr>
        <w:t>6.3 Incidente de seguridad: exposición y cierre de credenciales</w:t>
      </w:r>
    </w:p>
    <w:p>
      <w:pPr/>
      <w:r>
        <w:t xml:space="preserve">Durante la configuración inicial del proyecto de Supabase, la </w:t>
      </w:r>
      <w:r>
        <w:rPr>
          <w:rFonts w:ascii="Consolas" w:hAnsi="Consolas"/>
        </w:rPr>
        <w:t>secret key</w:t>
      </w:r>
      <w:r>
        <w:t xml:space="preserve"> y la </w:t>
      </w:r>
      <w:r>
        <w:rPr>
          <w:rFonts w:ascii="Consolas" w:hAnsi="Consolas"/>
        </w:rPr>
        <w:t>service_role key</w:t>
      </w:r>
      <w:r>
        <w:t xml:space="preserve"> se compartieron por un canal de mensajería no seguro. Ninguna de las dos se utilizó en el código ni se almacenó en el repositorio: el frontend emplea únicamente la clave pública, y el motor de automatización guarda la </w:t>
      </w:r>
      <w:r>
        <w:rPr>
          <w:rFonts w:ascii="Consolas" w:hAnsi="Consolas"/>
        </w:rPr>
        <w:t>service_role key</w:t>
      </w:r>
      <w:r>
        <w:t xml:space="preserve"> en sus credenciales internas. Pese a eso, la exposición ocurrió. El 27 de agosto de 2026 se rotó la </w:t>
      </w:r>
      <w:r>
        <w:rPr>
          <w:rFonts w:ascii="Consolas" w:hAnsi="Consolas"/>
        </w:rPr>
        <w:t>service_role key</w:t>
      </w:r>
      <w:r>
        <w:t xml:space="preserve"> del proyecto y se deshabilitaron las claves JWT legacy que permanecían activas, cerrando ambos frentes de la exposición.</w:t>
      </w:r>
    </w:p>
    <w:p>
      <w:pPr/>
      <w:r>
        <w:t xml:space="preserve">Mientras estuvo abierto, no fue una línea de trabajo futuro sino un incidente de seguridad activo, y así se consignó aquí y en la Tabla 11 (S7). Su relevancia era directa: según §4.6, la </w:t>
      </w:r>
      <w:r>
        <w:rPr>
          <w:rFonts w:ascii="Consolas" w:hAnsi="Consolas"/>
        </w:rPr>
        <w:t>service_role key</w:t>
      </w:r>
      <w:r>
        <w:t xml:space="preserve"> evade por diseño la seguridad a nivel de fila y es la única credencial con permiso de escritura sobre las cinco tablas; mientras no se rotara, la integridad de los datos no estaba garantizada. Con la rotación de esa clave y la deshabilitación de las claves JWT legacy completadas el 27 de agosto de 2026, la integridad de los datos vuelve a depender exclusivamente de la custodia normal de credenciales descrita en el §4.6, y no de una exposición sin resolver.</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 Se diseñó el modelo de datos relacional con seguridad a nivel de fila y se expuso el tablero autenticado con métricas del mes, embudo y facturas pendientes. Cumplido. El modelo de datos y la RLS están verificados (npm run test:rls), y la actualización en tiempo real del tablero (escenario E7) se midió el 26 de agosto de 2026 con scripts/medir-realtime.mjs, en tres corridas independientes. La corrida acreditante, de veinte repeticiones como exige el método del RNF6, recibió los 20 eventos esperados con una latencia p95 de 0,79 s y un peor caso de 0,82 s, por debajo del umbral de 3 s.</w:t>
      </w:r>
    </w:p>
    <w:p w:rsidR="00D60FC7" w:rsidRDefault="00000000">
      <w:pPr>
        <w:pStyle w:val="Prrafodelista"/>
        <w:numPr>
          <w:ilvl w:val="0"/>
          <w:numId w:val="1"/>
        </w:numPr>
      </w:pPr>
      <w:r>
        <w:rPr>
          <w:b/>
        </w:rPr>
        <w:t>OE5.</w:t>
      </w:r>
      <w:r>
        <w:t xml:space="preserve"> Se incorporaron los procesos programados de seguimiento, recordatorio de pago y reporte diario. </w:t>
      </w:r>
      <w:r>
        <w:rPr>
          <w:b/>
        </w:rPr>
        <w:t>Cumplido. El seguimiento y los recordatorios de pago se ejercitaron manualmente el 23-ago-2026 (E11, E12), lo que reveló y permitió corregir tres defectos reales, y el reporte diario (E13) se ejecutó el 28-ago-2026 contra el sistema real: la API de Telegram confirmó la entrega (ok = true, message_id = 594) y los indicadores del mensaje coinciden con los de la vista metrics_mensuales (Capítulo 5). Subsiste, dentro de los dos primeros, la cobertura parcial que declaran los requisitos RF8 y RF9: la transición a PERDIDO del tercer seguimiento y el escalón RECORDATORIO de los vencimientos no se ejercitaron por falta de datos de prueba en ese rango.</w:t>
      </w:r>
    </w:p>
    <w:p w:rsidR="00D60FC7" w:rsidRDefault="00000000">
      <w:proofErr w:type="spellStart"/>
      <w:proofErr w:type="spellEnd"/>
      <w:proofErr w:type="spellStart"/>
      <w:proofErr w:type="spellEnd"/>
      <w:r>
        <w:rPr>
          <w:b/>
          <w:i w:val="0"/>
        </w:rPr>
        <w:t>Respuesta al objetivo general.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cuatro procesos programados que operan sin intervención. El control del profesional, primera condición de la pregunta de investigación, se materializa en dos puntos y no en uno solo. El primero es el tablero interno, desde el que cancela leads, resuelve pedidos de cambio, actualiza el estado del trabajo y cierra el proyecto. Asimismo, el segundo es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queda acreditada por construcción: cada lead tiene un estado explícito, marcas temporales de cada transición, un registro de auditoría en la tabla logs y un tablero que expone el embudo completo.</w:t>
      </w:r>
      <w:r>
        <w:rPr>
          <w:b w:val="0"/>
          <w:i w:val="0"/>
        </w:rPr>
      </w:r>
      <w:r>
        <w:rPr>
          <w:rFonts w:ascii="Consolas" w:hAnsi="Consolas" w:cs="Consolas"/>
          <w:b w:val="0"/>
          <w:i w:val="0"/>
        </w:rPr>
      </w:r>
      <w:r>
        <w:rPr>
          <w:b w:val="0"/>
          <w:i w:val="0"/>
        </w:rPr>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 sugerida, pero no demostrada, la mejora de indicadores comerciales reales, que dependería de una operación en producción. El menor costo operativo, en cambio, sí está estimado: la Tabla 13 lo cifra en USD 56,40 a doce meses frente a USD 588,00 de un CRM comercial y USD 359,88 de una plataforma de integración, con el plan y la fecha de consulta declarados en cada celda. La salvedad es de naturaleza distinta: esa comparación no incorpora el costo del desarrollo ni el del mantenimiento, que recaen sobre el profesional y que ninguna de las alternativas le cobra.</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Por ejemplo,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Esta lista ya no excluye la rotación de credenciales comprometidas: el incidente de seguridad que la motivaba se cerró el 27 de agosto de 2026 y se documenta, resuelto, en el §6.3.</w:t>
      </w:r>
    </w:p>
    <w:p>
      <w:pPr/>
      <w:r>
        <w:rPr>
          <w:b/>
          <w:i w:val="0"/>
        </w:rPr>
        <w:t>1. Cerrar las deudas de seguridad declaradas en la Tabla 11. Implementar autenticación de origen en los seis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Completar la frontera transaccional y la reconciliación que queda. De los tres encargos que esta línea reunía, dos se resolvieron el 27 de agosto de 2026: el proceso programado que detecta leads en estado ACEPTADO sin factura asociada y reemite el comprobante de forma idempotente (§4.3.5), y la deduplicación por correo en la captación (§4.3.1). Queda el proceso que detecte, entre los leads en NUEVO, a la propuesta calificada que el profesional dejó sin enviar (§4.3.1 y §4.3.2): hoy sólo se mitiga con la notificación inmediata y la visibilidad en el tablero. Queda también la frontera transaccional propiamente dicha: la reconciliación repara después de la falla y no la evita, deja una ventana de hasta media hora y no reenvía el comprobante por correo. Cerrarla de verdad exige llevar la aceptación y la facturación a una única unidad de trabajo, o adoptar un patrón de saga con compensación explícita.</w:t>
      </w:r>
      <w:r>
        <w:rPr>
          <w:b w:val="0"/>
          <w:i w:val="0"/>
        </w:rPr>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rPr>
        <w:t>5. Completar el cumplimiento normativo. Es condición previa a operar con clientes reales, no una mejora opcional (§2.9). En materia de datos personales: incorporar al formulario el aviso del art. 6 de la Ley 25.326 —finalidad, destinatarios, identidad del responsable, carácter de cada respuesta y derechos de acceso, rectificación y supresión— con consentimiento expreso y separado para la cesión a terceros (art. 11) y para la transferencia internacional (art. 12), o bien suscribir las cláusulas contractuales tipo de la Disposición 60-E/2016 con cada encargado domiciliado fuera de los países de protección adecuada; definir una política de retención que opere la supresión que exige el art. 4.7; e inscribir la base ante la Agencia de Acceso a la Información Pública (art. 21). En materia fiscal: integrar el servicio web de ARCA para solicitar el CAE de cada comprobante y completar CUIT, punto de venta, tipo de comprobante y numeración correlativa, de modo que el documento deje de ser un comprobante interno y pase a tener validez fiscal.</w:t>
      </w:r>
    </w:p>
    <w:p>
      <w:pPr/>
      <w:r>
        <w:rPr>
          <w:b/>
        </w:rPr>
        <w:t>6. Cerrar lo que queda de la integración de pagos. La pasarela de pago real ya está integrada (MercadoPago, §4.3.3) y su rama de cobro está verificada contra un doble de prueba (escenario E14). Quedan tres tareas: repetir esa verificación contra el servicio real cuando la activación de credenciales de prueba del proveedor vuelva a estar disponible, que es lo único que la corrida actual no puede acreditar; habilitar por defecto la validación de firma del webhook (MP_WEBHOOK_SECRET), hoy opcional; y evaluar el split de pagos vía la API de Marketplace de MercadoPago cuando el sistema pase a operar con más de un profesional cobrando a cuentas distintas (§4.5).</w:t>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Asimismo,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cuatro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Unificar la nomenclatura de las rutas de integración, hoy dividida entre barra (/lead/nuevo y /mp/notificacion, esta última impuesta por el proveedor) y guion (el resto). No tiene efecto funcional, pero rompe la uniformidad del contrato; unificarla exige actualizar la variable de entorno del frontend y el nodo correspondiente del flujo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 Contrastar además la comparación de §2.7 contra evaluaciones de analistas independientes o datos agregados de usuarios, de modo que las afirmaciones funcionales sobre las cuatro alternativas dejen de apoyarse únicamente en lo que cada proveedor declara de sí mismo.</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ind w:left="720" w:hanging="720"/>
      </w:pPr>
      <w:bookmarkStart w:id="53" w:name="_Toc233808459"/>
      <w:bookmarkEnd w:id="53"/>
      <w:r>
        <w:t xml:space="preserve">Agencia de Recaudación y Control Aduanero. (2026). </w:t>
      </w:r>
      <w:r>
        <w:rPr>
          <w:i/>
        </w:rPr>
        <w:t>Facturación electrónica</w:t>
      </w:r>
      <w:r>
        <w:t>. Recuperado el 27 de agosto de 2026, de https://www.arca.gob.ar</w:t>
      </w:r>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Amir, A. R. (2026). </w:t>
      </w:r>
      <w:r>
        <w:rPr>
          <w:i/>
        </w:rPr>
        <w:t>Evaluating workflow automation efficiency using n8n: A small-scale business case study</w:t>
      </w:r>
      <w:r>
        <w:rPr>
          <w:i w:val="0"/>
        </w:rPr>
        <w:t xml:space="preserve"> [Preprint]. ScienceOpen. https://doi.org/10.14293/PR2199.002882.v1</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rsidR="00D60FC7" w:rsidRDefault="00000000">
      <w:pPr>
        <w:spacing w:after="120"/>
        <w:ind w:left="720" w:hanging="720"/>
      </w:pPr>
      <w:r>
        <w:t xml:space="preserve">Dirección Nacional de Protección de Datos Personales. (2016). </w:t>
      </w:r>
      <w:r>
        <w:rPr>
          <w:i/>
        </w:rPr>
        <w:t>Disposición 60-E/2016</w:t>
      </w:r>
      <w:r>
        <w:t>. Ministerio de Justicia y Derechos Humanos. https://servicios.infoleg.gob.ar/infolegInternet/anexos/265000-269999/267922/norma.htm</w:t>
      </w:r>
    </w:p>
    <w:p w:rsidR="00D60FC7" w:rsidRDefault="00000000">
      <w:pPr>
        <w:spacing w:after="120"/>
        <w:ind w:left="720" w:hanging="720"/>
      </w:pPr>
      <w:r>
        <w:rPr>
          <w:i w:val="0"/>
        </w:rPr>
        <w:t xml:space="preserve">Domański, R., Wojciechowski, H., Lewandowicz, J., &amp; Hadaś, Ł. (2023). Digitalization of management processes in small and medium-sized enterprises—An overview of low-code and no-code platforms. </w:t>
      </w:r>
      <w:r>
        <w:rPr>
          <w:i/>
        </w:rPr>
        <w:t>Applied Sciences, 13</w:t>
      </w:r>
      <w:r>
        <w:rPr>
          <w:i w:val="0"/>
        </w:rPr>
        <w:t>(24), Article 13078. https://doi.org/10.3390/app132413078</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(2024).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r>
        <w:rPr>
          <w:i w:val="0"/>
        </w:rPr>
        <w:t xml:space="preserve">Lamanna, A. (2025). </w:t>
      </w:r>
      <w:r>
        <w:rPr>
          <w:i/>
        </w:rPr>
        <w:t>A structured evaluation framework for low-code platform selection: A multi-criteria decision model for enterprise digital transformation</w:t>
      </w:r>
      <w:r>
        <w:rPr>
          <w:i w:val="0"/>
        </w:rPr>
        <w:t xml:space="preserve"> [Preprint]. arXiv. https://doi.org/10.48550/arXiv.2510.18590</w:t>
      </w:r>
    </w:p>
    <w:p w:rsidR="00D60FC7" w:rsidRDefault="00000000">
      <w:pPr>
        <w:spacing w:after="120"/>
        <w:ind w:left="720" w:hanging="720"/>
      </w:pPr>
      <w:r>
        <w:t xml:space="preserve">Ley 25.326 de Protección de los Datos Personales. (2000). </w:t>
      </w:r>
      <w:r>
        <w:rPr>
          <w:i/>
        </w:rPr>
        <w:t>Boletín Oficial de la República Argentina</w:t>
      </w:r>
      <w:r>
        <w:t>, 30 de octubre de 2000. https://servicios.infoleg.gob.ar/infolegInternet/anexos/60000-64999/64790/norma.htm</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(2024).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rsidR="00D60FC7" w:rsidRDefault="00000000">
      <w:pPr>
        <w:spacing w:after="120"/>
        <w:ind w:left="720" w:hanging="720"/>
      </w:pPr>
      <w:r>
        <w:rPr>
          <w:i w:val="0"/>
        </w:rPr>
        <w:t xml:space="preserve">Muhammad, S., Prybutok, V., &amp; Sinha, V. (2025). Unlocking citizen developer potential: A systematic review and model for digital transformation. </w:t>
      </w:r>
      <w:r>
        <w:rPr>
          <w:i/>
        </w:rPr>
        <w:t>Encyclopedia, 5</w:t>
      </w:r>
      <w:r>
        <w:rPr>
          <w:i w:val="0"/>
        </w:rPr>
        <w:t>(1), Article 36. https://doi.org/10.3390/encyclopedia5010036</w:t>
      </w:r>
    </w:p>
    <w:p w:rsidR="00D60FC7" w:rsidRDefault="00000000">
      <w:pPr>
        <w:spacing w:after="120"/>
        <w:ind w:left="720" w:hanging="720"/>
      </w:pPr>
      <w:proofErr w:type="spellStart"/>
      <w:proofErr w:type="spellEnd"/>
      <w:r>
        <w:rPr>
          <w:i w:val="0"/>
        </w:rPr>
        <w:t xml:space="preserve">n8n. (2024). </w:t>
      </w:r>
      <w:r>
        <w:rPr>
          <w:i/>
        </w:rPr>
        <w:t>n8n documentation</w:t>
      </w:r>
      <w:r>
        <w:rPr>
          <w:i w:val="0"/>
        </w:rPr>
        <w:t>.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(2024).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(2024).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(2024).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(2024).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3623094"/>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3623094"/>
                    </a:xfrm>
                    <a:prstGeom prst="rect"/>
                  </pic:spPr>
                </pic:pic>
              </a:graphicData>
            </a:graphic>
          </wp:inline>
        </w:drawing>
      </w:r>
    </w:p>
    <w:p>
      <w:pPr>
        <w:keepLines/>
      </w:pPr>
      <w:r>
        <w:rPr>
          <w:b/>
          <w:i w:val="0"/>
          <w:sz w:val="17"/>
        </w:rPr>
        <w:t>Figura 6.</w:t>
      </w:r>
      <w:r>
        <w:rPr>
          <w:b w:val="0"/>
          <w:i w:val="0"/>
          <w:sz w:val="17"/>
        </w:rPr>
        <w:t xml:space="preserve"> Tablero de control interno: la bandeja de propuestas por enviar, desde la cual el profesional fija el precio, el plazo y el alcance antes del envío (§4.3.2); los indicadores del mes y el embudo por estado (§4.2.5, escenario E7). </w:t>
      </w:r>
      <w:r>
        <w:rPr>
          <w:b w:val="0"/>
          <w:i/>
          <w:sz w:val="17"/>
        </w:rPr>
        <w:t>Nota.</w:t>
      </w:r>
      <w:r>
        <w:rPr>
          <w:b w:val="0"/>
          <w:i w:val="0"/>
          <w:sz w:val="17"/>
        </w:rPr>
        <w:t xml:space="preserve"> Captura propia, tomada el 26 de agosto de 2026 sobre datos reales del sistema. Las facturas pendientes, los trabajos activos y los pedidos de cambio continúan por debajo del corte de la imagen. Obsérvese que el indicador «LEADS» (4) y la suma del embudo (14)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1216995"/>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1216995"/>
                    </a:xfrm>
                    <a:prstGeom prst="rect"/>
                  </pic:spPr>
                </pic:pic>
              </a:graphicData>
            </a:graphic>
          </wp:inline>
        </w:drawing>
      </w:r>
    </w:p>
    <w:p>
      <w:pPr>
        <w:keepLines/>
      </w:pPr>
      <w:r>
        <w:rPr>
          <w:b/>
          <w:i w:val="0"/>
          <w:sz w:val="17"/>
        </w:rPr>
        <w:t>Figura 8. Flujo de captación y calificación en n8n: webhook de nuevo lead, normalización, verificación de duplicados, scoring, inserción ya calificada y el aviso de que la propuesta queda pendiente de que el profesional la envíe (§4.3.1). Nota. Captura propia del lienzo de n8n.</w:t>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Los otros dos procesos programados —el reporte diario de métricas y la reconciliación de facturas, incorporada el 27 de agosto de 2026— no están documentados en esta captura; la evidencia del primero corresponde al escenario E13 y está pendiente de incorporación.</w:t>
      </w:r>
    </w:p>
    <w:p>
      <w:pPr>
        <w:jc w:val="center"/>
        <w:keepNext/>
      </w:pPr>
      <w:r>
        <w:drawing>
          <wp:inline xmlns:a="http://schemas.openxmlformats.org/drawingml/2006/main" xmlns:pic="http://schemas.openxmlformats.org/drawingml/2006/picture">
            <wp:extent cx="3675887" cy="4741894"/>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4741894"/>
                    </a:xfrm>
                    <a:prstGeom prst="rect"/>
                  </pic:spPr>
                </pic:pic>
              </a:graphicData>
            </a:graphic>
          </wp:inline>
        </w:drawing>
      </w:r>
    </w:p>
    <w:p>
      <w:pPr>
        <w:keepLines/>
      </w:pPr>
      <w:r>
        <w:rPr>
          <w:b/>
          <w:i w:val="0"/>
          <w:sz w:val="17"/>
        </w:rPr>
        <w:t>Figura 13. Correo de propuesta generado por el sistema, con los términos fijados por el profesional (§4.3.1, escenario E5). Nota. La captura anterior mostraba el correo personal de uno de los autores como remitente y como lead de prueba, en incumplimiento del protocolo de la Tabla 4. Esta figura se generó ejecutando el nodo real Code - Generar Propuesta con datos neutros conforme a ese protocolo (Cliente Demo 1, dominio ejemplo.com) y los valores reales de E5 (precio 7200, plazo 3 semanas), renderizando el HTML resultante. El envío por Gmail no se ejecutó por la credencial vencida (Tabla 11); el contenido es el que ese nodo produce sin variación.</w:t>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4754880" cy="1834025"/>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1834025"/>
                    </a:xfrm>
                    <a:prstGeom prst="rect"/>
                  </pic:spPr>
                </pic:pic>
              </a:graphicData>
            </a:graphic>
          </wp:inline>
        </w:drawing>
      </w:r>
    </w:p>
    <w:p>
      <w:pPr>
        <w:keepLines/>
      </w:pPr>
      <w:r>
        <w:rPr>
          <w:b/>
          <w:i w:val="0"/>
          <w:sz w:val="17"/>
        </w:rPr>
        <w:t>Figura 14. Correo de envío de la factura con el comprobante adjunto en PDF (§4.3.2, escenario E5). Nota. La captura anterior mostraba el correo personal de uno de los autores. Esta figura se generó del mismo modo que la Figura 13, con los mismos datos neutros, ejecutando el mensaje real del nodo Gmail - Enviar Factura PDF. El nombre del adjunto es un identificador que el nodo HTTP Request de n8n asigna automáticamente a la respuesta binaria de Gotenberg cuando no se declara un nombre de archivo explícito; se verificó contra el código del flujo que no deriva del accept_token del lead ni de ningún otro dato sensible, sino que es un valor interno de n8n ajeno a la aplicación.</w:t>
      </w:r>
      <w:r>
        <w:rPr>
          <w:b w:val="0"/>
          <w:i w:val="0"/>
          <w:sz w:val="17"/>
        </w:rPr>
      </w:r>
      <w:r>
        <w:rPr>
          <w:b w:val="0"/>
          <w:i/>
          <w:sz w:val="17"/>
        </w:rPr>
      </w:r>
      <w:r>
        <w:rPr>
          <w:b w:val="0"/>
          <w:i w:val="0"/>
          <w:sz w:val="17"/>
        </w:rPr>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69057"/>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69057"/>
                    </a:xfrm>
                    <a:prstGeom prst="rect"/>
                  </pic:spPr>
                </pic:pic>
              </a:graphicData>
            </a:graphic>
          </wp:inline>
        </w:drawing>
      </w:r>
    </w:p>
    <w:p>
      <w:pPr>
        <w:keepLines/>
      </w:pPr>
      <w:r>
        <w:rPr>
          <w:b/>
          <w:i w:val="0"/>
          <w:sz w:val="17"/>
        </w:rPr>
        <w:t>Figura 16. Clasificación de leads por score y nivel: ejemplos HOT, WARM y COLD registrados en la tabla leads (§4.3.1, escenarios E1 a E3). Nota. La captura anterior usaba a los propios autores como leads de prueba y valores que no correspondían a E1-E3. Esta figura se generó enviando tres leads reales con los datos de la Tabla 4 (Cliente Demo 1 a 3, dominio ejemplo.com) y las entradas exactas de E1, E2 y E3, y consultando la tabla leads resultante: los tres puntajes (100, 47, 20) coinciden con la Tabla 12.</w:t>
      </w:r>
      <w:r>
        <w:rPr>
          <w:b w:val="0"/>
          <w:i w:val="0"/>
          <w:sz w:val="17"/>
        </w:rPr>
      </w:r>
      <w:r>
        <w:rPr>
          <w:rFonts w:ascii="Consolas" w:hAnsi="Consolas" w:cs="Consolas"/>
          <w:b w:val="0"/>
          <w:i w:val="0"/>
          <w:sz w:val="17"/>
        </w:rPr>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4754880" cy="2502568"/>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2502568"/>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del ciclo comercial —el que este trabajo describe y valida— se compone de un único flujo de 161 nodos funcionales —178 en total, incluidas 17 notas de documentación—, exportado en el archivo workflow/crm_postgres.json del repositorio declarado en §4.1. La Tabla 15 resume su composición por tipo de nodo y la Tabla 16,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Tabla 15.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35</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17</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15</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5</w:t>
            </w:r>
          </w:p>
        </w:tc>
        <w:tc>
          <w:tcPr>
            <w:tcW w:type="dxa" w:w="4139"/>
          </w:tcPr>
          <w:p>
            <w:pPr>
              <w:spacing w:after="40" w:before="40"/>
              <w:jc w:val="left"/>
            </w:pPr>
            <w:r>
              <w:rPr>
                <w:b w:val="0"/>
                <w:i w:val="0"/>
                <w:sz w:val="14"/>
              </w:rPr>
              <w:t>Operación nula (ramas de aceptación duplicada, lead duplicado y factura ya emitida).</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4</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178</w:t>
            </w:r>
          </w:p>
        </w:tc>
        <w:tc>
          <w:tcPr>
            <w:tcW w:type="dxa" w:w="4139"/>
          </w:tcPr>
          <w:p>
            <w:pPr>
              <w:spacing w:after="40" w:before="40"/>
              <w:jc w:val="left"/>
            </w:pPr>
            <w:r>
              <w:rPr>
                <w:b w:val="0"/>
                <w:i w:val="0"/>
                <w:sz w:val="14"/>
              </w:rPr>
              <w:t>161 funcionales + 17 notas de documentación.</w:t>
            </w:r>
          </w:p>
        </w:tc>
      </w:tr>
    </w:tbl>
    <w:p>
      <w:pPr/>
      <w:r>
        <w:rPr>
          <w:b w:val="0"/>
          <w:i/>
          <w:sz w:val="15"/>
        </w:rPr>
        <w:t>Nota. Elaboración propia a partir del recuento de nodos de workflow/crm_postgres.json.</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Scoring → Insert Lead (INSERT condicional: descarta el correo repetido dentro de la ventana) → IF - Lead Nuevo? → IF por nivel. Rama HOT/WARM: Telegram de propuesta por enviar. Rama COLD: Telegram + acuse por correo. Rama duplicada: operación nula.</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Reconciliación de facturas</w:t>
            </w:r>
          </w:p>
        </w:tc>
        <w:tc>
          <w:tcPr>
            <w:tcW w:type="dxa" w:w="1814"/>
          </w:tcPr>
          <w:p>
            <w:pPr>
              <w:spacing w:after="40" w:before="40"/>
              <w:jc w:val="left"/>
            </w:pPr>
            <w:r>
              <w:rPr>
                <w:b w:val="0"/>
                <w:i w:val="0"/>
                <w:sz w:val="14"/>
              </w:rPr>
              <w:t>Cron */30 * * * *</w:t>
            </w:r>
          </w:p>
        </w:tc>
        <w:tc>
          <w:tcPr>
            <w:tcW w:type="dxa" w:w="5046"/>
          </w:tcPr>
          <w:p>
            <w:pPr>
              <w:spacing w:after="40" w:before="40"/>
              <w:jc w:val="left"/>
            </w:pPr>
            <w:r>
              <w:rPr>
                <w:b w:val="0"/>
                <w:i w:val="0"/>
                <w:sz w:val="14"/>
              </w:rPr>
              <w:t>Leer Aceptado Sin Factura (ACEPTADO, sin factura y fuera del período de gracia, LIMIT 1) → Preparar Factura Reconciliada → preferencia de MercadoPago → Resolver Link → Insert Factura Reconciliada (INSERT condicional) → IF - Factura Reconciliada? → Lead a FACTURADO → Telegram; si ya existía, operación nula.</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 En el lienzo de n8n estos procesos se agrupan bajo notas adhesivas tituladas «RAMA n», rotulación visual que no se corresponde con un orden ni se usa en el cuerpo del texto: RAMA 1 es la captación y calificación, RAMA 2 la aceptación y facturación, RAMA 3 el seguimiento de propuestas, RAMA 4 los recordatorios de pago, RAMA 5 el cierre de proyecto, RAMA 6 el reporte diario de métricas, RAMA 7 el manejo de errores, RAMA 8 la confirmación de pago con MercadoPago y RAMA 9 la reconciliación de facturas. Las figuras del Anexo A que muestran el lienzo conservan esa rotulación.</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 (E1b incluido)</w:t>
            </w:r>
          </w:p>
        </w:tc>
        <w:tc>
          <w:tcPr>
            <w:tcW w:type="dxa" w:w="2608"/>
          </w:tcPr>
          <w:p>
            <w:pPr>
              <w:spacing w:after="40" w:before="40"/>
              <w:jc w:val="left"/>
            </w:pPr>
            <w:r>
              <w:rPr>
                <w:b w:val="0"/>
                <w:i w:val="0"/>
              </w:rPr>
              <w:t>Alcanzado en cuanto a viabilidad técnica y trazabilidad. Del par de componentes de la carga administrativa se mide el contable —dieciséis de dieciocho acciones delegadas (§1.5)—; el tiempo y el esfuerzo quedan excluidos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(E1b incluido)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t>Verificado. El modelo de datos y la seguridad a nivel de fila se comprueban con npm run test:rls (24 casos rol por rol sobre un PostgreSQL real). La actualización en tiempo real del tablero (E7) se midió el 26 de agosto de 2026 con scripts/medir-realtime.mjs: 20 eventos sobre 20 —las veinte repeticiones que exige el método del RNF6—, p95 de 0,79 s y peor caso de 0,82 s, por debajo del umbral de 3 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Los procesos de seguimiento y recordatorios de pago (E11, E12) se dispararon manualmente el 23-ago-2026, lo que reveló y permitió corregir tres defectos de expresión reales, y el reporte diario (E13) se ejecutó el 28-ago-2026 contra el sistema real: la API de Telegram confirmó la entrega (ok = true, message_id = 594) y los indicadores del mensaje coinciden con los de la vista metrics_mensuales. El cuarto proceso programado, la reconciliación de facturas incorporada el 27-ago-2026, se verifica por separado en tests/idempotencia.mjs (§5).</w:t>
            </w:r>
          </w:p>
        </w:tc>
        <w:tc>
          <w:tcPr>
            <w:tcW w:type="dxa" w:w="907"/>
          </w:tcPr>
          <w:p>
            <w:pPr>
              <w:spacing w:after="40" w:before="40"/>
              <w:jc w:val="left"/>
            </w:pPr>
            <w:r>
              <w:rPr>
                <w:b w:val="0"/>
                <w:i w:val="0"/>
                <w:sz w:val="14"/>
              </w:rPr>
              <w:t>Cap. 7</w:t>
            </w:r>
          </w:p>
        </w:tc>
      </w:tr>
    </w:tbl>
    <w:p>
      <w:pPr/>
      <w:r>
        <w:rPr>
          <w:b w:val="0"/>
          <w:i/>
        </w:rPr>
        <w:t>Nota. Elaboración propia.</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t>Verificado parcialmente. El registro del cobro está verificado por las dos vías que el sistema contempla: el modo de desarrollo (pago idempotente, E5) y la rama real de MercadoPago, ejercitada en E14 con los nodos reales contra un doble que reproduce el contrato documentado de su API —la factura pasa de PENDIENTE a COBRADO, persiste el mp_payment_id y una notificación repetida no vuelve a aplicar el efecto—. Queda sin acreditar la validación contra el servicio real del proveedor (Capítulo 8, punto 6). El cierre del proyecto sigue sin escenario propio: se verificó manualmente.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(E13): el reporte diario se ejecutó el 28-ago-2026 contra el sistema real y la API de Telegram confirmó la entrega (ok = true, message_id = 594) y los indicadores del mensaje coinciden con los de la vista metrics_mensuales. Antes,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t>Verificado: el tablero lee y muestra los siete conjuntos de datos, y la actualización en vivo (E7) se comprobó sobre veinte repeticiones con una latencia p95 de 0,79 s y un peor caso de 0,82 s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La interfaz no desborda horizontalmente en los tres anchos revisados. El recuento formal, que hasta el 28 de agosto de 2026 estaba pendiente, se automatizó en tests/auth_errores.js (npm run test:autherrores): declara uno por uno los veintidós códigos que Supabase Auth puede devolver en los flujos de signUp, signInWithPassword y verifyOtp, y falla si alguno no tiene mensaje en español. Su primera ejecución acreditó que el requisito no se cumplía —once de veintidós—: faltaban, entre otros, los del enlace de confirmación vencido, que son los más probables en operación real. Incorporadas las traducciones faltantes, la cobertura es de 22/22.</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sz w:val="14"/>
              </w:rPr>
              <w:t>20 escrituras consecutivas midiendo la latencia hasta la recepción del evento (E7).</w:t>
            </w:r>
          </w:p>
        </w:tc>
        <w:tc>
          <w:tcPr>
            <w:tcW w:type="dxa" w:w="1247"/>
          </w:tcPr>
          <w:p>
            <w:pPr>
              <w:spacing w:after="40" w:before="40"/>
              <w:jc w:val="left"/>
            </w:pPr>
            <w:r>
              <w:rPr>
                <w:sz w:val="14"/>
              </w:rPr>
              <w:t>Verificado. La medición (scripts/medir-realtime.mjs, expuesta como npm run test:realtime) recibió los veinte eventos que el método exige, con una latencia p95 de 0,79 s y un peor caso de 0,82 s, por debajo del umbral de 3 s. La verificación es repetible: el script termina con código distinto de cero si el umbral no se cumple.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exclusivamente n8n con la `service_role`</w:t>
      </w:r>
    </w:p>
    <w:p>
      <w:pPr>
        <w:spacing w:after="0" w:before="0"/>
        <w:ind w:left="283"/>
        <w:jc w:val="left"/>
      </w:pPr>
      <w:r>
        <w:rPr>
          <w:rFonts w:ascii="Consolas" w:hAnsi="Consolas"/>
          <w:sz w:val="14"/>
        </w:rPr>
        <w:t>--     key, que evade la RLS por diseño (BYPASSRLS). No se definen</w:t>
      </w:r>
    </w:p>
    <w:p>
      <w:pPr>
        <w:spacing w:after="0" w:before="0"/>
        <w:ind w:left="283"/>
        <w:jc w:val="left"/>
      </w:pPr>
      <w:r>
        <w:rPr>
          <w:rFonts w:ascii="Consolas" w:hAnsi="Consolas"/>
          <w:sz w:val="14"/>
        </w:rPr>
        <w:t>--     políticas de INSERT/UPDATE/DELETE para usuarios finales.</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queda sin política: solo la service_role</w:t>
      </w:r>
    </w:p>
    <w:p>
      <w:pPr>
        <w:spacing w:after="0" w:before="0"/>
        <w:ind w:left="283"/>
        <w:jc w:val="left"/>
      </w:pPr>
      <w:r>
        <w:rPr>
          <w:rFonts w:ascii="Consolas" w:hAnsi="Consolas"/>
          <w:sz w:val="14"/>
        </w:rPr>
        <w:t>--    (que evade la RLS) escribe y consulta. `authenticated` y `anon` no</w:t>
      </w:r>
    </w:p>
    <w:p>
      <w:pPr>
        <w:spacing w:after="0" w:before="0"/>
        <w:ind w:left="283"/>
        <w:jc w:val="left"/>
      </w:pPr>
      <w:r>
        <w:rPr>
          <w:rFonts w:ascii="Consolas" w:hAnsi="Consolas"/>
          <w:sz w:val="14"/>
        </w:rPr>
        <w:t>--    acceden. Es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sz w:val="14"/>
              </w:rPr>
              <w:t>Scripts de verificación</w:t>
            </w:r>
          </w:p>
        </w:tc>
        <w:tc>
          <w:tcPr>
            <w:tcW w:type="dxa" w:w="4025"/>
          </w:tcPr>
          <w:p>
            <w:pPr>
              <w:spacing w:after="40" w:before="40"/>
              <w:jc w:val="left"/>
            </w:pPr>
            <w:r>
              <w:rPr>
                <w:sz w:val="14"/>
              </w:rPr>
              <w:t>Secreta. Evade la RLS por diseño. La consumen únicamente la suite de escenarios (tests/escenarios.mjs) y la medición de tiempo real (scripts/medir-realtime.mjs): ningún componente del frontend la usa, en línea con el RNF4.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t>MP_API_BASE</w:t>
            </w:r>
          </w:p>
        </w:tc>
        <w:tc>
          <w:tcPr>
            <w:tcW w:type="dxa" w:w="1928"/>
          </w:tcPr>
          <w:p>
            <w:pPr>
              <w:spacing w:after="40" w:before="40"/>
              <w:jc w:val="left"/>
            </w:pPr>
            <w:r>
              <w:t>Contenedor de n8n</w:t>
            </w:r>
          </w:p>
        </w:tc>
        <w:tc>
          <w:tcPr>
            <w:tcW w:type="dxa" w:w="4025"/>
          </w:tcPr>
          <w:p>
            <w:pPr>
              <w:spacing w:after="40" w:before="40"/>
              <w:jc w:val="left"/>
            </w:pPr>
            <w:r>
              <w:t>Base de la API de MercadoPago. Por omisión https://api.mercadopago.com, es decir el servicio real: no cambia el comportamiento de producción. Se reapunta sólo para ejercitar el escenario E14 contra el doble de prueba (§5).</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Vacía por defecto: no valida (Tabla 11, S8).</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sz w:val="14"/>
              </w:rPr>
              <w:t>Secreta. Valor del header de autenticación que exigen los seis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b w:val="0"/>
                <w:i w:val="0"/>
                <w:sz w:val="14"/>
                <w:rFonts w:ascii="Consolas" w:hAnsi="Consolas" w:cs="Consolas"/>
              </w:rPr>
              <w:t>DEDUP_VENTANA_MINUTOS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10 por defecto. Ventana de deduplicación de la captación: dentro de esos minutos, un segundo envío del formulario con el mismo correo no crea otro lead ni dispara otro aviso (S6, §4.3.1).</w:t>
            </w:r>
          </w:p>
        </w:tc>
      </w:tr>
      <w:tr>
        <w:tc>
          <w:tcPr>
            <w:tcW w:type="dxa" w:w="2835"/>
          </w:tcPr>
          <w:p>
            <w:pPr>
              <w:spacing w:after="40" w:before="40"/>
              <w:jc w:val="left"/>
            </w:pPr>
            <w:r>
              <w:rPr>
                <w:b w:val="0"/>
                <w:i w:val="0"/>
                <w:sz w:val="14"/>
                <w:rFonts w:ascii="Consolas" w:hAnsi="Consolas" w:cs="Consolas"/>
              </w:rPr>
              <w:t>RECONCILIACION_GRACIA_MINUTOS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Minutos que el proceso de reconciliación le concede a la cadena de aceptación antes de dar por perdida la factura de un lead en ACEPTADO (S5, §4.3.5).</w:t>
            </w:r>
          </w:p>
        </w:tc>
      </w:tr>
      <w:tr>
        <w:tc>
          <w:tcPr>
            <w:tcW w:type="dxa" w:w="2835"/>
          </w:tcPr>
          <w:p>
            <w:pPr>
              <w:spacing w:after="40" w:before="40"/>
              <w:jc w:val="left"/>
            </w:pPr>
            <w:r>
              <w:rPr>
                <w:b w:val="0"/>
                <w:i w:val="0"/>
                <w:sz w:val="14"/>
                <w:rFonts w:ascii="Consolas" w:hAnsi="Consolas" w:cs="Consolas"/>
              </w:rPr>
              <w:t>FACTURA_VENCIMIENTO_DIAS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Días de vigencia de la factura que emite la reconciliación, alineados con los que aplica la rama de aceptación.</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