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Siete de los doce webhooks no verifican la identidad de quien los invoca; los cuatro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Se recomienda levantar el sistema una vez con esta versión y confirmar que el flujo se importa sin errores antes de dar el punto por cerrado.</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141 nodos funcionales —157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141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5000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el sesgo con que la opción «Otro» penalizaba a los leads que el sistema no supo clasificar.</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141 nodos funcionales (157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5000 dólares y la Tabla 5 asigna 0 puntos por debajo de 300, de modo que el tramo inferior del propio control no puntúa; en el extremo opuesto, los 40 puntos solo se alcanzan en el valor máximo exacto del deslizante.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A diferencia de los demás webhooks, este no se invoca desde ninguna ruta del frontend ni desde un proceso programado: en el estado actual del sistema lo dispara manualmente el profesional, mediante una petición directa. Incorporar la acción de cierre al tablero interno es una tarea pendiente que se registra en el Capítulo 8; mientras tanto, la Tabla 10 consigna el origen real de cada invocación.</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seis índices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y leads(fecha_ingreso).</w:t>
      </w:r>
    </w:p>
    <w:p w:rsidR="00D60FC7" w:rsidRDefault="00D60FC7"/>
    <w:p w:rsidR="00D60FC7" w:rsidRDefault="00000000">
      <w:pPr>
        <w:spacing w:after="120" w:line="240" w:lineRule="auto"/>
        <w:jc w:val="center"/>
      </w:pPr>
      <w:r>
        <w:rPr>
          <w:sz w:val="20"/>
          <w:szCs w:val="20"/>
        </w:rPr>
        <w:t>Tabla 7. Esquema de las tablas facturas, seguimientos y logs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y seguimientos(lead_id).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No se invoca desde el frontend</w:t>
            </w:r>
            <w:r>
              <w:rPr>
                <w:b w:val="0"/>
                <w:i w:val="0"/>
                <w:sz w:val="13"/>
              </w:rPr>
              <w:t>: petición manual del profesional (§4.3.4)</w:t>
            </w:r>
          </w:p>
        </w:tc>
        <w:tc>
          <w:tcPr>
            <w:tcW w:type="dxa" w:w="2608"/>
          </w:tcPr>
          <w:p>
            <w:pPr>
              <w:spacing w:after="40" w:before="40"/>
              <w:jc w:val="left"/>
            </w:pPr>
            <w:r>
              <w:rPr>
                <w:b/>
                <w:i w:val="0"/>
                <w:sz w:val="13"/>
              </w:rPr>
              <w:t>Ninguna.</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siete de los doce webhooks no verifican la identidad de quien los invoca: no hay firma HMAC, ni secreto compartido, ni lista blanca de direcciones, ni mTLS. Los cuatro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puede inyectar leads, cerrar proyectos, alterar el estado de un trabajo o cancelar oportunidades.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Siete de los doce webhooks no autentican el origen de la invocación (§4.5): lead/nuevo, lead-acepta, pago-confirmado (modo desarrollo), proyecto-cerrado, lead-propuesta, lead-rechaza y lead-modifica. Los cuatro invocados desde el tablero interno (trabajo-estado, lead-cancelar, cambio-aceptar, cambio-rechazar)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siete URL sin protección puede inyectar leads, marcar un pago o cerrar un proyecto sin autorización.</w:t>
            </w:r>
          </w:p>
        </w:tc>
        <w:tc>
          <w:tcPr>
            <w:tcW w:type="dxa" w:w="2494"/>
          </w:tcPr>
          <w:p>
            <w:pPr>
              <w:spacing w:after="40" w:before="40"/>
              <w:jc w:val="left"/>
            </w:pPr>
            <w:r>
              <w:rPr>
                <w:b w:val="0"/>
                <w:i w:val="0"/>
                <w:sz w:val="13"/>
              </w:rPr>
              <w:t>Secreto compartido en cabecera o firma HMAC del cuerpo para los siete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E14 queda declarado para el cobro real con MercadoPago y aún sin ejecutar (§4.3.3). Los catorce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100 (40 + 30 + 20 + 5 + 5) · tier = HOT · estado = PROPUESTA_ENVIADA · token de aceptación generado y con fecha de vencimiento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disparador ejecutado; metrics_mensuales devolvió 0 filas para agosto porque los leads de prueba se eliminan al final de cada corrida de tests/escenarios.mjs y no queda actividad persistente en el mes; el nodo de Telegram no llegó a ejecutarse</w:t>
            </w:r>
          </w:p>
        </w:tc>
        <w:tc>
          <w:tcPr>
            <w:tcW w:type="dxa" w:w="1928"/>
          </w:tcPr>
          <w:p>
            <w:pPr>
              <w:spacing w:after="40" w:before="40"/>
              <w:jc w:val="left"/>
            </w:pPr>
            <w:r>
              <w:rPr>
                <w:b/>
                <w:i w:val="0"/>
                <w:sz w:val="13"/>
              </w:rPr>
              <w:t>Pendiente:</w:t>
            </w:r>
            <w:r>
              <w:rPr>
                <w:b w:val="0"/>
                <w:i w:val="0"/>
                <w:sz w:val="13"/>
              </w:rPr>
              <w:t xml:space="preserve"> requiere una corrida que persista datos de agosto o esperar la ejecución real del cron. Es la única de las tres evidencias de OE5 que sigue sin producirse: E11 y E12 sí dejaron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(E1–E10) ejecuta cada escenario una vez por invocación; el 23 de agosto de 2026 se corrió tres veces seguidas sin cambios en el resultado, lo que satisface la exigencia de tres repeticiones independientes que el protocolo de la Tabla 4 pide para los escenarios de camino principal que la suite cubre (E1 a E6). E7, el único escenario de camino principal ajeno a esta suite, sigue sin poder medirse en absoluto —no es una cuestión de repeticiones, sino de que la instancia no tiene Realtime habilitado para la tabla leads, como se detalla más abajo—. Los tres procesos programados (E11–E13) se dispararon manualmente ese mismo día, y el ejercicio resultó más revelador que confirmatorio: aparecieron tres defectos de expresión reales, no visibles en ninguna lectura estática ni en la suite E1–E10, que impedían completar la rama de «último intento» de E11 cuando el proceso manejaba más de un caso a la vez; se corrigieron, pero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algo que ninguna corrida anterior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Quedan, entonces, dos escenarios sin ejecutar por razones ajenas al código. E7 —la actualización del tablero en tiempo real— no pudo medirse porque la tabla leads no está incluida en la publicación supabase_realtime de la instancia utilizada: es una opción de configuración de la plataforma, no un defecto del código, pero mientras no se habilite el umbral del RNF6 no puede comprobarse. E14 requiere credenciales de prueba de MercadoPago y una tarjeta de test, es decir una operación con el proveedor real.</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38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el RNF6, por la limitación de Realtime ya descripta, y los tres requisitos que dependen de los procesos programados (RF8, RF9 y RF10), que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recibía la ponderación mínima, lo que sesgaba hacia COLD precisamente las oportunidades que el sistema no supo clasificar; ese sesgo se corrigió durante la preparación de la defensa (§4.3.1), pero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permitiendo confirmar una factura como cobrada sin pago real de por medio (S2); se cerró el 23-ago-2026 agregando una verificación que rechaza esa vía en cuanto hay credenciales de MercadoPago activas, de modo que la confirmación de pago solo puede originarse ya en el proveedor real. La más amplia sigue abierta: siete de los doce webhooks no autentican el origen de la invocación.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parcialmente: el modelo de datos y la RLS están verificados (npm run test:rls); la actualización en tiempo real del tablero (escenario E7) no pudo comprobarse porque la tabla leads no está incluida en la publicación supabase_realtime de la instancia utilizada.</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siete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Hoy </w:t>
      </w:r>
      <w:r>
        <w:rPr>
          <w:rFonts w:ascii="Consolas" w:hAnsi="Consolas" w:cs="Consolas"/>
          <w:b w:val="0"/>
          <w:i w:val="0"/>
        </w:rPr>
        <w:t>/proyecto-cerrado</w:t>
      </w:r>
      <w:r>
        <w:rPr>
          <w:b w:val="0"/>
          <w:i w:val="0"/>
        </w:rPr>
        <w:t xml:space="preserve"> se dispara manualmente y no tiene origen en la interfaz (§4.3.4). Unificar además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se compone de un único flujo de 141 nodos funcionales —157 en total, incluidas 16 notas de documentación—, exportado en el archivo workflow/crm_postgres.json del repositorio declarado en §4.1. La Tabla 15 resume su composición por tipo de nodo y la Tabla 16, la organización por proceso, con el disparador de cada uno.</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7</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157</w:t>
            </w:r>
          </w:p>
        </w:tc>
        <w:tc>
          <w:tcPr>
            <w:tcW w:type="dxa" w:w="4139"/>
          </w:tcPr>
          <w:p>
            <w:pPr>
              <w:spacing w:after="40" w:before="40"/>
              <w:jc w:val="left"/>
            </w:pPr>
            <w:r>
              <w:rPr>
                <w:b w:val="0"/>
                <w:i w:val="0"/>
                <w:sz w:val="14"/>
              </w:rPr>
              <w:t>141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5000.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Verificado. E5, E6, E8, E9 y E10 en verde en la corrida automatizada que registra docs/evidencia-validacion.md, archivo que consigna la fecha y hora de la ejecución que lo generó.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Verificado parcialmente. El modelo de datos y la seguridad a nivel de fila se comprueban con npm run test:rls (24 casos rol por rol sobre un PostgreSQL real). La actualización en tiempo real del tablero (E7) NO pudo verificarse: la tabla leads no está incluida en la publicación supabase_realtime de la instancia.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Verificado (E1, E2 reciben propuesta; E3 no la recibe y queda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Verificado parcialmente: el tablero lee y muestra los cuatro conjuntos de datos, pero la actualización en vivo (E7) no pudo comprobarse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NO verificado. La medición de latencia (scripts/medir-realtime.mjs) no recibe ningún evento porque leads no está en la publicación supabase_realtime de la instancia. Hasta habilitar Realtime para esa tabla, el umbral de 3 s no puede comprobarse.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sólo puede comprobarse si la tabla leads está incluida en la publicación supabase_realtime del proyecto, condición que no se cumplía en la instancia utilizada (§6.2).</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