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10B512">
      <w:pPr>
        <w:keepNext/>
        <w:spacing w:before="200" w:after="10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28"/>
          <w:lang w:val="en-US" w:eastAsia="zh-CN"/>
        </w:rPr>
        <w:t>1</w:t>
      </w:r>
      <w:r>
        <w:rPr>
          <w:rFonts w:hint="default" w:ascii="Times New Roman" w:hAnsi="Times New Roman" w:eastAsia="Noto Sans CJK SC" w:cs="Times New Roman"/>
          <w:b/>
          <w:color w:val="auto"/>
          <w:sz w:val="28"/>
        </w:rPr>
        <w:t>. Dataset Overview and Data-Quality Findings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8"/>
        <w:gridCol w:w="2160"/>
        <w:gridCol w:w="2592"/>
        <w:gridCol w:w="2016"/>
      </w:tblGrid>
      <w:tr w14:paraId="15E7F4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448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8ADD36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Noto Sans CJK SC" w:cs="Times New Roman"/>
                <w:b/>
                <w:color w:val="auto"/>
                <w:sz w:val="16"/>
              </w:rPr>
              <w:t>Check</w:t>
            </w:r>
          </w:p>
        </w:tc>
        <w:tc>
          <w:tcPr>
            <w:tcW w:w="216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C9E0F4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Noto Sans CJK SC" w:cs="Times New Roman"/>
                <w:b/>
                <w:color w:val="auto"/>
                <w:sz w:val="16"/>
              </w:rPr>
              <w:t>Result</w:t>
            </w:r>
          </w:p>
        </w:tc>
        <w:tc>
          <w:tcPr>
            <w:tcW w:w="2592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5E9F4C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Noto Sans CJK SC" w:cs="Times New Roman"/>
                <w:b/>
                <w:color w:val="auto"/>
                <w:sz w:val="16"/>
              </w:rPr>
              <w:t>Check</w:t>
            </w:r>
          </w:p>
        </w:tc>
        <w:tc>
          <w:tcPr>
            <w:tcW w:w="2016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144F30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Noto Sans CJK SC" w:cs="Times New Roman"/>
                <w:b/>
                <w:color w:val="auto"/>
                <w:sz w:val="16"/>
              </w:rPr>
              <w:t>Result</w:t>
            </w:r>
          </w:p>
        </w:tc>
      </w:tr>
      <w:tr w14:paraId="48A142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48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DD30637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Noto Sans CJK SC" w:cs="Times New Roman"/>
                <w:color w:val="auto"/>
                <w:sz w:val="16"/>
              </w:rPr>
              <w:t>Raw observations</w:t>
            </w:r>
          </w:p>
        </w:tc>
        <w:tc>
          <w:tcPr>
            <w:tcW w:w="216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AC72A4A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Noto Sans CJK SC" w:cs="Times New Roman"/>
                <w:color w:val="auto"/>
                <w:sz w:val="16"/>
              </w:rPr>
              <w:t>2,070,834</w:t>
            </w:r>
          </w:p>
        </w:tc>
        <w:tc>
          <w:tcPr>
            <w:tcW w:w="2592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2527AC8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Noto Sans CJK SC" w:cs="Times New Roman"/>
                <w:color w:val="auto"/>
                <w:sz w:val="16"/>
              </w:rPr>
              <w:t>Raw columns</w:t>
            </w:r>
          </w:p>
        </w:tc>
        <w:tc>
          <w:tcPr>
            <w:tcW w:w="2016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BE0420F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Noto Sans CJK SC" w:cs="Times New Roman"/>
                <w:color w:val="auto"/>
                <w:sz w:val="16"/>
              </w:rPr>
              <w:t>9</w:t>
            </w:r>
          </w:p>
        </w:tc>
      </w:tr>
      <w:tr w14:paraId="5379EA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48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BC57301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Noto Sans CJK SC" w:cs="Times New Roman"/>
                <w:color w:val="auto"/>
                <w:sz w:val="16"/>
              </w:rPr>
              <w:t>Date range</w:t>
            </w:r>
          </w:p>
        </w:tc>
        <w:tc>
          <w:tcPr>
            <w:tcW w:w="216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BCF435D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Noto Sans CJK SC" w:cs="Times New Roman"/>
                <w:color w:val="auto"/>
                <w:sz w:val="16"/>
              </w:rPr>
              <w:t>22 Jan 2008 - 6 May 2021</w:t>
            </w:r>
          </w:p>
        </w:tc>
        <w:tc>
          <w:tcPr>
            <w:tcW w:w="2592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37CA42D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Noto Sans CJK SC" w:cs="Times New Roman"/>
                <w:color w:val="auto"/>
                <w:sz w:val="16"/>
              </w:rPr>
              <w:t>Trading dates</w:t>
            </w:r>
          </w:p>
        </w:tc>
        <w:tc>
          <w:tcPr>
            <w:tcW w:w="2016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6032FE6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Noto Sans CJK SC" w:cs="Times New Roman"/>
                <w:color w:val="auto"/>
                <w:sz w:val="16"/>
              </w:rPr>
              <w:t>3,347</w:t>
            </w:r>
          </w:p>
        </w:tc>
      </w:tr>
      <w:tr w14:paraId="03F79C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48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E658F1F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Noto Sans CJK SC" w:cs="Times New Roman"/>
                <w:color w:val="auto"/>
                <w:sz w:val="16"/>
              </w:rPr>
              <w:t>Conventional missing values</w:t>
            </w:r>
          </w:p>
        </w:tc>
        <w:tc>
          <w:tcPr>
            <w:tcW w:w="216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B3E60A2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Noto Sans CJK SC" w:cs="Times New Roman"/>
                <w:color w:val="auto"/>
                <w:sz w:val="16"/>
              </w:rPr>
              <w:t>0</w:t>
            </w:r>
          </w:p>
        </w:tc>
        <w:tc>
          <w:tcPr>
            <w:tcW w:w="2592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88C4043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Noto Sans CJK SC" w:cs="Times New Roman"/>
                <w:color w:val="auto"/>
                <w:sz w:val="16"/>
              </w:rPr>
              <w:t>Duplicate market rows</w:t>
            </w:r>
          </w:p>
        </w:tc>
        <w:tc>
          <w:tcPr>
            <w:tcW w:w="2016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485CA77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Noto Sans CJK SC" w:cs="Times New Roman"/>
                <w:color w:val="auto"/>
                <w:sz w:val="16"/>
              </w:rPr>
              <w:t>638,054</w:t>
            </w:r>
          </w:p>
        </w:tc>
      </w:tr>
      <w:tr w14:paraId="0AF8B5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48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C51C8A7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Noto Sans CJK SC" w:cs="Times New Roman"/>
                <w:color w:val="auto"/>
                <w:sz w:val="16"/>
              </w:rPr>
              <w:t>Rows after duplicate removal</w:t>
            </w:r>
          </w:p>
        </w:tc>
        <w:tc>
          <w:tcPr>
            <w:tcW w:w="216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7E970D2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Noto Sans CJK SC" w:cs="Times New Roman"/>
                <w:color w:val="auto"/>
                <w:sz w:val="16"/>
              </w:rPr>
              <w:t>1,432,780</w:t>
            </w:r>
          </w:p>
        </w:tc>
        <w:tc>
          <w:tcPr>
            <w:tcW w:w="2592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2DC5403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Noto Sans CJK SC" w:cs="Times New Roman"/>
                <w:color w:val="auto"/>
                <w:sz w:val="16"/>
              </w:rPr>
              <w:t>Backward time jumps</w:t>
            </w:r>
          </w:p>
        </w:tc>
        <w:tc>
          <w:tcPr>
            <w:tcW w:w="2016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5BAD030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Noto Sans CJK SC" w:cs="Times New Roman"/>
                <w:color w:val="auto"/>
                <w:sz w:val="16"/>
              </w:rPr>
              <w:t>2,443</w:t>
            </w:r>
          </w:p>
        </w:tc>
      </w:tr>
      <w:tr w14:paraId="5DFA9A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48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856DD48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Noto Sans CJK SC" w:cs="Times New Roman"/>
                <w:color w:val="auto"/>
                <w:sz w:val="16"/>
              </w:rPr>
              <w:t>Invalid HIGH / LOW rows</w:t>
            </w:r>
          </w:p>
        </w:tc>
        <w:tc>
          <w:tcPr>
            <w:tcW w:w="216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394C23F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Noto Sans CJK SC" w:cs="Times New Roman"/>
                <w:color w:val="auto"/>
                <w:sz w:val="16"/>
              </w:rPr>
              <w:t>0 / 0</w:t>
            </w:r>
          </w:p>
        </w:tc>
        <w:tc>
          <w:tcPr>
            <w:tcW w:w="2592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A2A2C3B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Noto Sans CJK SC" w:cs="Times New Roman"/>
                <w:color w:val="auto"/>
                <w:sz w:val="16"/>
              </w:rPr>
              <w:t>VWAP outside HIGH-LOW</w:t>
            </w:r>
          </w:p>
        </w:tc>
        <w:tc>
          <w:tcPr>
            <w:tcW w:w="2016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DB7BB84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Noto Sans CJK SC" w:cs="Times New Roman"/>
                <w:color w:val="auto"/>
                <w:sz w:val="16"/>
              </w:rPr>
              <w:t>4</w:t>
            </w:r>
          </w:p>
        </w:tc>
      </w:tr>
      <w:tr w14:paraId="4F287C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48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A2965F9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Noto Sans CJK SC" w:cs="Times New Roman"/>
                <w:color w:val="auto"/>
                <w:sz w:val="16"/>
              </w:rPr>
              <w:t>Complete 390-minute days</w:t>
            </w:r>
          </w:p>
        </w:tc>
        <w:tc>
          <w:tcPr>
            <w:tcW w:w="216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4D9D8E2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Noto Sans CJK SC" w:cs="Times New Roman"/>
                <w:color w:val="auto"/>
                <w:sz w:val="16"/>
              </w:rPr>
              <w:t>3,320 (99.19%)</w:t>
            </w:r>
          </w:p>
        </w:tc>
        <w:tc>
          <w:tcPr>
            <w:tcW w:w="2592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BD2B03F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color w:val="auto"/>
              </w:rPr>
            </w:pPr>
          </w:p>
        </w:tc>
        <w:tc>
          <w:tcPr>
            <w:tcW w:w="2016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EDEE6AD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color w:val="auto"/>
              </w:rPr>
            </w:pPr>
          </w:p>
        </w:tc>
      </w:tr>
    </w:tbl>
    <w:p w14:paraId="37FAB8CA">
      <w:pPr>
        <w:spacing w:after="0"/>
        <w:rPr>
          <w:rFonts w:hint="default" w:ascii="Times New Roman" w:hAnsi="Times New Roman" w:cs="Times New Roman"/>
          <w:color w:val="auto"/>
        </w:rPr>
      </w:pPr>
    </w:p>
    <w:p w14:paraId="700F3596">
      <w:pPr>
        <w:spacing w:after="60" w:line="259" w:lineRule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Noto Sans CJK SC" w:cs="Times New Roman"/>
          <w:color w:val="auto"/>
          <w:sz w:val="19"/>
        </w:rPr>
        <w:t>The file contains no conventional NA values, but it is not analysis-ready. Duplicate observations and chronological ordering must be corrected before return or forecasting calculations.</w:t>
      </w:r>
    </w:p>
    <w:p w14:paraId="460C5831">
      <w:pPr>
        <w:keepNext/>
        <w:spacing w:before="200" w:after="100"/>
        <w:rPr>
          <w:rFonts w:hint="default" w:ascii="Times New Roman" w:hAnsi="Times New Roman" w:cs="Times New Roman"/>
          <w:color w:val="auto"/>
        </w:rPr>
      </w:pPr>
      <w:r>
        <w:rPr>
          <w:rFonts w:hint="eastAsia" w:ascii="Times New Roman" w:hAnsi="Times New Roman" w:eastAsia="宋体" w:cs="Times New Roman"/>
          <w:b/>
          <w:color w:val="auto"/>
          <w:sz w:val="28"/>
          <w:lang w:val="en-US" w:eastAsia="zh-CN"/>
        </w:rPr>
        <w:t>2</w:t>
      </w:r>
      <w:r>
        <w:rPr>
          <w:rFonts w:hint="default" w:ascii="Times New Roman" w:hAnsi="Times New Roman" w:eastAsia="Noto Sans CJK SC" w:cs="Times New Roman"/>
          <w:b/>
          <w:color w:val="auto"/>
          <w:sz w:val="28"/>
        </w:rPr>
        <w:t>. Temporal Coverage and Price-Level Behaviour</w:t>
      </w:r>
    </w:p>
    <w:p w14:paraId="205E40F1">
      <w:pPr>
        <w:spacing w:before="60" w:after="40"/>
        <w:jc w:val="center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drawing>
          <wp:inline distT="0" distB="0" distL="114300" distR="114300">
            <wp:extent cx="5989320" cy="2994660"/>
            <wp:effectExtent l="0" t="0" r="1905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299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1F05B">
      <w:pPr>
        <w:spacing w:before="40" w:after="160"/>
        <w:jc w:val="center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Noto Sans CJK SC" w:cs="Times New Roman"/>
          <w:i/>
          <w:color w:val="auto"/>
          <w:sz w:val="17"/>
        </w:rPr>
        <w:t>Figure 1. SPY price level using the last price in the common observation window.</w:t>
      </w:r>
    </w:p>
    <w:p w14:paraId="0A465423">
      <w:pPr>
        <w:pStyle w:val="16"/>
        <w:spacing w:after="60" w:line="259" w:lineRule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Noto Sans CJK SC" w:cs="Times New Roman"/>
          <w:color w:val="auto"/>
          <w:sz w:val="19"/>
        </w:rPr>
        <w:t>The price level shows a pronounced long-run upward trend with large drawdowns, especially around 2008-2009 and 2020.</w:t>
      </w:r>
    </w:p>
    <w:p w14:paraId="0A99BEEA">
      <w:pPr>
        <w:spacing w:before="60" w:after="40"/>
        <w:jc w:val="center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drawing>
          <wp:inline distT="0" distB="0" distL="114300" distR="114300">
            <wp:extent cx="5989320" cy="2994660"/>
            <wp:effectExtent l="0" t="0" r="1905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299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F8C4A">
      <w:pPr>
        <w:spacing w:before="40" w:after="160"/>
        <w:jc w:val="center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Noto Sans CJK SC" w:cs="Times New Roman"/>
          <w:i/>
          <w:color w:val="auto"/>
          <w:sz w:val="17"/>
        </w:rPr>
        <w:t>Figure 2. Number of one-minute observations recorded on each trading date.</w:t>
      </w:r>
    </w:p>
    <w:p w14:paraId="3BFD3DC2">
      <w:pPr>
        <w:pStyle w:val="16"/>
        <w:spacing w:after="60" w:line="259" w:lineRule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Noto Sans CJK SC" w:cs="Times New Roman"/>
          <w:color w:val="auto"/>
          <w:sz w:val="18"/>
        </w:rPr>
        <w:t>The intraday observation window is not constant across the full sample: most days contain 390 observations, while some periods contain approximately 405 or 960 observations and a small set of shortened days contain fewer.</w:t>
      </w:r>
    </w:p>
    <w:p w14:paraId="71FE0071">
      <w:pPr>
        <w:pStyle w:val="16"/>
        <w:spacing w:after="60" w:line="259" w:lineRule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Noto Sans CJK SC" w:cs="Times New Roman"/>
          <w:color w:val="auto"/>
          <w:sz w:val="18"/>
        </w:rPr>
        <w:t xml:space="preserve">Using the dominant common window 07:30-13:59 produces 3,320 complete 390-minute days (99.19% of all trading dates). </w:t>
      </w:r>
    </w:p>
    <w:p w14:paraId="0AA481BF">
      <w:pPr>
        <w:keepNext/>
        <w:spacing w:before="200" w:after="100"/>
        <w:rPr>
          <w:rFonts w:hint="default" w:ascii="Times New Roman" w:hAnsi="Times New Roman" w:cs="Times New Roman"/>
          <w:color w:val="auto"/>
        </w:rPr>
      </w:pPr>
      <w:r>
        <w:rPr>
          <w:rFonts w:hint="eastAsia" w:ascii="Times New Roman" w:hAnsi="Times New Roman" w:eastAsia="宋体" w:cs="Times New Roman"/>
          <w:b/>
          <w:color w:val="auto"/>
          <w:sz w:val="28"/>
          <w:lang w:val="en-US" w:eastAsia="zh-CN"/>
        </w:rPr>
        <w:t>3</w:t>
      </w:r>
      <w:r>
        <w:rPr>
          <w:rFonts w:hint="default" w:ascii="Times New Roman" w:hAnsi="Times New Roman" w:eastAsia="Noto Sans CJK SC" w:cs="Times New Roman"/>
          <w:b/>
          <w:color w:val="auto"/>
          <w:sz w:val="28"/>
        </w:rPr>
        <w:t>. Intraday Structure</w:t>
      </w:r>
    </w:p>
    <w:p w14:paraId="7A28BDAC">
      <w:pPr>
        <w:spacing w:before="60" w:after="40"/>
        <w:jc w:val="center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drawing>
          <wp:inline distT="0" distB="0" distL="114300" distR="114300">
            <wp:extent cx="5989320" cy="2994660"/>
            <wp:effectExtent l="0" t="0" r="1905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299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EC509">
      <w:pPr>
        <w:spacing w:before="40" w:after="160"/>
        <w:jc w:val="center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Noto Sans CJK SC" w:cs="Times New Roman"/>
          <w:i/>
          <w:color w:val="auto"/>
          <w:sz w:val="17"/>
        </w:rPr>
        <w:t>Figure 3. Average intraday volume over complete 390-minute days.</w:t>
      </w:r>
    </w:p>
    <w:p w14:paraId="06C69B4C">
      <w:pPr>
        <w:pStyle w:val="16"/>
        <w:spacing w:after="60" w:line="259" w:lineRule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Noto Sans CJK SC" w:cs="Times New Roman"/>
          <w:color w:val="auto"/>
          <w:sz w:val="19"/>
        </w:rPr>
        <w:t>Trading volume displays a clear U-shaped intraday pattern: activity is high near the beginning of the common window, lower through the middle, and rises sharply near the end.</w:t>
      </w:r>
    </w:p>
    <w:p w14:paraId="3CF4D847">
      <w:pPr>
        <w:spacing w:before="60" w:after="40"/>
        <w:jc w:val="center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drawing>
          <wp:inline distT="0" distB="0" distL="114300" distR="114300">
            <wp:extent cx="5989320" cy="2994660"/>
            <wp:effectExtent l="0" t="0" r="1905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299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06BE9">
      <w:pPr>
        <w:spacing w:before="40" w:after="160"/>
        <w:jc w:val="center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Noto Sans CJK SC" w:cs="Times New Roman"/>
          <w:i/>
          <w:color w:val="auto"/>
          <w:sz w:val="17"/>
        </w:rPr>
        <w:t>Figure 4. Mean absolute one-minute log return over complete 390-minute days.</w:t>
      </w:r>
    </w:p>
    <w:p w14:paraId="7240009B">
      <w:pPr>
        <w:pStyle w:val="16"/>
        <w:spacing w:after="60" w:line="259" w:lineRule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Noto Sans CJK SC" w:cs="Times New Roman"/>
          <w:color w:val="auto"/>
          <w:sz w:val="19"/>
        </w:rPr>
        <w:t>Absolute returns show a similar time-of-day pattern, with higher volatility near the beginning and end and lower volatility around the middle of the window.</w:t>
      </w:r>
    </w:p>
    <w:p w14:paraId="3A3B48BF">
      <w:pPr>
        <w:pStyle w:val="16"/>
        <w:spacing w:after="60" w:line="259" w:lineRule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Noto Sans CJK SC" w:cs="Times New Roman"/>
          <w:color w:val="auto"/>
          <w:sz w:val="19"/>
        </w:rPr>
        <w:t>These patterns provide preliminary evidence of strong intraday periodicity and support treating time-of-day structure explicitly in the forecasting representation.</w:t>
      </w:r>
    </w:p>
    <w:p w14:paraId="13E0A588">
      <w:pPr>
        <w:keepNext/>
        <w:spacing w:before="200" w:after="100"/>
        <w:rPr>
          <w:rFonts w:hint="default" w:ascii="Times New Roman" w:hAnsi="Times New Roman" w:cs="Times New Roman"/>
          <w:color w:val="auto"/>
        </w:rPr>
      </w:pPr>
      <w:r>
        <w:rPr>
          <w:rFonts w:hint="eastAsia" w:ascii="Times New Roman" w:hAnsi="Times New Roman" w:eastAsia="宋体" w:cs="Times New Roman"/>
          <w:b/>
          <w:color w:val="auto"/>
          <w:sz w:val="28"/>
          <w:lang w:val="en-US" w:eastAsia="zh-CN"/>
        </w:rPr>
        <w:t>4. Volatility</w:t>
      </w:r>
    </w:p>
    <w:p w14:paraId="60FAFD64">
      <w:pPr>
        <w:spacing w:before="60" w:after="40"/>
        <w:jc w:val="center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drawing>
          <wp:inline distT="0" distB="0" distL="114300" distR="114300">
            <wp:extent cx="5989320" cy="2994660"/>
            <wp:effectExtent l="0" t="0" r="1905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299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248E5">
      <w:pPr>
        <w:spacing w:before="40" w:after="160"/>
        <w:jc w:val="center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Noto Sans CJK SC" w:cs="Times New Roman"/>
          <w:i/>
          <w:color w:val="auto"/>
          <w:sz w:val="17"/>
        </w:rPr>
        <w:t>Figure 5. Daily realised volatility calculated from one-minute returns in the common window.</w:t>
      </w:r>
    </w:p>
    <w:p w14:paraId="2500ECBC">
      <w:pPr>
        <w:pStyle w:val="16"/>
        <w:spacing w:after="60" w:line="259" w:lineRule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Noto Sans CJK SC" w:cs="Times New Roman"/>
          <w:color w:val="auto"/>
          <w:sz w:val="19"/>
        </w:rPr>
        <w:t>Realised volatility exhibits clear clustering: high-volatility periods tend to persist, with especially large spikes around 2008-2009 and 2020.</w:t>
      </w:r>
    </w:p>
    <w:p w14:paraId="6BDB18B0">
      <w:pPr>
        <w:keepNext/>
        <w:spacing w:before="200" w:after="100"/>
        <w:rPr>
          <w:rFonts w:hint="default" w:ascii="Times New Roman" w:hAnsi="Times New Roman" w:cs="Times New Roman"/>
          <w:color w:val="auto"/>
        </w:rPr>
      </w:pPr>
      <w:r>
        <w:rPr>
          <w:rFonts w:hint="eastAsia" w:ascii="Times New Roman" w:hAnsi="Times New Roman" w:eastAsia="宋体" w:cs="Times New Roman"/>
          <w:b/>
          <w:color w:val="auto"/>
          <w:sz w:val="28"/>
          <w:lang w:val="en-US" w:eastAsia="zh-CN"/>
        </w:rPr>
        <w:t>5</w:t>
      </w:r>
      <w:r>
        <w:rPr>
          <w:rFonts w:hint="default" w:ascii="Times New Roman" w:hAnsi="Times New Roman" w:eastAsia="Noto Sans CJK SC" w:cs="Times New Roman"/>
          <w:b/>
          <w:color w:val="auto"/>
          <w:sz w:val="28"/>
        </w:rPr>
        <w:t>. Candidate Data Representations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88"/>
        <w:gridCol w:w="4680"/>
      </w:tblGrid>
      <w:tr w14:paraId="02908F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088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44118E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Noto Sans CJK SC" w:cs="Times New Roman"/>
                <w:b/>
                <w:color w:val="auto"/>
                <w:sz w:val="16"/>
              </w:rPr>
              <w:t>Candidate</w:t>
            </w:r>
          </w:p>
        </w:tc>
        <w:tc>
          <w:tcPr>
            <w:tcW w:w="468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637506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Noto Sans CJK SC" w:cs="Times New Roman"/>
                <w:b/>
                <w:color w:val="auto"/>
                <w:sz w:val="16"/>
                <w:shd w:val="clear"/>
              </w:rPr>
              <w:t>Why it fits the data</w:t>
            </w:r>
          </w:p>
        </w:tc>
      </w:tr>
      <w:tr w14:paraId="70268F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88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4B76DA7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Noto Sans CJK SC" w:cs="Times New Roman"/>
                <w:color w:val="auto"/>
                <w:sz w:val="16"/>
              </w:rPr>
              <w:t>High-frequency time series</w:t>
            </w:r>
          </w:p>
        </w:tc>
        <w:tc>
          <w:tcPr>
            <w:tcW w:w="468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ADF046F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Noto Sans CJK SC" w:cs="Times New Roman"/>
                <w:color w:val="auto"/>
                <w:sz w:val="16"/>
              </w:rPr>
              <w:t>The raw data are observed at one-minute frequency and exhibit strong time-of-day effects.</w:t>
            </w:r>
          </w:p>
        </w:tc>
      </w:tr>
      <w:tr w14:paraId="34BBFE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88" w:type="dxa"/>
            <w:shd w:val="clear" w:color="auto" w:fill="FFFF00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60E0E53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color w:val="auto"/>
                <w:highlight w:val="none"/>
              </w:rPr>
            </w:pPr>
            <w:r>
              <w:rPr>
                <w:rFonts w:hint="default" w:ascii="Times New Roman" w:hAnsi="Times New Roman" w:eastAsia="Noto Sans CJK SC" w:cs="Times New Roman"/>
                <w:color w:val="auto"/>
                <w:sz w:val="16"/>
                <w:highlight w:val="none"/>
              </w:rPr>
              <w:t>Functional time series</w:t>
            </w:r>
          </w:p>
        </w:tc>
        <w:tc>
          <w:tcPr>
            <w:tcW w:w="4680" w:type="dxa"/>
            <w:shd w:val="clear" w:color="auto" w:fill="FFFF00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7B405F2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color w:val="auto"/>
                <w:highlight w:val="none"/>
              </w:rPr>
            </w:pPr>
            <w:r>
              <w:rPr>
                <w:rFonts w:hint="default" w:ascii="Times New Roman" w:hAnsi="Times New Roman" w:eastAsia="Noto Sans CJK SC" w:cs="Times New Roman"/>
                <w:color w:val="auto"/>
                <w:sz w:val="16"/>
                <w:highlight w:val="none"/>
              </w:rPr>
              <w:t>Each complete trading day can be represented as a 390-point intraday curve; 3,320 complete curves are available.</w:t>
            </w:r>
          </w:p>
        </w:tc>
      </w:tr>
      <w:tr w14:paraId="4B0273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88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1EE8136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Noto Sans CJK SC" w:cs="Times New Roman"/>
                <w:color w:val="auto"/>
                <w:sz w:val="16"/>
              </w:rPr>
              <w:t>Multivariate / regression time series</w:t>
            </w:r>
          </w:p>
        </w:tc>
        <w:tc>
          <w:tcPr>
            <w:tcW w:w="468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8F3CDFF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Noto Sans CJK SC" w:cs="Times New Roman"/>
                <w:color w:val="auto"/>
                <w:sz w:val="16"/>
              </w:rPr>
              <w:t>OHLC, volume, trade count and average/VWAP-related information can be used jointly or as explanatory variables.</w:t>
            </w:r>
          </w:p>
        </w:tc>
      </w:tr>
    </w:tbl>
    <w:p w14:paraId="4DB6F393">
      <w:pPr>
        <w:spacing w:after="0"/>
        <w:rPr>
          <w:rFonts w:hint="default" w:ascii="Times New Roman" w:hAnsi="Times New Roman" w:cs="Times New Roman"/>
          <w:color w:val="auto"/>
        </w:rPr>
      </w:pPr>
    </w:p>
    <w:p w14:paraId="438C5DC4">
      <w:pPr>
        <w:spacing w:after="60" w:line="259" w:lineRule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Noto Sans CJK SC" w:cs="Times New Roman"/>
          <w:color w:val="auto"/>
          <w:sz w:val="19"/>
        </w:rPr>
        <w:t>The functional/high-frequency route is the leading candidate, but the final decision should follow the Week 2 literature review and clarification of the forecasting target and horizon.</w:t>
      </w:r>
      <w:bookmarkStart w:id="0" w:name="_GoBack"/>
      <w:bookmarkEnd w:id="0"/>
    </w:p>
    <w:sectPr>
      <w:footerReference r:id="rId5" w:type="default"/>
      <w:pgSz w:w="11906" w:h="16838"/>
      <w:pgMar w:top="850" w:right="879" w:bottom="850" w:left="879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ans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50A26E">
    <w:pPr>
      <w:pStyle w:val="24"/>
      <w:jc w:val="center"/>
    </w:pPr>
    <w:r>
      <w:rPr>
        <w:rFonts w:ascii="Noto Sans CJK SC" w:hAnsi="Noto Sans CJK SC" w:eastAsia="Noto Sans CJK SC"/>
        <w:color w:val="666666"/>
        <w:sz w:val="15"/>
      </w:rPr>
      <w:t>UNSW MATH5925/MATH5926  |  Week 1 Group Meeting Update / 第一周组会进展汇报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6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E2A2759"/>
    <w:rsid w:val="29714C5D"/>
    <w:rsid w:val="40573164"/>
    <w:rsid w:val="50B11178"/>
    <w:rsid w:val="594C6863"/>
    <w:rsid w:val="5B8073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Noto Sans CJK SC" w:hAnsi="Noto Sans CJK SC" w:eastAsia="Noto Sans CJK SC" w:cstheme="minorBidi"/>
      <w:sz w:val="20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numbering" Target="numbering.xml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420</Words>
  <Characters>2408</Characters>
  <Lines>0</Lines>
  <Paragraphs>0</Paragraphs>
  <TotalTime>17</TotalTime>
  <ScaleCrop>false</ScaleCrop>
  <LinksUpToDate>false</LinksUpToDate>
  <CharactersWithSpaces>2762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恓惶书生</cp:lastModifiedBy>
  <dcterms:modified xsi:type="dcterms:W3CDTF">2026-09-19T14:14:11Z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eyJoZGlkIjoiZDBlNjFlYWRhOGI2NTIzNDkwNmRhNDgzZDBhZDYyOGEiLCJ1c2VySWQiOiI0MzY4NjA0MzUifQ==</vt:lpwstr>
  </property>
  <property fmtid="{D5CDD505-2E9C-101B-9397-08002B2CF9AE}" pid="3" name="KSOProductBuildVer">
    <vt:lpwstr>2052-12.1.0.28505</vt:lpwstr>
  </property>
  <property fmtid="{D5CDD505-2E9C-101B-9397-08002B2CF9AE}" pid="4" name="ICV">
    <vt:lpwstr>5912B84264B2459C90FA39DB16F104B0_12</vt:lpwstr>
  </property>
</Properties>
</file>