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10B512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  <w:lang w:val="en-US" w:eastAsia="zh-CN"/>
        </w:rPr>
        <w:t>1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Dataset Overview and Data-Quality Findings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160"/>
        <w:gridCol w:w="2592"/>
        <w:gridCol w:w="2016"/>
      </w:tblGrid>
      <w:tr w14:paraId="15E7F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ADD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9E0F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9F4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44F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</w:tr>
      <w:tr w14:paraId="48A14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D3063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observations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C72A4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2,070,834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2527AC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columns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E0420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9</w:t>
            </w:r>
          </w:p>
        </w:tc>
      </w:tr>
      <w:tr w14:paraId="5379E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C5730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Date range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CF435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22 Jan 2008 - 6 May 2021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7CA42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Trading dates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032FE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3,347</w:t>
            </w:r>
          </w:p>
        </w:tc>
      </w:tr>
      <w:tr w14:paraId="03F79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658F1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Conventional missing values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3E60A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8C404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Duplicate market rows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85CA7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638,054</w:t>
            </w:r>
          </w:p>
        </w:tc>
      </w:tr>
      <w:tr w14:paraId="0AF8B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C51C8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Rows after duplicate removal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E970D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1,432,780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2DC540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Backward time jumps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5BAD0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2,443</w:t>
            </w:r>
          </w:p>
        </w:tc>
      </w:tr>
      <w:tr w14:paraId="5DFA9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56DD4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Invalid HIGH / LOW rows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94C2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 / 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2A2C3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VWAP outside HIGH-LOW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B7BB8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4</w:t>
            </w:r>
          </w:p>
        </w:tc>
      </w:tr>
      <w:tr w14:paraId="4F287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A2965F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Complete 390-minute days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4D9D8E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3,320 (99.19%)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D2B0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DEE6A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</w:tr>
    </w:tbl>
    <w:p w14:paraId="37FAB8CA">
      <w:pPr>
        <w:spacing w:after="0"/>
        <w:rPr>
          <w:rFonts w:hint="default" w:ascii="Times New Roman" w:hAnsi="Times New Roman" w:cs="Times New Roman"/>
          <w:color w:val="auto"/>
        </w:rPr>
      </w:pPr>
    </w:p>
    <w:p w14:paraId="700F3596">
      <w:pPr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file contains no conventional NA values, but it is not analysis-ready. Duplicate observations and chronological ordering must be corrected before return or forecasting calculations.</w:t>
      </w:r>
    </w:p>
    <w:p w14:paraId="460C5831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2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Temporal Coverage and Price-Level Behaviour</w:t>
      </w:r>
    </w:p>
    <w:p w14:paraId="205E40F1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1F05B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1. SPY price level using the last price in the common observation window.</w:t>
      </w:r>
    </w:p>
    <w:p w14:paraId="0A465423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price level shows a pronounced long-run upward trend with large drawdowns, especially around 2008-2009 and 2020.</w:t>
      </w:r>
    </w:p>
    <w:p w14:paraId="0A99BEEA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bookmarkStart w:id="0" w:name="_GoBack"/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CCF8C4A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2. Number of one-minute observations recorded on each trading date.</w:t>
      </w:r>
    </w:p>
    <w:p w14:paraId="3BFD3DC2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>The intraday observation window is not constant across the full sample: most days contain 390 observations, while some periods contain approximately 405 or 960 observations and a small set of shortened days contain fewer.</w:t>
      </w:r>
    </w:p>
    <w:p w14:paraId="71FE0071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 xml:space="preserve">Using the dominant common window 07:30-13:59 produces 3,320 complete 390-minute days (99.19% of all trading dates). </w:t>
      </w:r>
    </w:p>
    <w:p w14:paraId="0AA481BF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3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Intraday Structure</w:t>
      </w:r>
    </w:p>
    <w:p w14:paraId="7A28BDAC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C50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3. Average intraday volume over complete 390-minute days.</w:t>
      </w:r>
    </w:p>
    <w:p w14:paraId="06C69B4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Trading volume displays a clear U-shaped intraday pattern: activity is high near the beginning of the common window, lower through the middle, and rises sharply near the end.</w:t>
      </w:r>
    </w:p>
    <w:p w14:paraId="3CF4D847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6BE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4. Mean absolute one-minute log return over complete 390-minute days.</w:t>
      </w:r>
    </w:p>
    <w:p w14:paraId="7240009B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Absolute returns show a similar time-of-day pattern, with higher volatility near the beginning and end and lower volatility around the middle of the window.</w:t>
      </w:r>
    </w:p>
    <w:p w14:paraId="3A3B48BF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These patterns provide preliminary evidence of strong intraday periodicity and support treating time-of-day structure explicitly in the forecasting representation.</w:t>
      </w:r>
    </w:p>
    <w:p w14:paraId="13E0A588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4. Volatility</w:t>
      </w:r>
    </w:p>
    <w:p w14:paraId="60FAFD64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48E5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5. Daily realised volatility calculated from one-minute returns in the common window.</w:t>
      </w:r>
    </w:p>
    <w:p w14:paraId="2500ECB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Realised volatility exhibits clear clustering: high-volatility periods tend to persist, with especially large spikes around 2008-2009 and 2020.</w:t>
      </w:r>
    </w:p>
    <w:p w14:paraId="6BDB18B0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5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Candidate Data Representations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4680"/>
      </w:tblGrid>
      <w:tr w14:paraId="02908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4118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Candidate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3750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  <w:shd w:val="clear"/>
              </w:rPr>
              <w:t>Why it fits the data</w:t>
            </w:r>
          </w:p>
        </w:tc>
      </w:tr>
      <w:tr w14:paraId="70268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4B76D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High-frequency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DF046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The raw data are observed at one-minute frequency and exhibit strong time-of-day effects.</w:t>
            </w:r>
          </w:p>
        </w:tc>
      </w:tr>
      <w:tr w14:paraId="34BBF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E0E5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Functional time series</w:t>
            </w:r>
          </w:p>
        </w:tc>
        <w:tc>
          <w:tcPr>
            <w:tcW w:w="4680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405F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Each complete trading day can be represented as a 390-point intraday curve; 3,320 complete curves are available.</w:t>
            </w:r>
          </w:p>
        </w:tc>
      </w:tr>
      <w:tr w14:paraId="4B02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EE81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Multivariate / regression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3CDF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OHLC, volume, trade count and average/VWAP-related information can be used jointly or as explanatory variables.</w:t>
            </w:r>
          </w:p>
        </w:tc>
      </w:tr>
    </w:tbl>
    <w:p w14:paraId="4DB6F393">
      <w:pPr>
        <w:spacing w:after="0"/>
        <w:rPr>
          <w:rFonts w:hint="default" w:ascii="Times New Roman" w:hAnsi="Times New Roman" w:cs="Times New Roman"/>
          <w:color w:val="auto"/>
        </w:rPr>
      </w:pPr>
    </w:p>
    <w:p w14:paraId="438C5DC4">
      <w:pPr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functional/high-frequency route is the leading candidate, but the final decision should follow the Week 2 literature review and clarification of the forecasting target and horizon.</w:t>
      </w:r>
    </w:p>
    <w:sectPr>
      <w:pgSz w:w="11906" w:h="16838"/>
      <w:pgMar w:top="850" w:right="879" w:bottom="850" w:left="879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A2759"/>
    <w:rsid w:val="29714C5D"/>
    <w:rsid w:val="40573164"/>
    <w:rsid w:val="50B11178"/>
    <w:rsid w:val="594C6863"/>
    <w:rsid w:val="5B8073B9"/>
    <w:rsid w:val="6E5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404</Words>
  <Characters>2392</Characters>
  <Lines>0</Lines>
  <Paragraphs>0</Paragraphs>
  <TotalTime>17</TotalTime>
  <ScaleCrop>false</ScaleCrop>
  <LinksUpToDate>false</LinksUpToDate>
  <CharactersWithSpaces>2744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恓惶书生</cp:lastModifiedBy>
  <dcterms:modified xsi:type="dcterms:W3CDTF">2026-09-19T14:16:34Z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eyJoZGlkIjoiZDBlNjFlYWRhOGI2NTIzNDkwNmRhNDgzZDBhZDYyOGEiLCJ1c2VySWQiOiI0MzY4NjA0MzUifQ==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5912B84264B2459C90FA39DB16F104B0_12</vt:lpwstr>
  </property>
</Properties>
</file>