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10B512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  <w:lang w:val="en-US" w:eastAsia="zh-CN"/>
        </w:rPr>
        <w:t>1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Dataset Overview and Data-Quality Findings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2160"/>
        <w:gridCol w:w="2592"/>
        <w:gridCol w:w="2016"/>
      </w:tblGrid>
      <w:tr w14:paraId="15E7F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8ADD3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Check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9E0F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Result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9F4C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Check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44F3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Result</w:t>
            </w:r>
          </w:p>
        </w:tc>
      </w:tr>
      <w:tr w14:paraId="48A14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DD3063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Raw observations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AC72A4A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2,070,834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2527AC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Raw columns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BE0420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9</w:t>
            </w:r>
          </w:p>
        </w:tc>
      </w:tr>
      <w:tr w14:paraId="5379E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C57301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Date range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BCF435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22 Jan 2008 - 6 May 2021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37CA42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Trading dates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6032FE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3,347</w:t>
            </w:r>
          </w:p>
        </w:tc>
      </w:tr>
      <w:tr w14:paraId="03F79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E658F1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Conventional missing values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3E60A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0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88C404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Duplicate market rows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485CA7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638,054</w:t>
            </w:r>
          </w:p>
        </w:tc>
      </w:tr>
      <w:tr w14:paraId="0AF8B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C51C8A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Rows after duplicate removal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7E970D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1,432,780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2DC540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Backward time jumps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5BAD03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2,443</w:t>
            </w:r>
          </w:p>
        </w:tc>
      </w:tr>
      <w:tr w14:paraId="5DFA9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856DD4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Invalid HIGH / LOW rows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394C23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0 / 0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A2A2C3B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VWAP outside HIGH-LOW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DB7BB8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4</w:t>
            </w:r>
          </w:p>
        </w:tc>
      </w:tr>
      <w:tr w14:paraId="4F287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A2965F9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Complete 390-minute days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4D9D8E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3,320 (99.19%)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D2B03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EDEE6A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</w:p>
        </w:tc>
      </w:tr>
    </w:tbl>
    <w:p w14:paraId="37FAB8CA">
      <w:pPr>
        <w:spacing w:after="0"/>
        <w:rPr>
          <w:rFonts w:hint="default" w:ascii="Times New Roman" w:hAnsi="Times New Roman" w:cs="Times New Roman"/>
          <w:color w:val="auto"/>
        </w:rPr>
      </w:pPr>
    </w:p>
    <w:p w14:paraId="700F3596">
      <w:pPr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 file contains no conventional NA values, but it is not analysis-ready. Duplicate observations and chronological ordering must be corrected before return or forecasting calculations.</w:t>
      </w:r>
    </w:p>
    <w:p w14:paraId="460C5831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2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Temporal Coverage and Price-Level Behaviour</w:t>
      </w:r>
    </w:p>
    <w:p w14:paraId="205E40F1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1F05B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1. SPY price level using the last price in the common observation window.</w:t>
      </w:r>
    </w:p>
    <w:p w14:paraId="0A465423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 price level shows a pronounced long-run upward trend with large drawdowns, especially around 2008-2009 and 2020.</w:t>
      </w:r>
    </w:p>
    <w:p w14:paraId="0A99BEEA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F8C4A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2. Number of one-minute observations recorded on each trading date.</w:t>
      </w:r>
    </w:p>
    <w:p w14:paraId="3BFD3DC2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8"/>
        </w:rPr>
        <w:t>The intraday observation window is not constant across the full sample: most days contain 390 observations, while some periods contain approximately 405 or 960 observations and a small set of shortened days contain fewer.</w:t>
      </w:r>
    </w:p>
    <w:p w14:paraId="71FE0071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8"/>
        </w:rPr>
        <w:t xml:space="preserve">Using the dominant common window 07:30-13:59 produces 3,320 complete 390-minute days (99.19% of all trading dates). </w:t>
      </w:r>
    </w:p>
    <w:p w14:paraId="0AA481BF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3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Intraday Structure</w:t>
      </w:r>
    </w:p>
    <w:p w14:paraId="7A28BDAC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C509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3. Average intraday volume over complete 390-minute days.</w:t>
      </w:r>
    </w:p>
    <w:p w14:paraId="06C69B4C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Trading volume displays a clear U-shaped intraday pattern: activity is high near the beginning of the common window, lower through the middle, and rises sharply near the end.</w:t>
      </w:r>
    </w:p>
    <w:p w14:paraId="3CF4D847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06BE9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4. Mean absolute one-minute log return over complete 390-minute days.</w:t>
      </w:r>
    </w:p>
    <w:p w14:paraId="7240009B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Absolute returns show a similar time-of-day pattern, with higher volatility near the beginning and end and lower volatility around the middle of the window.</w:t>
      </w:r>
    </w:p>
    <w:p w14:paraId="3A3B48BF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These patterns provide preliminary evidence of strong intraday periodicity and support treating time-of-day structure explicitly in the forecasting representation.</w:t>
      </w:r>
    </w:p>
    <w:p w14:paraId="13E0A588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4. Volatility / 波动率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</w:r>
    </w:p>
    <w:p w14:paraId="60FAFD64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48E5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5. Daily realised volatility calculated from one-minute returns in the common window.</w:t>
      </w:r>
    </w:p>
    <w:p w14:paraId="2500ECBC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Realised volatility exhibits clear clustering: high-volatility periods tend to persist, with especially large spikes around 2008-2009 and 2020.</w:t>
      </w:r>
    </w:p>
    <w:p w14:paraId="6BDB18B0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5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Candidate Data Representations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8"/>
        <w:gridCol w:w="4680"/>
      </w:tblGrid>
      <w:tr w14:paraId="02908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44118E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Candidate</w:t>
            </w: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br w:type="textWrapping"/>
            </w: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候选结构</w:t>
            </w:r>
          </w:p>
        </w:tc>
        <w:tc>
          <w:tcPr>
            <w:tcW w:w="4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3750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  <w:shd w:val="clear"/>
              </w:rPr>
              <w:t>Why it fits the data</w:t>
            </w: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  <w:shd w:val="clear"/>
              </w:rPr>
              <w:br w:type="textWrapping"/>
            </w: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  <w:shd w:val="clear"/>
              </w:rPr>
              <w:t>为什么适合该数据</w:t>
            </w:r>
          </w:p>
        </w:tc>
      </w:tr>
      <w:tr w14:paraId="70268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4B76DA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High-frequency time series</w:t>
            </w:r>
          </w:p>
        </w:tc>
        <w:tc>
          <w:tcPr>
            <w:tcW w:w="4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ADF046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The raw data are observed at one-minute frequency and exhibit strong time-of-day effects.</w:t>
            </w:r>
          </w:p>
        </w:tc>
      </w:tr>
      <w:tr w14:paraId="34BBF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FFF00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60E0E5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  <w:highlight w:val="none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  <w:highlight w:val="none"/>
              </w:rPr>
              <w:t>Functional time series</w:t>
            </w:r>
          </w:p>
        </w:tc>
        <w:tc>
          <w:tcPr>
            <w:tcW w:w="4680" w:type="dxa"/>
            <w:shd w:val="clear" w:color="auto" w:fill="FFFF00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B405F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  <w:highlight w:val="none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  <w:highlight w:val="none"/>
              </w:rPr>
              <w:t>Each complete trading day can be represented as a 390-point intraday curve; 3,320 complete curves are available.</w:t>
            </w:r>
          </w:p>
        </w:tc>
      </w:tr>
      <w:tr w14:paraId="4B027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1EE813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Multivariate / regression time series</w:t>
            </w:r>
          </w:p>
        </w:tc>
        <w:tc>
          <w:tcPr>
            <w:tcW w:w="4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8F3CDF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OHLC, volume, trade count and average/VWAP-related information can be used jointly or as explanatory variables.</w:t>
            </w:r>
          </w:p>
        </w:tc>
      </w:tr>
    </w:tbl>
    <w:p w14:paraId="4DB6F393">
      <w:pPr>
        <w:spacing w:after="0"/>
        <w:rPr>
          <w:rFonts w:hint="default" w:ascii="Times New Roman" w:hAnsi="Times New Roman" w:cs="Times New Roman"/>
          <w:color w:val="auto"/>
        </w:rPr>
      </w:pPr>
    </w:p>
    <w:p w14:paraId="438C5DC4">
      <w:pPr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 functional/high-frequency route is the leading candidate, but the final decision should follow the Week 2 literature review and clarification of the forecasting</w:t>
      </w:r>
      <w:bookmarkStart w:id="0" w:name="_GoBack"/>
      <w:bookmarkEnd w:id="0"/>
      <w:r>
        <w:rPr>
          <w:rFonts w:hint="default" w:ascii="Times New Roman" w:hAnsi="Times New Roman" w:eastAsia="Noto Sans CJK SC" w:cs="Times New Roman"/>
          <w:color w:val="auto"/>
          <w:sz w:val="19"/>
        </w:rPr>
        <w:t xml:space="preserve"> target and horizon.</w:t>
      </w:r>
    </w:p>
    <w:sectPr>
      <w:footerReference r:id="rId5" w:type="default"/>
      <w:pgSz w:w="11906" w:h="16838"/>
      <w:pgMar w:top="850" w:right="879" w:bottom="850" w:left="879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50A26E">
    <w:pPr>
      <w:pStyle w:val="24"/>
      <w:jc w:val="center"/>
    </w:pPr>
    <w:r>
      <w:rPr>
        <w:rFonts w:ascii="Noto Sans CJK SC" w:hAnsi="Noto Sans CJK SC" w:eastAsia="Noto Sans CJK SC"/>
        <w:color w:val="666666"/>
        <w:sz w:val="15"/>
      </w:rPr>
      <w:t>UNSW MATH5925/MATH5926  |  Week 1 Group Meeting Update / 第一周组会进展汇报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E2A2759"/>
    <w:rsid w:val="29714C5D"/>
    <w:rsid w:val="40573164"/>
    <w:rsid w:val="50B11178"/>
    <w:rsid w:val="594C6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Noto Sans CJK SC" w:hAnsi="Noto Sans CJK SC" w:eastAsia="Noto Sans CJK SC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984</Words>
  <Characters>2775</Characters>
  <Lines>0</Lines>
  <Paragraphs>0</Paragraphs>
  <TotalTime>17</TotalTime>
  <ScaleCrop>false</ScaleCrop>
  <LinksUpToDate>false</LinksUpToDate>
  <CharactersWithSpaces>3092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恓惶书生</cp:lastModifiedBy>
  <dcterms:modified xsi:type="dcterms:W3CDTF">2026-09-19T13:08:44Z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eyJoZGlkIjoiZDBlNjFlYWRhOGI2NTIzNDkwNmRhNDgzZDBhZDYyOGEiLCJ1c2VySWQiOiI0MzY4NjA0MzUifQ==</vt:lpwstr>
  </property>
  <property fmtid="{D5CDD505-2E9C-101B-9397-08002B2CF9AE}" pid="3" name="KSOProductBuildVer">
    <vt:lpwstr>2052-12.1.0.28505</vt:lpwstr>
  </property>
  <property fmtid="{D5CDD505-2E9C-101B-9397-08002B2CF9AE}" pid="4" name="ICV">
    <vt:lpwstr>5912B84264B2459C90FA39DB16F104B0_12</vt:lpwstr>
  </property>
</Properties>
</file>