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10B512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  <w:lang w:val="en-US" w:eastAsia="zh-CN"/>
        </w:rPr>
        <w:t>1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Dataset Overview and Data-Quality Findings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2160"/>
        <w:gridCol w:w="2592"/>
        <w:gridCol w:w="2016"/>
      </w:tblGrid>
      <w:tr w14:paraId="15E7F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8ADD3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Check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9E0F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Result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9F4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Check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44F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Result</w:t>
            </w:r>
          </w:p>
        </w:tc>
      </w:tr>
      <w:tr w14:paraId="48A14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D3063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Raw observations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C72A4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2,070,834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2527AC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Raw columns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E0420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9</w:t>
            </w:r>
          </w:p>
        </w:tc>
      </w:tr>
      <w:tr w14:paraId="5379E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C5730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Date range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CF435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22 Jan 2008 - 6 May 2021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37CA42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Trading dates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6032FE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3,347</w:t>
            </w:r>
          </w:p>
        </w:tc>
      </w:tr>
      <w:tr w14:paraId="03F79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E658F1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Conventional missing values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3E60A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88C404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Duplicate market rows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85CA7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638,054</w:t>
            </w:r>
          </w:p>
        </w:tc>
      </w:tr>
      <w:tr w14:paraId="0AF8B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C51C8A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Rows after duplicate removal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7E970D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1,432,780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2DC540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Backward time jumps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5BAD0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2,443</w:t>
            </w:r>
          </w:p>
        </w:tc>
      </w:tr>
      <w:tr w14:paraId="5DFA9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856DD4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Invalid HIGH / LOW rows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94C23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0 / 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2A2C3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VWAP outside HIGH-LOW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B7BB8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4</w:t>
            </w:r>
          </w:p>
        </w:tc>
      </w:tr>
      <w:tr w14:paraId="4F287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A2965F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Complete 390-minute days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4D9D8E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3,320 (99.19%)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D2B03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EDEE6A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</w:tr>
    </w:tbl>
    <w:p w14:paraId="37FAB8CA">
      <w:pPr>
        <w:spacing w:after="0"/>
        <w:rPr>
          <w:rFonts w:hint="default" w:ascii="Times New Roman" w:hAnsi="Times New Roman" w:cs="Times New Roman"/>
          <w:color w:val="auto"/>
        </w:rPr>
      </w:pPr>
    </w:p>
    <w:p w14:paraId="700F3596">
      <w:pPr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file contains no conventional NA values, but it is not analysis-ready. Duplicate observations and chronological ordering must be corrected before return or forecasting calculations.</w:t>
      </w:r>
    </w:p>
    <w:p w14:paraId="460C5831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2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Temporal Coverage and Price-Level Behaviour</w:t>
      </w:r>
    </w:p>
    <w:p w14:paraId="205E40F1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1F05B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1. SPY price level using the last price in the common observation window.</w:t>
      </w:r>
    </w:p>
    <w:p w14:paraId="0A465423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price level shows a pronounced long-run upward trend with large drawdowns, especially around 2008-2009 and 2020.</w:t>
      </w:r>
    </w:p>
    <w:p w14:paraId="0A99BEEA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F8C4A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2. Number of one-minute observations recorded on each trading date.</w:t>
      </w:r>
    </w:p>
    <w:p w14:paraId="3BFD3DC2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>The intraday observation window is not constant across the full sample: most days contain 390 observations, while some periods contain approximately 405 or 960 observations and a small set of shortened days contain fewer.</w:t>
      </w:r>
    </w:p>
    <w:p w14:paraId="71FE0071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 xml:space="preserve">Using the dominant common window 07:30-13:59 produces 3,320 complete 390-minute days (99.19% of all trading dates). </w:t>
      </w:r>
    </w:p>
    <w:p w14:paraId="0AA481BF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3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Intraday Structure</w:t>
      </w:r>
    </w:p>
    <w:p w14:paraId="7A28BDAC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C509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3. Average intraday volume over complete 390-minute days.</w:t>
      </w:r>
    </w:p>
    <w:p w14:paraId="06C69B4C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Trading volume displays a clear U-shaped intraday pattern: activity is high near the beginning of the common window, lower through the middle, and rises sharply near the end.</w:t>
      </w:r>
    </w:p>
    <w:p w14:paraId="3CF4D847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6BE9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4. Mean absolute one-minute log return over complete 390-minute days.</w:t>
      </w:r>
    </w:p>
    <w:p w14:paraId="7240009B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Absolute returns show a similar time-of-day pattern, with higher volatility near the beginning and end and lower volatility around the middle of the window.</w:t>
      </w:r>
    </w:p>
    <w:p w14:paraId="3A3B48BF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These patterns provide preliminary evidence of strong intraday periodicity and support treating time-of-day structure explicitly in the forecasting representation.</w:t>
      </w:r>
    </w:p>
    <w:p w14:paraId="13E0A588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4. Volatility</w:t>
      </w:r>
    </w:p>
    <w:p w14:paraId="60FAFD64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48E5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5. Daily realised volatility calculated from one-minute returns in the common window.</w:t>
      </w:r>
    </w:p>
    <w:p w14:paraId="2500ECBC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Realised volatility exhibits clear clustering: high-volatility periods tend to persist, with especially large spikes around 2008-2009 and 2020.</w:t>
      </w:r>
    </w:p>
    <w:p w14:paraId="6BDB18B0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5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Candidate Data Representations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8"/>
        <w:gridCol w:w="4680"/>
      </w:tblGrid>
      <w:tr w14:paraId="02908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4118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Candidate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3750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  <w:shd w:val="clear"/>
              </w:rPr>
              <w:t>Why it fits the data</w:t>
            </w:r>
          </w:p>
        </w:tc>
      </w:tr>
      <w:tr w14:paraId="70268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4B76DA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High-frequency time series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DF046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The raw data are observed at one-minute frequency and exhibit strong time-of-day effects.</w:t>
            </w:r>
          </w:p>
        </w:tc>
      </w:tr>
      <w:tr w14:paraId="34BBF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0E0E5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  <w:highlight w:val="none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  <w:highlight w:val="none"/>
              </w:rPr>
              <w:t>Functional time series</w:t>
            </w:r>
          </w:p>
        </w:tc>
        <w:tc>
          <w:tcPr>
            <w:tcW w:w="4680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B405F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  <w:highlight w:val="none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  <w:highlight w:val="none"/>
              </w:rPr>
              <w:t>Each complete trading day can be represented as a 390-point intraday curve; 3,320 complete curves are available.</w:t>
            </w:r>
          </w:p>
        </w:tc>
      </w:tr>
      <w:tr w14:paraId="4B027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1EE813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Multivariate / regression time series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F3CDF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OHLC, volume, trade count and average/VWAP-related information can be used jointly or as explanatory variables.</w:t>
            </w:r>
          </w:p>
        </w:tc>
      </w:tr>
    </w:tbl>
    <w:p w14:paraId="4DB6F393">
      <w:pPr>
        <w:spacing w:after="0"/>
        <w:rPr>
          <w:rFonts w:hint="default" w:ascii="Times New Roman" w:hAnsi="Times New Roman" w:cs="Times New Roman"/>
          <w:color w:val="auto"/>
        </w:rPr>
      </w:pPr>
    </w:p>
    <w:p w14:paraId="438C5DC4">
      <w:pPr>
        <w:spacing w:after="60" w:line="259" w:lineRule="auto"/>
        <w:rPr>
          <w:rFonts w:hint="eastAsia" w:ascii="Times New Roman" w:hAnsi="Times New Roman" w:eastAsia="宋体" w:cs="Times New Roman"/>
          <w:color w:val="auto"/>
          <w:lang w:val="en-US" w:eastAsia="zh-CN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functional/high-frequency route is the leading candidate</w:t>
      </w:r>
      <w:r>
        <w:rPr>
          <w:rFonts w:hint="eastAsia" w:ascii="Times New Roman" w:hAnsi="Times New Roman" w:eastAsia="宋体" w:cs="Times New Roman"/>
          <w:color w:val="auto"/>
          <w:sz w:val="19"/>
          <w:lang w:val="en-US" w:eastAsia="zh-CN"/>
        </w:rPr>
        <w:t>.</w:t>
      </w:r>
      <w:bookmarkStart w:id="0" w:name="_GoBack"/>
      <w:bookmarkEnd w:id="0"/>
    </w:p>
    <w:sectPr>
      <w:pgSz w:w="11906" w:h="16838"/>
      <w:pgMar w:top="850" w:right="879" w:bottom="850" w:left="879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A2759"/>
    <w:rsid w:val="29714C5D"/>
    <w:rsid w:val="3C4600C2"/>
    <w:rsid w:val="40573164"/>
    <w:rsid w:val="50B11178"/>
    <w:rsid w:val="594C6863"/>
    <w:rsid w:val="5B8073B9"/>
    <w:rsid w:val="6CD66A26"/>
    <w:rsid w:val="6E5F6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SC" w:hAnsi="Noto Sans CJK SC" w:eastAsia="Noto Sans CJK SC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404</Words>
  <Characters>2392</Characters>
  <Lines>0</Lines>
  <Paragraphs>0</Paragraphs>
  <TotalTime>17</TotalTime>
  <ScaleCrop>false</ScaleCrop>
  <LinksUpToDate>false</LinksUpToDate>
  <CharactersWithSpaces>2744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恓惶书生</cp:lastModifiedBy>
  <dcterms:modified xsi:type="dcterms:W3CDTF">2026-09-20T03:59:53Z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eyJoZGlkIjoiZDBlNjFlYWRhOGI2NTIzNDkwNmRhNDgzZDBhZDYyOGEiLCJ1c2VySWQiOiI0MzY4NjA0MzUifQ==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5912B84264B2459C90FA39DB16F104B0_12</vt:lpwstr>
  </property>
</Properties>
</file>