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1A1A"/>
          <w:sz w:val="36"/>
        </w:rPr>
        <w:t>GFI Flavor Intelligence — Picture of Success &amp; Roadmap</w:t>
      </w:r>
    </w:p>
    <w:p>
      <w:pPr>
        <w:spacing w:after="160"/>
        <w:jc w:val="center"/>
      </w:pPr>
      <w:r>
        <w:rPr>
          <w:i/>
          <w:color w:val="555555"/>
          <w:sz w:val="20"/>
        </w:rPr>
        <w:t>From a research database to a knowledge platform that empowers every food decision</w:t>
      </w:r>
    </w:p>
    <w:p>
      <w:pPr>
        <w:spacing w:before="120" w:after="60"/>
      </w:pPr>
      <w:r>
        <w:rPr>
          <w:b/>
          <w:color w:val="1F4E79"/>
          <w:sz w:val="24"/>
        </w:rPr>
        <w:t>The Picture of Success</w:t>
      </w:r>
    </w:p>
    <w:p>
      <w:pPr>
        <w:spacing w:after="80" w:line="276" w:lineRule="auto"/>
      </w:pPr>
      <w:r>
        <w:rPr>
          <w:color w:val="1A1A1A"/>
          <w:sz w:val="21"/>
        </w:rPr>
        <w:t>When the project is mature, the GFI Flavor Intelligence platform is the place anyone — from a curious home cook to the most experienced flavor chemist — turns to before they make a decision about food. The most novel academic researcher and the simplest chef both ask it questions in their own language and get answers grounded in the same underlying chemistry, sensory science, and peer-reviewed literature. It bridges intuition and rigor: the kitchen learns what the lab knows, and the lab gains a channel to the practitioners whose work depends on the science.</w:t>
      </w:r>
    </w:p>
    <w:p>
      <w:pPr>
        <w:spacing w:after="80" w:line="276" w:lineRule="auto"/>
      </w:pPr>
      <w:r>
        <w:rPr>
          <w:color w:val="1A1A1A"/>
          <w:sz w:val="21"/>
        </w:rPr>
        <w:t>Concretely, success looks like a single platform — accessible through a web app, a mobile companion, and an API — that fluently translates between sensory experience, molecular chemistry, processing conditions, and the human network of experts. A user can describe a flavor they want, ask why something tastes off, request a comparison between two products, or trace a research lineage; in every case the platform returns answers rooted in our connected database of molecules, odours, sensory attributes, claims, papers, ingredients, reactions, processes, experts, and product contexts. Each decision a user makes — whether to formulate, publish, source, invest, cook, or teach — becomes faster, better-informed, and more reproducible.</w:t>
      </w:r>
    </w:p>
    <w:p>
      <w:pPr>
        <w:spacing w:before="120" w:after="60"/>
      </w:pPr>
      <w:r>
        <w:rPr>
          <w:b/>
          <w:color w:val="1F4E79"/>
          <w:sz w:val="24"/>
        </w:rPr>
        <w:t>Roadmap — The Realms We Conquer</w:t>
      </w:r>
    </w:p>
    <w:p>
      <w:pPr>
        <w:spacing w:before="120" w:after="20"/>
      </w:pPr>
      <w:r>
        <w:rPr>
          <w:b/>
          <w:color w:val="1F4E79"/>
          <w:sz w:val="22"/>
        </w:rPr>
        <w:t>Realm 1 — The Foundation</w:t>
      </w:r>
    </w:p>
    <w:p>
      <w:pPr>
        <w:spacing w:after="40"/>
      </w:pPr>
      <w:r>
        <w:rPr>
          <w:i/>
          <w:color w:val="555555"/>
          <w:sz w:val="19"/>
        </w:rPr>
        <w:t>Built. The relational atlas of what we already know.</w:t>
      </w:r>
    </w:p>
    <w:p>
      <w:pPr>
        <w:pStyle w:val="ListBullet"/>
        <w:spacing w:after="0"/>
        <w:ind w:left="360"/>
      </w:pPr>
      <w:r>
        <w:rPr>
          <w:color w:val="1A1A1A"/>
          <w:sz w:val="19"/>
        </w:rPr>
        <w:t>Postgres schema with 13 core entities and ~30 join tables</w:t>
      </w:r>
    </w:p>
    <w:p>
      <w:pPr>
        <w:pStyle w:val="ListBullet"/>
        <w:spacing w:after="0"/>
        <w:ind w:left="360"/>
      </w:pPr>
      <w:r>
        <w:rPr>
          <w:color w:val="1A1A1A"/>
          <w:sz w:val="19"/>
        </w:rPr>
        <w:t>Migration of the original Airtable base — 800 molecules, 640 odours, 370 experts, papers, claims</w:t>
      </w:r>
    </w:p>
    <w:p>
      <w:pPr>
        <w:pStyle w:val="ListBullet"/>
        <w:spacing w:after="0"/>
        <w:ind w:left="360"/>
      </w:pPr>
      <w:r>
        <w:rPr>
          <w:color w:val="1A1A1A"/>
          <w:sz w:val="19"/>
        </w:rPr>
        <w:t>Hierarchical topics taxonomy aligned with the Miro mind map</w:t>
      </w:r>
    </w:p>
    <w:p>
      <w:pPr>
        <w:pStyle w:val="ListBullet"/>
        <w:spacing w:after="0"/>
        <w:ind w:left="360"/>
      </w:pPr>
      <w:r>
        <w:rPr>
          <w:color w:val="1A1A1A"/>
          <w:sz w:val="19"/>
        </w:rPr>
        <w:t>Cross-reference with the GFI meaty volatile reference library (273 compounds)</w:t>
      </w:r>
    </w:p>
    <w:p>
      <w:pPr>
        <w:spacing w:after="40"/>
        <w:ind w:left="360"/>
      </w:pPr>
      <w:r>
        <w:rPr>
          <w:b/>
          <w:color w:val="1F4E79"/>
          <w:sz w:val="18"/>
        </w:rPr>
        <w:t xml:space="preserve">Who it serves:  </w:t>
      </w:r>
      <w:r>
        <w:rPr>
          <w:color w:val="555555"/>
          <w:sz w:val="18"/>
        </w:rPr>
        <w:t>Project owner; future maintainers; foundational for every later realm.</w:t>
      </w:r>
    </w:p>
    <w:p>
      <w:pPr>
        <w:spacing w:before="120" w:after="20"/>
      </w:pPr>
      <w:r>
        <w:rPr>
          <w:b/>
          <w:color w:val="2E754F"/>
          <w:sz w:val="22"/>
        </w:rPr>
        <w:t>Realm 2 — The Library</w:t>
      </w:r>
    </w:p>
    <w:p>
      <w:pPr>
        <w:spacing w:after="40"/>
      </w:pPr>
      <w:r>
        <w:rPr>
          <w:i/>
          <w:color w:val="555555"/>
          <w:sz w:val="19"/>
        </w:rPr>
        <w:t>Coverage. Make the knowledge dense, current, and trustworthy.</w:t>
      </w:r>
    </w:p>
    <w:p>
      <w:pPr>
        <w:pStyle w:val="ListBullet"/>
        <w:spacing w:after="0"/>
        <w:ind w:left="360"/>
      </w:pPr>
      <w:r>
        <w:rPr>
          <w:color w:val="1A1A1A"/>
          <w:sz w:val="19"/>
        </w:rPr>
        <w:t>Expand corpus from ~30 to 500+ peer-reviewed sources, prioritized by impact and beef relevance</w:t>
      </w:r>
    </w:p>
    <w:p>
      <w:pPr>
        <w:pStyle w:val="ListBullet"/>
        <w:spacing w:after="0"/>
        <w:ind w:left="360"/>
      </w:pPr>
      <w:r>
        <w:rPr>
          <w:color w:val="1A1A1A"/>
          <w:sz w:val="19"/>
        </w:rPr>
        <w:t>Tag each source with topics, sensory attributes, methods, product contexts, and evidence strength</w:t>
      </w:r>
    </w:p>
    <w:p>
      <w:pPr>
        <w:pStyle w:val="ListBullet"/>
        <w:spacing w:after="0"/>
        <w:ind w:left="360"/>
      </w:pPr>
      <w:r>
        <w:rPr>
          <w:color w:val="1A1A1A"/>
          <w:sz w:val="19"/>
        </w:rPr>
        <w:t>Link to external authoritative databases (PubChem, FlavorNet, OpenAlex, Lens.org for patents)</w:t>
      </w:r>
    </w:p>
    <w:p>
      <w:pPr>
        <w:pStyle w:val="ListBullet"/>
        <w:spacing w:after="0"/>
        <w:ind w:left="360"/>
      </w:pPr>
      <w:r>
        <w:rPr>
          <w:color w:val="1A1A1A"/>
          <w:sz w:val="19"/>
        </w:rPr>
        <w:t>Establish data-quality processes — citations, dedupe, controlled vocabulary</w:t>
      </w:r>
    </w:p>
    <w:p>
      <w:pPr>
        <w:spacing w:after="40"/>
        <w:ind w:left="360"/>
      </w:pPr>
      <w:r>
        <w:rPr>
          <w:b/>
          <w:color w:val="2E754F"/>
          <w:sz w:val="18"/>
        </w:rPr>
        <w:t xml:space="preserve">Who it serves:  </w:t>
      </w:r>
      <w:r>
        <w:rPr>
          <w:color w:val="555555"/>
          <w:sz w:val="18"/>
        </w:rPr>
        <w:t>Research analysts; PhD students; flavor scientists who need a single trustworthy source.</w:t>
      </w:r>
    </w:p>
    <w:p>
      <w:pPr>
        <w:spacing w:before="120" w:after="20"/>
      </w:pPr>
      <w:r>
        <w:rPr>
          <w:b/>
          <w:color w:val="A64D1F"/>
          <w:sz w:val="22"/>
        </w:rPr>
        <w:t>Realm 3 — The Oracle</w:t>
      </w:r>
    </w:p>
    <w:p>
      <w:pPr>
        <w:spacing w:after="40"/>
      </w:pPr>
      <w:r>
        <w:rPr>
          <w:i/>
          <w:color w:val="555555"/>
          <w:sz w:val="19"/>
        </w:rPr>
        <w:t>Intelligence. The database starts answering, not just storing.</w:t>
      </w:r>
    </w:p>
    <w:p>
      <w:pPr>
        <w:pStyle w:val="ListBullet"/>
        <w:spacing w:after="0"/>
        <w:ind w:left="360"/>
      </w:pPr>
      <w:r>
        <w:rPr>
          <w:color w:val="1A1A1A"/>
          <w:sz w:val="19"/>
        </w:rPr>
        <w:t>AI-assisted ingestion: auto-extract claims, molecules, methods from new papers and patents</w:t>
      </w:r>
    </w:p>
    <w:p>
      <w:pPr>
        <w:pStyle w:val="ListBullet"/>
        <w:spacing w:after="0"/>
        <w:ind w:left="360"/>
      </w:pPr>
      <w:r>
        <w:rPr>
          <w:color w:val="1A1A1A"/>
          <w:sz w:val="19"/>
        </w:rPr>
        <w:t>Semantic search over the entire corpus with retrieval-augmented generation (RAG)</w:t>
      </w:r>
    </w:p>
    <w:p>
      <w:pPr>
        <w:pStyle w:val="ListBullet"/>
        <w:spacing w:after="0"/>
        <w:ind w:left="360"/>
      </w:pPr>
      <w:r>
        <w:rPr>
          <w:color w:val="1A1A1A"/>
          <w:sz w:val="19"/>
        </w:rPr>
        <w:t>Recommendation engine: 'molecules like this', 'papers worth reading next', gap analysis</w:t>
      </w:r>
    </w:p>
    <w:p>
      <w:pPr>
        <w:pStyle w:val="ListBullet"/>
        <w:spacing w:after="0"/>
        <w:ind w:left="360"/>
      </w:pPr>
      <w:r>
        <w:rPr>
          <w:color w:val="1A1A1A"/>
          <w:sz w:val="19"/>
        </w:rPr>
        <w:t>Natural-language interface that translates a user's question into the right cross-table query</w:t>
      </w:r>
    </w:p>
    <w:p>
      <w:pPr>
        <w:spacing w:after="40"/>
        <w:ind w:left="360"/>
      </w:pPr>
      <w:r>
        <w:rPr>
          <w:b/>
          <w:color w:val="A64D1F"/>
          <w:sz w:val="18"/>
        </w:rPr>
        <w:t xml:space="preserve">Who it serves:  </w:t>
      </w:r>
      <w:r>
        <w:rPr>
          <w:color w:val="555555"/>
          <w:sz w:val="18"/>
        </w:rPr>
        <w:t>Anyone who wants a fast answer, regardless of SQL or chemistry literacy.</w:t>
      </w:r>
    </w:p>
    <w:p>
      <w:pPr>
        <w:spacing w:before="120" w:after="20"/>
      </w:pPr>
      <w:r>
        <w:rPr>
          <w:b/>
          <w:color w:val="6B2C91"/>
          <w:sz w:val="22"/>
        </w:rPr>
        <w:t>Realm 4 — The Gateway</w:t>
      </w:r>
    </w:p>
    <w:p>
      <w:pPr>
        <w:spacing w:after="40"/>
      </w:pPr>
      <w:r>
        <w:rPr>
          <w:i/>
          <w:color w:val="555555"/>
          <w:sz w:val="19"/>
        </w:rPr>
        <w:t>Access. The polished interface where the platform meets users.</w:t>
      </w:r>
    </w:p>
    <w:p>
      <w:pPr>
        <w:pStyle w:val="ListBullet"/>
        <w:spacing w:after="0"/>
        <w:ind w:left="360"/>
      </w:pPr>
      <w:r>
        <w:rPr>
          <w:color w:val="1A1A1A"/>
          <w:sz w:val="19"/>
        </w:rPr>
        <w:t>Web app with role-based UIs — chef view, scientist view, formulator view, investor view</w:t>
      </w:r>
    </w:p>
    <w:p>
      <w:pPr>
        <w:pStyle w:val="ListBullet"/>
        <w:spacing w:after="0"/>
        <w:ind w:left="360"/>
      </w:pPr>
      <w:r>
        <w:rPr>
          <w:color w:val="1A1A1A"/>
          <w:sz w:val="19"/>
        </w:rPr>
        <w:t>Mobile companion for kitchen, lab bench, conference, and on-site use</w:t>
      </w:r>
    </w:p>
    <w:p>
      <w:pPr>
        <w:pStyle w:val="ListBullet"/>
        <w:spacing w:after="0"/>
        <w:ind w:left="360"/>
      </w:pPr>
      <w:r>
        <w:rPr>
          <w:color w:val="1A1A1A"/>
          <w:sz w:val="19"/>
        </w:rPr>
        <w:t>Beautiful visual modes: flavor wheels, molecular networks, sensory maps, expert graphs</w:t>
      </w:r>
    </w:p>
    <w:p>
      <w:pPr>
        <w:pStyle w:val="ListBullet"/>
        <w:spacing w:after="0"/>
        <w:ind w:left="360"/>
      </w:pPr>
      <w:r>
        <w:rPr>
          <w:color w:val="1A1A1A"/>
          <w:sz w:val="19"/>
        </w:rPr>
        <w:t>Onboarding pathways tuned to each persona, so the first 5 minutes already deliver value</w:t>
      </w:r>
    </w:p>
    <w:p>
      <w:pPr>
        <w:spacing w:after="40"/>
        <w:ind w:left="360"/>
      </w:pPr>
      <w:r>
        <w:rPr>
          <w:b/>
          <w:color w:val="6B2C91"/>
          <w:sz w:val="18"/>
        </w:rPr>
        <w:t xml:space="preserve">Who it serves:  </w:t>
      </w:r>
      <w:r>
        <w:rPr>
          <w:color w:val="555555"/>
          <w:sz w:val="18"/>
        </w:rPr>
        <w:t>Chefs, product developers, sensory panel leaders, students, journalists, the curious public.</w:t>
      </w:r>
    </w:p>
    <w:p>
      <w:pPr>
        <w:spacing w:before="120" w:after="20"/>
      </w:pPr>
      <w:r>
        <w:rPr>
          <w:b/>
          <w:color w:val="B73549"/>
          <w:sz w:val="22"/>
        </w:rPr>
        <w:t>Realm 5 — The Commons</w:t>
      </w:r>
    </w:p>
    <w:p>
      <w:pPr>
        <w:spacing w:after="40"/>
      </w:pPr>
      <w:r>
        <w:rPr>
          <w:i/>
          <w:color w:val="555555"/>
          <w:sz w:val="19"/>
        </w:rPr>
        <w:t>Community. The platform becomes collaborative.</w:t>
      </w:r>
    </w:p>
    <w:p>
      <w:pPr>
        <w:pStyle w:val="ListBullet"/>
        <w:spacing w:after="0"/>
        <w:ind w:left="360"/>
      </w:pPr>
      <w:r>
        <w:rPr>
          <w:color w:val="1A1A1A"/>
          <w:sz w:val="19"/>
        </w:rPr>
        <w:t>User accounts with private notebooks, shared workspaces, and citation-aware contributions</w:t>
      </w:r>
    </w:p>
    <w:p>
      <w:pPr>
        <w:pStyle w:val="ListBullet"/>
        <w:spacing w:after="0"/>
        <w:ind w:left="360"/>
      </w:pPr>
      <w:r>
        <w:rPr>
          <w:color w:val="1A1A1A"/>
          <w:sz w:val="19"/>
        </w:rPr>
        <w:t>Expert verification workflow — researchers can endorse, dispute, or extend claims</w:t>
      </w:r>
    </w:p>
    <w:p>
      <w:pPr>
        <w:pStyle w:val="ListBullet"/>
        <w:spacing w:after="0"/>
        <w:ind w:left="360"/>
      </w:pPr>
      <w:r>
        <w:rPr>
          <w:color w:val="1A1A1A"/>
          <w:sz w:val="19"/>
        </w:rPr>
        <w:t>Peer review on emerging claims; controversy flags surface contested science</w:t>
      </w:r>
    </w:p>
    <w:p>
      <w:pPr>
        <w:pStyle w:val="ListBullet"/>
        <w:spacing w:after="0"/>
        <w:ind w:left="360"/>
      </w:pPr>
      <w:r>
        <w:rPr>
          <w:color w:val="1A1A1A"/>
          <w:sz w:val="19"/>
        </w:rPr>
        <w:t>Recognition system that credits contributors when their work is cited downstream</w:t>
      </w:r>
    </w:p>
    <w:p>
      <w:pPr>
        <w:spacing w:after="40"/>
        <w:ind w:left="360"/>
      </w:pPr>
      <w:r>
        <w:rPr>
          <w:b/>
          <w:color w:val="B73549"/>
          <w:sz w:val="18"/>
        </w:rPr>
        <w:t xml:space="preserve">Who it serves:  </w:t>
      </w:r>
      <w:r>
        <w:rPr>
          <w:color w:val="555555"/>
          <w:sz w:val="18"/>
        </w:rPr>
        <w:t>The global flavor and aroma community: academics, chefs, R&amp;D teams, and educators.</w:t>
      </w:r>
    </w:p>
    <w:p>
      <w:pPr>
        <w:spacing w:before="120" w:after="20"/>
      </w:pPr>
      <w:r>
        <w:rPr>
          <w:b/>
          <w:color w:val="1A1A1A"/>
          <w:sz w:val="22"/>
        </w:rPr>
        <w:t>Realm 6 — The Forge</w:t>
      </w:r>
    </w:p>
    <w:p>
      <w:pPr>
        <w:spacing w:after="40"/>
      </w:pPr>
      <w:r>
        <w:rPr>
          <w:i/>
          <w:color w:val="555555"/>
          <w:sz w:val="19"/>
        </w:rPr>
        <w:t>Impact. Where the platform creates real-world value beyond information.</w:t>
      </w:r>
    </w:p>
    <w:p>
      <w:pPr>
        <w:pStyle w:val="ListBullet"/>
        <w:spacing w:after="0"/>
        <w:ind w:left="360"/>
      </w:pPr>
      <w:r>
        <w:rPr>
          <w:color w:val="1A1A1A"/>
          <w:sz w:val="19"/>
        </w:rPr>
        <w:t>Public API and SDK so flavor houses, alt-protein companies, and culinary tools can build on top</w:t>
      </w:r>
    </w:p>
    <w:p>
      <w:pPr>
        <w:pStyle w:val="ListBullet"/>
        <w:spacing w:after="0"/>
        <w:ind w:left="360"/>
      </w:pPr>
      <w:r>
        <w:rPr>
          <w:color w:val="1A1A1A"/>
          <w:sz w:val="19"/>
        </w:rPr>
        <w:t>Formulation copilots: target a sensory profile, get a compound + ingredient + process recommendation</w:t>
      </w:r>
    </w:p>
    <w:p>
      <w:pPr>
        <w:pStyle w:val="ListBullet"/>
        <w:spacing w:after="0"/>
        <w:ind w:left="360"/>
      </w:pPr>
      <w:r>
        <w:rPr>
          <w:color w:val="1A1A1A"/>
          <w:sz w:val="19"/>
        </w:rPr>
        <w:t>Partnerships with GFI ecosystem companies, universities, and standards bodies</w:t>
      </w:r>
    </w:p>
    <w:p>
      <w:pPr>
        <w:pStyle w:val="ListBullet"/>
        <w:spacing w:after="0"/>
        <w:ind w:left="360"/>
      </w:pPr>
      <w:r>
        <w:rPr>
          <w:color w:val="1A1A1A"/>
          <w:sz w:val="19"/>
        </w:rPr>
        <w:t>Independent revenue paths (licensing, API, premium tools) that fund continued growth</w:t>
      </w:r>
    </w:p>
    <w:p>
      <w:pPr>
        <w:spacing w:after="40"/>
        <w:ind w:left="360"/>
      </w:pPr>
      <w:r>
        <w:rPr>
          <w:b/>
          <w:color w:val="1A1A1A"/>
          <w:sz w:val="18"/>
        </w:rPr>
        <w:t xml:space="preserve">Who it serves:  </w:t>
      </w:r>
      <w:r>
        <w:rPr>
          <w:color w:val="555555"/>
          <w:sz w:val="18"/>
        </w:rPr>
        <w:t>Industry, academia, and the broader public that benefits from better food.</w:t>
      </w:r>
    </w:p>
    <w:p/>
    <w:p>
      <w:pPr>
        <w:jc w:val="center"/>
      </w:pPr>
      <w:r>
        <w:rPr>
          <w:i/>
          <w:color w:val="555555"/>
          <w:sz w:val="19"/>
        </w:rPr>
        <w:t>Each realm builds on the last. The Foundation is invisible; The Forge is everywhere. Between them is the long arc of patient compounding — chemistry into knowledge, knowledge into decisions, decisions into a better food system.</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