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"/>
        <w:gridCol w:w="10751"/>
        <w:gridCol w:w="112"/>
      </w:tblGrid>
      <w:tr w:rsidR="00F52CEA" w14:paraId="517284A9" w14:textId="77777777" w:rsidTr="008523C8">
        <w:trPr>
          <w:gridAfter w:val="1"/>
          <w:wAfter w:w="112" w:type="dxa"/>
          <w:trHeight w:val="1278"/>
          <w:jc w:val="center"/>
        </w:trPr>
        <w:tc>
          <w:tcPr>
            <w:tcW w:w="10858" w:type="dxa"/>
            <w:gridSpan w:val="2"/>
            <w:tcBorders>
              <w:top w:val="single" w:sz="8" w:space="0" w:color="0B5962"/>
              <w:left w:val="single" w:sz="8" w:space="0" w:color="0B5962"/>
              <w:bottom w:val="single" w:sz="8" w:space="0" w:color="0B5962"/>
              <w:right w:val="single" w:sz="8" w:space="0" w:color="0B5962"/>
            </w:tcBorders>
            <w:shd w:val="clear" w:color="auto" w:fill="0B5962"/>
            <w:tcMar>
              <w:top w:w="140" w:type="dxa"/>
              <w:left w:w="170" w:type="dxa"/>
              <w:bottom w:w="125" w:type="dxa"/>
              <w:right w:w="170" w:type="dxa"/>
            </w:tcMar>
          </w:tcPr>
          <w:p w14:paraId="61F29544" w14:textId="1E3BB502" w:rsidR="00F52CEA" w:rsidRDefault="008523C8" w:rsidP="00E06C21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2CCCE19" wp14:editId="68E223FB">
                  <wp:simplePos x="0" y="0"/>
                  <wp:positionH relativeFrom="column">
                    <wp:posOffset>5552237</wp:posOffset>
                  </wp:positionH>
                  <wp:positionV relativeFrom="paragraph">
                    <wp:posOffset>496</wp:posOffset>
                  </wp:positionV>
                  <wp:extent cx="1114821" cy="470413"/>
                  <wp:effectExtent l="0" t="0" r="0" b="6350"/>
                  <wp:wrapNone/>
                  <wp:docPr id="9218" name="Picture 2" descr="GFI Israel – the Good Food Institute Israel - GFI Israe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89C63DE-3992-4EB2-835B-F2AF818061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8" name="Picture 2" descr="GFI Israel – the Good Food Institute Israel - GFI Israel">
                            <a:extLst>
                              <a:ext uri="{FF2B5EF4-FFF2-40B4-BE49-F238E27FC236}">
                                <a16:creationId xmlns:a16="http://schemas.microsoft.com/office/drawing/2014/main" id="{E89C63DE-3992-4EB2-835B-F2AF818061D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54" cy="483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FFFFFF"/>
                <w:sz w:val="40"/>
              </w:rPr>
              <w:t>Cracking the Meat Flavor Code</w:t>
            </w:r>
          </w:p>
          <w:p w14:paraId="32554265" w14:textId="12F12C7D" w:rsidR="00F52CEA" w:rsidRDefault="00000000">
            <w:pPr>
              <w:spacing w:after="40" w:line="240" w:lineRule="auto"/>
            </w:pPr>
            <w:proofErr w:type="spellStart"/>
            <w:r w:rsidRPr="00E06C21">
              <w:rPr>
                <w:b/>
                <w:color w:val="CDEAE5"/>
                <w:sz w:val="28"/>
                <w:szCs w:val="28"/>
              </w:rPr>
              <w:t>MeatCODE</w:t>
            </w:r>
            <w:proofErr w:type="spellEnd"/>
            <w:r>
              <w:rPr>
                <w:b/>
                <w:color w:val="CDEAE5"/>
                <w:sz w:val="22"/>
              </w:rPr>
              <w:t xml:space="preserve"> - Meat Collaborative Open Development Ecosystem</w:t>
            </w:r>
            <w:r w:rsidR="008523C8">
              <w:rPr>
                <w:b/>
                <w:color w:val="CDEAE5"/>
                <w:sz w:val="22"/>
              </w:rPr>
              <w:t xml:space="preserve"> Initiative</w:t>
            </w:r>
          </w:p>
          <w:p w14:paraId="0BE0FDBA" w14:textId="77777777" w:rsidR="00F52CEA" w:rsidRDefault="00000000">
            <w:pPr>
              <w:spacing w:after="0" w:line="259" w:lineRule="auto"/>
            </w:pPr>
            <w:r>
              <w:rPr>
                <w:color w:val="FFFFFF"/>
              </w:rPr>
              <w:t>An open, pre-competitive platform for accelerating meaty flavor and aroma solutions in alternative meat.</w:t>
            </w:r>
          </w:p>
        </w:tc>
      </w:tr>
      <w:tr w:rsidR="00F52CEA" w14:paraId="277F0F28" w14:textId="77777777" w:rsidTr="008523C8">
        <w:tblPrEx>
          <w:jc w:val="left"/>
        </w:tblPrEx>
        <w:trPr>
          <w:gridBefore w:val="1"/>
          <w:wBefore w:w="107" w:type="dxa"/>
        </w:trPr>
        <w:tc>
          <w:tcPr>
            <w:tcW w:w="10863" w:type="dxa"/>
            <w:gridSpan w:val="2"/>
            <w:tcBorders>
              <w:top w:val="single" w:sz="6" w:space="0" w:color="CFE3DE"/>
              <w:left w:val="single" w:sz="6" w:space="0" w:color="CFE3DE"/>
              <w:bottom w:val="single" w:sz="6" w:space="0" w:color="CFE3DE"/>
              <w:right w:val="single" w:sz="6" w:space="0" w:color="CFE3DE"/>
            </w:tcBorders>
            <w:shd w:val="clear" w:color="auto" w:fill="E8F3F1"/>
            <w:tcMar>
              <w:top w:w="90" w:type="dxa"/>
              <w:left w:w="150" w:type="dxa"/>
              <w:bottom w:w="85" w:type="dxa"/>
              <w:right w:w="150" w:type="dxa"/>
            </w:tcMar>
          </w:tcPr>
          <w:p w14:paraId="20E25FB9" w14:textId="77777777" w:rsidR="00F52CEA" w:rsidRDefault="00000000">
            <w:pPr>
              <w:spacing w:after="0" w:line="269" w:lineRule="auto"/>
            </w:pPr>
            <w:r>
              <w:rPr>
                <w:b/>
                <w:color w:val="0B5962"/>
              </w:rPr>
              <w:t xml:space="preserve">Purpose. </w:t>
            </w:r>
            <w:r>
              <w:rPr>
                <w:color w:val="1F2A2E"/>
              </w:rPr>
              <w:t>This brief invites selected collaborators to help shape MeatCODE, a GFI IL SciTech initiative that converts fragmented meaty flavor science into shared knowledge, practical tools and focused R&amp;D directions.</w:t>
            </w:r>
          </w:p>
        </w:tc>
      </w:tr>
    </w:tbl>
    <w:p w14:paraId="79A38BCD" w14:textId="77777777" w:rsidR="008523C8" w:rsidRDefault="008523C8">
      <w:pPr>
        <w:spacing w:before="120" w:after="40" w:line="252" w:lineRule="auto"/>
        <w:rPr>
          <w:b/>
          <w:color w:val="0B5962"/>
          <w:sz w:val="23"/>
        </w:rPr>
      </w:pPr>
    </w:p>
    <w:p w14:paraId="507527EE" w14:textId="29C80639" w:rsidR="00F52CEA" w:rsidRDefault="00000000">
      <w:pPr>
        <w:spacing w:before="120" w:after="40" w:line="252" w:lineRule="auto"/>
        <w:rPr>
          <w:b/>
          <w:color w:val="0B5962"/>
          <w:sz w:val="23"/>
        </w:rPr>
      </w:pPr>
      <w:r>
        <w:rPr>
          <w:b/>
          <w:color w:val="0B5962"/>
          <w:sz w:val="23"/>
        </w:rPr>
        <w:t>The challenge and the response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F52CEA" w14:paraId="13BFF178" w14:textId="77777777">
        <w:trPr>
          <w:jc w:val="center"/>
        </w:trPr>
        <w:tc>
          <w:tcPr>
            <w:tcW w:w="511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7FBFA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7159372D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Why the field is stuck</w:t>
            </w:r>
          </w:p>
          <w:p w14:paraId="06A6BC8D" w14:textId="77777777" w:rsidR="00F52CEA" w:rsidRDefault="00000000">
            <w:pPr>
              <w:pStyle w:val="ListBullet"/>
              <w:spacing w:after="30" w:line="264" w:lineRule="auto"/>
              <w:ind w:left="259" w:hanging="187"/>
            </w:pPr>
            <w:r>
              <w:rPr>
                <w:color w:val="1F2A2E"/>
              </w:rPr>
              <w:t>Meaty flavor remains a major adoption barrier for flexitarians and meat lovers.</w:t>
            </w:r>
          </w:p>
          <w:p w14:paraId="459C22CC" w14:textId="77777777" w:rsidR="00F52CEA" w:rsidRDefault="00000000">
            <w:pPr>
              <w:pStyle w:val="ListBullet"/>
              <w:spacing w:after="30" w:line="264" w:lineRule="auto"/>
              <w:ind w:left="259" w:hanging="187"/>
            </w:pPr>
            <w:r>
              <w:rPr>
                <w:color w:val="1F2A2E"/>
              </w:rPr>
              <w:t>It is an integrated process-flavor system, not one missing molecule or a final flavor mix.</w:t>
            </w:r>
          </w:p>
          <w:p w14:paraId="11EFC115" w14:textId="77777777" w:rsidR="00F52CEA" w:rsidRDefault="00000000">
            <w:pPr>
              <w:pStyle w:val="ListBullet"/>
              <w:spacing w:after="30" w:line="264" w:lineRule="auto"/>
              <w:ind w:left="259" w:hanging="187"/>
            </w:pPr>
            <w:r>
              <w:rPr>
                <w:color w:val="1F2A2E"/>
              </w:rPr>
              <w:t>Relevant knowledge is scattered across Maillard chemistry, lipids, sensory, analytics, matrix physics, patents and applied know-how.</w:t>
            </w:r>
          </w:p>
          <w:p w14:paraId="35CEF55B" w14:textId="77777777" w:rsidR="00F52CEA" w:rsidRDefault="00000000">
            <w:pPr>
              <w:pStyle w:val="ListBullet"/>
              <w:spacing w:after="30" w:line="264" w:lineRule="auto"/>
              <w:ind w:left="259" w:hanging="187"/>
            </w:pPr>
            <w:r>
              <w:rPr>
                <w:color w:val="1F2A2E"/>
              </w:rPr>
              <w:t>The result is repeated trial-and-error, weak benchmarks and slow translation into better products.</w:t>
            </w:r>
          </w:p>
        </w:tc>
        <w:tc>
          <w:tcPr>
            <w:tcW w:w="511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7FBFA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376A942B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 xml:space="preserve">What </w:t>
            </w:r>
            <w:proofErr w:type="spellStart"/>
            <w:r>
              <w:rPr>
                <w:b/>
                <w:color w:val="0B5962"/>
                <w:sz w:val="21"/>
              </w:rPr>
              <w:t>MeatCODE</w:t>
            </w:r>
            <w:proofErr w:type="spellEnd"/>
            <w:r>
              <w:rPr>
                <w:b/>
                <w:color w:val="0B5962"/>
                <w:sz w:val="21"/>
              </w:rPr>
              <w:t xml:space="preserve"> changes</w:t>
            </w:r>
          </w:p>
          <w:p w14:paraId="0EC3001A" w14:textId="77777777" w:rsidR="00F52CEA" w:rsidRDefault="00000000">
            <w:pPr>
              <w:pStyle w:val="ListBullet"/>
              <w:spacing w:after="30" w:line="264" w:lineRule="auto"/>
              <w:ind w:left="259" w:hanging="187"/>
            </w:pPr>
            <w:r>
              <w:rPr>
                <w:color w:val="1F2A2E"/>
              </w:rPr>
              <w:t>Build a source-backed, AI-enabled knowledge hub for meaty process flavor.</w:t>
            </w:r>
          </w:p>
          <w:p w14:paraId="69E7AE0C" w14:textId="77777777" w:rsidR="00F52CEA" w:rsidRDefault="00000000">
            <w:pPr>
              <w:pStyle w:val="ListBullet"/>
              <w:spacing w:after="30" w:line="264" w:lineRule="auto"/>
              <w:ind w:left="259" w:hanging="187"/>
            </w:pPr>
            <w:r>
              <w:rPr>
                <w:color w:val="1F2A2E"/>
              </w:rPr>
              <w:t>Connect mechanisms, molecules, methods, sensory descriptors, experts, patents and research gaps.</w:t>
            </w:r>
          </w:p>
          <w:p w14:paraId="780D02EF" w14:textId="77777777" w:rsidR="00F52CEA" w:rsidRDefault="00000000">
            <w:pPr>
              <w:pStyle w:val="ListBullet"/>
              <w:spacing w:after="30" w:line="264" w:lineRule="auto"/>
              <w:ind w:left="259" w:hanging="187"/>
            </w:pPr>
            <w:r>
              <w:rPr>
                <w:color w:val="1F2A2E"/>
              </w:rPr>
              <w:t>Translate complex science into practical language, protocols, benchmark logic and R&amp;D hypotheses.</w:t>
            </w:r>
          </w:p>
          <w:p w14:paraId="26367F57" w14:textId="77777777" w:rsidR="00F52CEA" w:rsidRDefault="00000000">
            <w:pPr>
              <w:pStyle w:val="ListBullet"/>
              <w:spacing w:after="30" w:line="264" w:lineRule="auto"/>
              <w:ind w:left="259" w:hanging="187"/>
            </w:pPr>
            <w:r>
              <w:rPr>
                <w:color w:val="1F2A2E"/>
              </w:rPr>
              <w:t>Make the system visible, searchable and actionable for researchers, companies and funders.</w:t>
            </w:r>
          </w:p>
        </w:tc>
      </w:tr>
    </w:tbl>
    <w:p w14:paraId="622243E5" w14:textId="77777777" w:rsidR="008523C8" w:rsidRDefault="008523C8">
      <w:pPr>
        <w:spacing w:before="100" w:after="40" w:line="252" w:lineRule="auto"/>
        <w:rPr>
          <w:b/>
          <w:color w:val="0B5962"/>
          <w:sz w:val="23"/>
        </w:rPr>
      </w:pPr>
    </w:p>
    <w:p w14:paraId="459F394C" w14:textId="4F03DC2B" w:rsidR="00F52CEA" w:rsidRDefault="00000000">
      <w:pPr>
        <w:spacing w:before="100" w:after="40" w:line="252" w:lineRule="auto"/>
      </w:pPr>
      <w:r>
        <w:rPr>
          <w:b/>
          <w:color w:val="0B5962"/>
          <w:sz w:val="23"/>
        </w:rPr>
        <w:t>Six MVP elements being built in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5"/>
        <w:gridCol w:w="3355"/>
        <w:gridCol w:w="3355"/>
      </w:tblGrid>
      <w:tr w:rsidR="00F52CEA" w14:paraId="0008ACCF" w14:textId="77777777">
        <w:trPr>
          <w:jc w:val="center"/>
        </w:trPr>
        <w:tc>
          <w:tcPr>
            <w:tcW w:w="3355" w:type="dxa"/>
            <w:tcBorders>
              <w:top w:val="single" w:sz="6" w:space="0" w:color="D6E7E2"/>
              <w:left w:val="single" w:sz="6" w:space="0" w:color="D6E7E2"/>
              <w:bottom w:val="single" w:sz="6" w:space="0" w:color="D6E7E2"/>
              <w:right w:val="single" w:sz="6" w:space="0" w:color="D6E7E2"/>
            </w:tcBorders>
            <w:shd w:val="clear" w:color="auto" w:fill="F4FAF8"/>
            <w:tcMar>
              <w:top w:w="85" w:type="dxa"/>
              <w:left w:w="100" w:type="dxa"/>
              <w:bottom w:w="75" w:type="dxa"/>
              <w:right w:w="100" w:type="dxa"/>
            </w:tcMar>
          </w:tcPr>
          <w:p w14:paraId="4A74B30D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1. Knowledge Hub</w:t>
            </w:r>
          </w:p>
          <w:p w14:paraId="7A05E072" w14:textId="77777777" w:rsidR="00F52CEA" w:rsidRDefault="00000000">
            <w:pPr>
              <w:spacing w:after="0" w:line="264" w:lineRule="auto"/>
            </w:pPr>
            <w:r>
              <w:rPr>
                <w:color w:val="1F2A2E"/>
              </w:rPr>
              <w:t>Searchable, source-backed navigation across the field, including curated summaries and answer workflows.</w:t>
            </w:r>
          </w:p>
        </w:tc>
        <w:tc>
          <w:tcPr>
            <w:tcW w:w="3355" w:type="dxa"/>
            <w:tcBorders>
              <w:top w:val="single" w:sz="6" w:space="0" w:color="D6E7E2"/>
              <w:left w:val="single" w:sz="6" w:space="0" w:color="D6E7E2"/>
              <w:bottom w:val="single" w:sz="6" w:space="0" w:color="D6E7E2"/>
              <w:right w:val="single" w:sz="6" w:space="0" w:color="D6E7E2"/>
            </w:tcBorders>
            <w:shd w:val="clear" w:color="auto" w:fill="FFFFFF"/>
            <w:tcMar>
              <w:top w:w="85" w:type="dxa"/>
              <w:left w:w="100" w:type="dxa"/>
              <w:bottom w:w="75" w:type="dxa"/>
              <w:right w:w="100" w:type="dxa"/>
            </w:tcMar>
          </w:tcPr>
          <w:p w14:paraId="31581E48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2. Literature DB + White-Space Map</w:t>
            </w:r>
          </w:p>
          <w:p w14:paraId="1C8E8008" w14:textId="77777777" w:rsidR="00F52CEA" w:rsidRDefault="00000000">
            <w:pPr>
              <w:spacing w:after="0" w:line="264" w:lineRule="auto"/>
            </w:pPr>
            <w:r>
              <w:rPr>
                <w:color w:val="1F2A2E"/>
              </w:rPr>
              <w:t>Priority papers, books, patents and reports tagged into a living review that exposes high-value research gaps.</w:t>
            </w:r>
          </w:p>
        </w:tc>
        <w:tc>
          <w:tcPr>
            <w:tcW w:w="3355" w:type="dxa"/>
            <w:tcBorders>
              <w:top w:val="single" w:sz="6" w:space="0" w:color="D6E7E2"/>
              <w:left w:val="single" w:sz="6" w:space="0" w:color="D6E7E2"/>
              <w:bottom w:val="single" w:sz="6" w:space="0" w:color="D6E7E2"/>
              <w:right w:val="single" w:sz="6" w:space="0" w:color="D6E7E2"/>
            </w:tcBorders>
            <w:shd w:val="clear" w:color="auto" w:fill="F4FAF8"/>
            <w:tcMar>
              <w:top w:w="85" w:type="dxa"/>
              <w:left w:w="100" w:type="dxa"/>
              <w:bottom w:w="75" w:type="dxa"/>
              <w:right w:w="100" w:type="dxa"/>
            </w:tcMar>
          </w:tcPr>
          <w:p w14:paraId="234C25A2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3. Expert &amp; Organization Directory</w:t>
            </w:r>
          </w:p>
          <w:p w14:paraId="3B4C7A9D" w14:textId="77777777" w:rsidR="00F52CEA" w:rsidRDefault="00000000">
            <w:pPr>
              <w:spacing w:after="0" w:line="264" w:lineRule="auto"/>
            </w:pPr>
            <w:r>
              <w:rPr>
                <w:color w:val="1F2A2E"/>
              </w:rPr>
              <w:t>A searchable map of who knows what across science, industry, flavor houses and ecosystem roles.</w:t>
            </w:r>
          </w:p>
        </w:tc>
      </w:tr>
      <w:tr w:rsidR="00F52CEA" w14:paraId="6CE50F37" w14:textId="77777777" w:rsidTr="008523C8">
        <w:trPr>
          <w:jc w:val="center"/>
        </w:trPr>
        <w:tc>
          <w:tcPr>
            <w:tcW w:w="3355" w:type="dxa"/>
            <w:tcBorders>
              <w:top w:val="single" w:sz="6" w:space="0" w:color="D6E7E2"/>
              <w:left w:val="single" w:sz="6" w:space="0" w:color="D6E7E2"/>
              <w:bottom w:val="single" w:sz="4" w:space="0" w:color="auto"/>
              <w:right w:val="single" w:sz="6" w:space="0" w:color="D6E7E2"/>
            </w:tcBorders>
            <w:shd w:val="clear" w:color="auto" w:fill="FFFFFF"/>
            <w:tcMar>
              <w:top w:w="85" w:type="dxa"/>
              <w:left w:w="100" w:type="dxa"/>
              <w:bottom w:w="75" w:type="dxa"/>
              <w:right w:w="100" w:type="dxa"/>
            </w:tcMar>
          </w:tcPr>
          <w:p w14:paraId="3990DD9B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4. Molecular &amp; Mechanistic DB</w:t>
            </w:r>
          </w:p>
          <w:p w14:paraId="05926731" w14:textId="77777777" w:rsidR="00F52CEA" w:rsidRDefault="00000000">
            <w:pPr>
              <w:spacing w:after="0" w:line="264" w:lineRule="auto"/>
            </w:pPr>
            <w:r>
              <w:rPr>
                <w:color w:val="1F2A2E"/>
              </w:rPr>
              <w:t>Precursors, volatiles, pathways, sensory notes, analytical methods and comparison logic.</w:t>
            </w:r>
          </w:p>
        </w:tc>
        <w:tc>
          <w:tcPr>
            <w:tcW w:w="3355" w:type="dxa"/>
            <w:tcBorders>
              <w:top w:val="single" w:sz="6" w:space="0" w:color="D6E7E2"/>
              <w:left w:val="single" w:sz="6" w:space="0" w:color="D6E7E2"/>
              <w:bottom w:val="single" w:sz="4" w:space="0" w:color="auto"/>
              <w:right w:val="single" w:sz="6" w:space="0" w:color="D6E7E2"/>
            </w:tcBorders>
            <w:shd w:val="clear" w:color="auto" w:fill="F4FAF8"/>
            <w:tcMar>
              <w:top w:w="85" w:type="dxa"/>
              <w:left w:w="100" w:type="dxa"/>
              <w:bottom w:w="75" w:type="dxa"/>
              <w:right w:w="100" w:type="dxa"/>
            </w:tcMar>
          </w:tcPr>
          <w:p w14:paraId="3ABA2B0F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5. R&amp;D Toolbox</w:t>
            </w:r>
          </w:p>
          <w:p w14:paraId="1312B884" w14:textId="77777777" w:rsidR="00F52CEA" w:rsidRDefault="00000000">
            <w:pPr>
              <w:spacing w:after="0" w:line="264" w:lineRule="auto"/>
            </w:pPr>
            <w:r>
              <w:rPr>
                <w:color w:val="1F2A2E"/>
              </w:rPr>
              <w:t>Protocols, benchmarking principles, experimental templates and prioritized research questions.</w:t>
            </w:r>
          </w:p>
        </w:tc>
        <w:tc>
          <w:tcPr>
            <w:tcW w:w="3355" w:type="dxa"/>
            <w:tcBorders>
              <w:top w:val="single" w:sz="6" w:space="0" w:color="D6E7E2"/>
              <w:left w:val="single" w:sz="6" w:space="0" w:color="D6E7E2"/>
              <w:bottom w:val="single" w:sz="4" w:space="0" w:color="auto"/>
              <w:right w:val="single" w:sz="6" w:space="0" w:color="D6E7E2"/>
            </w:tcBorders>
            <w:shd w:val="clear" w:color="auto" w:fill="FFFFFF"/>
            <w:tcMar>
              <w:top w:w="85" w:type="dxa"/>
              <w:left w:w="100" w:type="dxa"/>
              <w:bottom w:w="75" w:type="dxa"/>
              <w:right w:w="100" w:type="dxa"/>
            </w:tcMar>
          </w:tcPr>
          <w:p w14:paraId="5D9F1EA5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6. Process-Flavor Simulation Sandbox</w:t>
            </w:r>
          </w:p>
          <w:p w14:paraId="3C6795A7" w14:textId="77777777" w:rsidR="00F52CEA" w:rsidRDefault="00000000">
            <w:pPr>
              <w:spacing w:after="0" w:line="264" w:lineRule="auto"/>
            </w:pPr>
            <w:r>
              <w:rPr>
                <w:color w:val="1F2A2E"/>
              </w:rPr>
              <w:t>A future-facing environment for testing precursor, lipid, matrix and cooking hypotheses before experimental work.</w:t>
            </w:r>
          </w:p>
        </w:tc>
      </w:tr>
      <w:tr w:rsidR="008523C8" w14:paraId="75D1D7DE" w14:textId="77777777" w:rsidTr="008523C8">
        <w:trPr>
          <w:jc w:val="center"/>
        </w:trPr>
        <w:tc>
          <w:tcPr>
            <w:tcW w:w="10065" w:type="dxa"/>
            <w:gridSpan w:val="3"/>
            <w:tcBorders>
              <w:top w:val="single" w:sz="4" w:space="0" w:color="auto"/>
            </w:tcBorders>
            <w:shd w:val="clear" w:color="auto" w:fill="FFFFFF"/>
            <w:tcMar>
              <w:top w:w="85" w:type="dxa"/>
              <w:left w:w="100" w:type="dxa"/>
              <w:bottom w:w="75" w:type="dxa"/>
              <w:right w:w="100" w:type="dxa"/>
            </w:tcMar>
          </w:tcPr>
          <w:p w14:paraId="39DD31F2" w14:textId="77777777" w:rsidR="008523C8" w:rsidRDefault="008523C8">
            <w:pPr>
              <w:spacing w:after="40" w:line="252" w:lineRule="auto"/>
              <w:rPr>
                <w:b/>
                <w:color w:val="0B5962"/>
                <w:sz w:val="21"/>
              </w:rPr>
            </w:pPr>
          </w:p>
        </w:tc>
      </w:tr>
    </w:tbl>
    <w:tbl>
      <w:tblPr>
        <w:tblW w:w="0" w:type="auto"/>
        <w:tblInd w:w="130" w:type="dxa"/>
        <w:tblLook w:val="04A0" w:firstRow="1" w:lastRow="0" w:firstColumn="1" w:lastColumn="0" w:noHBand="0" w:noVBand="1"/>
      </w:tblPr>
      <w:tblGrid>
        <w:gridCol w:w="10728"/>
      </w:tblGrid>
      <w:tr w:rsidR="00F52CEA" w14:paraId="118A081F" w14:textId="77777777" w:rsidTr="008523C8">
        <w:tc>
          <w:tcPr>
            <w:tcW w:w="10728" w:type="dxa"/>
            <w:tcBorders>
              <w:top w:val="single" w:sz="6" w:space="0" w:color="E5D6AA"/>
              <w:left w:val="single" w:sz="6" w:space="0" w:color="E5D6AA"/>
              <w:bottom w:val="single" w:sz="6" w:space="0" w:color="E5D6AA"/>
              <w:right w:val="single" w:sz="6" w:space="0" w:color="E5D6AA"/>
            </w:tcBorders>
            <w:shd w:val="clear" w:color="auto" w:fill="FFF7E3"/>
            <w:tcMar>
              <w:top w:w="80" w:type="dxa"/>
              <w:left w:w="130" w:type="dxa"/>
              <w:bottom w:w="75" w:type="dxa"/>
              <w:right w:w="130" w:type="dxa"/>
            </w:tcMar>
          </w:tcPr>
          <w:p w14:paraId="66136802" w14:textId="350153F8" w:rsidR="00F52CEA" w:rsidRDefault="00000000">
            <w:pPr>
              <w:spacing w:after="0" w:line="266" w:lineRule="auto"/>
            </w:pPr>
            <w:r>
              <w:rPr>
                <w:b/>
                <w:color w:val="0B5962"/>
              </w:rPr>
              <w:t xml:space="preserve">Progress so far. </w:t>
            </w:r>
            <w:r>
              <w:rPr>
                <w:color w:val="1F2A2E"/>
              </w:rPr>
              <w:t xml:space="preserve">Core team active; Asana plan in place; AI workflows operational; </w:t>
            </w:r>
            <w:r w:rsidR="008523C8">
              <w:rPr>
                <w:color w:val="1F2A2E"/>
              </w:rPr>
              <w:t>SQL D</w:t>
            </w:r>
            <w:r>
              <w:rPr>
                <w:color w:val="1F2A2E"/>
              </w:rPr>
              <w:t xml:space="preserve">atabase established; </w:t>
            </w:r>
            <w:r w:rsidR="008523C8">
              <w:rPr>
                <w:color w:val="1F2A2E"/>
              </w:rPr>
              <w:t>Preliminary UI/UX</w:t>
            </w:r>
            <w:r>
              <w:rPr>
                <w:color w:val="1F2A2E"/>
              </w:rPr>
              <w:t xml:space="preserve"> and chatbot functional; Literature DB exceeds 1,000 collected sources; </w:t>
            </w:r>
            <w:r w:rsidR="008523C8">
              <w:rPr>
                <w:color w:val="1F2A2E"/>
              </w:rPr>
              <w:t>E</w:t>
            </w:r>
            <w:r>
              <w:rPr>
                <w:color w:val="1F2A2E"/>
              </w:rPr>
              <w:t xml:space="preserve">xpertise and molecular databases are underway; </w:t>
            </w:r>
            <w:r w:rsidR="008523C8">
              <w:rPr>
                <w:color w:val="1F2A2E"/>
              </w:rPr>
              <w:t>E</w:t>
            </w:r>
            <w:r>
              <w:rPr>
                <w:color w:val="1F2A2E"/>
              </w:rPr>
              <w:t>arly ecosystem interest is emerging.</w:t>
            </w:r>
          </w:p>
        </w:tc>
      </w:tr>
    </w:tbl>
    <w:p w14:paraId="7766363F" w14:textId="77777777" w:rsidR="00F52CEA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58"/>
      </w:tblGrid>
      <w:tr w:rsidR="00F52CEA" w14:paraId="2992401F" w14:textId="77777777">
        <w:tc>
          <w:tcPr>
            <w:tcW w:w="10858" w:type="dxa"/>
            <w:tcBorders>
              <w:top w:val="single" w:sz="8" w:space="0" w:color="0B5962"/>
              <w:left w:val="single" w:sz="8" w:space="0" w:color="0B5962"/>
              <w:bottom w:val="single" w:sz="8" w:space="0" w:color="0B5962"/>
              <w:right w:val="single" w:sz="8" w:space="0" w:color="0B5962"/>
            </w:tcBorders>
            <w:shd w:val="clear" w:color="auto" w:fill="0B5962"/>
            <w:tcMar>
              <w:top w:w="115" w:type="dxa"/>
              <w:left w:w="150" w:type="dxa"/>
              <w:bottom w:w="105" w:type="dxa"/>
              <w:right w:w="150" w:type="dxa"/>
            </w:tcMar>
          </w:tcPr>
          <w:p w14:paraId="426A01BA" w14:textId="77777777" w:rsidR="00F52CEA" w:rsidRDefault="00000000">
            <w:pPr>
              <w:spacing w:after="40" w:line="240" w:lineRule="auto"/>
            </w:pPr>
            <w:r>
              <w:rPr>
                <w:b/>
                <w:color w:val="FFFFFF"/>
                <w:sz w:val="34"/>
              </w:rPr>
              <w:lastRenderedPageBreak/>
              <w:t>How collaborators can create value</w:t>
            </w:r>
          </w:p>
          <w:p w14:paraId="77D10AA4" w14:textId="77777777" w:rsidR="00F52CEA" w:rsidRDefault="00000000">
            <w:pPr>
              <w:spacing w:after="0" w:line="259" w:lineRule="auto"/>
            </w:pPr>
            <w:r>
              <w:rPr>
                <w:color w:val="DDEFEA"/>
              </w:rPr>
              <w:t>MeatCODE is designed as a focused pre-competitive interface between science, product reality and ecosystem action.</w:t>
            </w:r>
          </w:p>
        </w:tc>
      </w:tr>
    </w:tbl>
    <w:p w14:paraId="092A8401" w14:textId="77777777" w:rsidR="008523C8" w:rsidRDefault="008523C8">
      <w:pPr>
        <w:spacing w:before="120" w:after="40" w:line="252" w:lineRule="auto"/>
        <w:rPr>
          <w:b/>
          <w:color w:val="0B5962"/>
          <w:sz w:val="23"/>
        </w:rPr>
      </w:pPr>
    </w:p>
    <w:p w14:paraId="6AB2B98E" w14:textId="0993E0FA" w:rsidR="00F52CEA" w:rsidRDefault="00000000">
      <w:pPr>
        <w:spacing w:before="120" w:after="40" w:line="252" w:lineRule="auto"/>
      </w:pPr>
      <w:r>
        <w:rPr>
          <w:b/>
          <w:color w:val="0B5962"/>
          <w:sz w:val="23"/>
        </w:rPr>
        <w:t>Where your input matters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F52CEA" w14:paraId="161ACB44" w14:textId="77777777">
        <w:trPr>
          <w:jc w:val="center"/>
        </w:trPr>
        <w:tc>
          <w:tcPr>
            <w:tcW w:w="511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7FBFA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94E2E61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Contribution areas</w:t>
            </w:r>
          </w:p>
          <w:p w14:paraId="5756181A" w14:textId="77777777" w:rsidR="00F52CEA" w:rsidRDefault="00000000">
            <w:pPr>
              <w:pStyle w:val="ListBullet"/>
              <w:spacing w:after="40" w:line="264" w:lineRule="auto"/>
              <w:ind w:left="259" w:hanging="187"/>
            </w:pPr>
            <w:r>
              <w:rPr>
                <w:color w:val="1F2A2E"/>
              </w:rPr>
              <w:t>Review scientific logic: pathways, compounds, methods, sensory descriptors and assumptions.</w:t>
            </w:r>
          </w:p>
          <w:p w14:paraId="1CE7879F" w14:textId="77777777" w:rsidR="00F52CEA" w:rsidRDefault="00000000">
            <w:pPr>
              <w:pStyle w:val="ListBullet"/>
              <w:spacing w:after="40" w:line="264" w:lineRule="auto"/>
              <w:ind w:left="259" w:hanging="187"/>
            </w:pPr>
            <w:r>
              <w:rPr>
                <w:color w:val="1F2A2E"/>
              </w:rPr>
              <w:t>Suggest essential sources, datasets, benchmark products, protocols and missing experts.</w:t>
            </w:r>
          </w:p>
          <w:p w14:paraId="794AA0FF" w14:textId="77777777" w:rsidR="00F52CEA" w:rsidRDefault="00000000">
            <w:pPr>
              <w:pStyle w:val="ListBullet"/>
              <w:spacing w:after="40" w:line="264" w:lineRule="auto"/>
              <w:ind w:left="259" w:hanging="187"/>
            </w:pPr>
            <w:r>
              <w:rPr>
                <w:color w:val="1F2A2E"/>
              </w:rPr>
              <w:t>Stress-test user journeys by asking real R&amp;D questions and identifying weak or missing answers.</w:t>
            </w:r>
          </w:p>
          <w:p w14:paraId="3F0F465B" w14:textId="77777777" w:rsidR="00F52CEA" w:rsidRDefault="00000000">
            <w:pPr>
              <w:pStyle w:val="ListBullet"/>
              <w:spacing w:after="40" w:line="264" w:lineRule="auto"/>
              <w:ind w:left="259" w:hanging="187"/>
            </w:pPr>
            <w:r>
              <w:rPr>
                <w:color w:val="1F2A2E"/>
              </w:rPr>
              <w:t>Shape one concrete output: a protocol starter, research question, short brief, workshop or grant concept.</w:t>
            </w:r>
          </w:p>
        </w:tc>
        <w:tc>
          <w:tcPr>
            <w:tcW w:w="511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7FBFA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64E5569B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Expected value back</w:t>
            </w:r>
          </w:p>
          <w:p w14:paraId="4D386315" w14:textId="77777777" w:rsidR="00F52CEA" w:rsidRDefault="00000000">
            <w:pPr>
              <w:pStyle w:val="ListBullet"/>
              <w:spacing w:after="40" w:line="264" w:lineRule="auto"/>
              <w:ind w:left="259" w:hanging="187"/>
            </w:pPr>
            <w:r>
              <w:rPr>
                <w:color w:val="1F2A2E"/>
              </w:rPr>
              <w:t>A faster entry point into meaty process flavor science, with traceable sources.</w:t>
            </w:r>
          </w:p>
          <w:p w14:paraId="073DF041" w14:textId="77777777" w:rsidR="00F52CEA" w:rsidRDefault="00000000">
            <w:pPr>
              <w:pStyle w:val="ListBullet"/>
              <w:spacing w:after="40" w:line="264" w:lineRule="auto"/>
              <w:ind w:left="259" w:hanging="187"/>
            </w:pPr>
            <w:r>
              <w:rPr>
                <w:color w:val="1F2A2E"/>
              </w:rPr>
              <w:t>Clearer language for process flavor, added flavor, precursor design, matrix effects, release and sensory perception.</w:t>
            </w:r>
          </w:p>
          <w:p w14:paraId="6E3695FF" w14:textId="77777777" w:rsidR="00F52CEA" w:rsidRDefault="00000000">
            <w:pPr>
              <w:pStyle w:val="ListBullet"/>
              <w:spacing w:after="40" w:line="264" w:lineRule="auto"/>
              <w:ind w:left="259" w:hanging="187"/>
            </w:pPr>
            <w:r>
              <w:rPr>
                <w:color w:val="1F2A2E"/>
              </w:rPr>
              <w:t>Better research prioritization, tied to practical product bottlenecks.</w:t>
            </w:r>
          </w:p>
          <w:p w14:paraId="3F25542B" w14:textId="7BE0C3E1" w:rsidR="00F52CEA" w:rsidRDefault="00000000">
            <w:pPr>
              <w:pStyle w:val="ListBullet"/>
              <w:spacing w:after="40" w:line="264" w:lineRule="auto"/>
              <w:ind w:left="259" w:hanging="187"/>
            </w:pPr>
            <w:r>
              <w:rPr>
                <w:color w:val="1F2A2E"/>
              </w:rPr>
              <w:t>A route to influence</w:t>
            </w:r>
            <w:r w:rsidR="008523C8">
              <w:rPr>
                <w:color w:val="1F2A2E"/>
              </w:rPr>
              <w:t xml:space="preserve"> </w:t>
            </w:r>
            <w:r>
              <w:rPr>
                <w:color w:val="1F2A2E"/>
              </w:rPr>
              <w:t>resources, research priorities and ecosystem collaboration.</w:t>
            </w:r>
          </w:p>
        </w:tc>
      </w:tr>
    </w:tbl>
    <w:p w14:paraId="6BEE7FBA" w14:textId="77777777" w:rsidR="008523C8" w:rsidRDefault="008523C8">
      <w:pPr>
        <w:spacing w:before="100" w:after="40" w:line="252" w:lineRule="auto"/>
        <w:rPr>
          <w:b/>
          <w:color w:val="0B5962"/>
          <w:sz w:val="23"/>
        </w:rPr>
      </w:pPr>
    </w:p>
    <w:p w14:paraId="1CF4BAC9" w14:textId="3F16E225" w:rsidR="00F52CEA" w:rsidRDefault="00000000">
      <w:pPr>
        <w:spacing w:before="100" w:after="40" w:line="252" w:lineRule="auto"/>
      </w:pPr>
      <w:r>
        <w:rPr>
          <w:b/>
          <w:color w:val="0B5962"/>
          <w:sz w:val="23"/>
        </w:rPr>
        <w:t>Who this is for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55"/>
        <w:gridCol w:w="3355"/>
        <w:gridCol w:w="3355"/>
      </w:tblGrid>
      <w:tr w:rsidR="00F52CEA" w14:paraId="1495E5E5" w14:textId="77777777">
        <w:trPr>
          <w:jc w:val="center"/>
        </w:trPr>
        <w:tc>
          <w:tcPr>
            <w:tcW w:w="3355" w:type="dxa"/>
            <w:tcBorders>
              <w:top w:val="single" w:sz="6" w:space="0" w:color="D6E7E2"/>
              <w:left w:val="single" w:sz="6" w:space="0" w:color="D6E7E2"/>
              <w:bottom w:val="single" w:sz="6" w:space="0" w:color="D6E7E2"/>
              <w:right w:val="single" w:sz="6" w:space="0" w:color="D6E7E2"/>
            </w:tcBorders>
            <w:shd w:val="clear" w:color="auto" w:fill="F4FAF8"/>
            <w:tcMar>
              <w:top w:w="80" w:type="dxa"/>
              <w:left w:w="100" w:type="dxa"/>
              <w:bottom w:w="75" w:type="dxa"/>
              <w:right w:w="100" w:type="dxa"/>
            </w:tcMar>
          </w:tcPr>
          <w:p w14:paraId="0457ED8E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Researchers</w:t>
            </w:r>
          </w:p>
          <w:p w14:paraId="3C410B5F" w14:textId="77777777" w:rsidR="00F52CEA" w:rsidRDefault="00000000">
            <w:pPr>
              <w:spacing w:after="0" w:line="264" w:lineRule="auto"/>
            </w:pPr>
            <w:r>
              <w:rPr>
                <w:color w:val="1F2A2E"/>
              </w:rPr>
              <w:t>Flavor chemistry, lipid chemistry, Maillard/Strecker chemistry, sensory science, analytics, fermentation, proteomics, food matrices and meat science.</w:t>
            </w:r>
          </w:p>
        </w:tc>
        <w:tc>
          <w:tcPr>
            <w:tcW w:w="3355" w:type="dxa"/>
            <w:tcBorders>
              <w:top w:val="single" w:sz="6" w:space="0" w:color="D6E7E2"/>
              <w:left w:val="single" w:sz="6" w:space="0" w:color="D6E7E2"/>
              <w:bottom w:val="single" w:sz="6" w:space="0" w:color="D6E7E2"/>
              <w:right w:val="single" w:sz="6" w:space="0" w:color="D6E7E2"/>
            </w:tcBorders>
            <w:shd w:val="clear" w:color="auto" w:fill="FFFFFF"/>
            <w:tcMar>
              <w:top w:w="80" w:type="dxa"/>
              <w:left w:w="100" w:type="dxa"/>
              <w:bottom w:w="75" w:type="dxa"/>
              <w:right w:w="100" w:type="dxa"/>
            </w:tcMar>
          </w:tcPr>
          <w:p w14:paraId="00C52220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Industry teams</w:t>
            </w:r>
          </w:p>
          <w:p w14:paraId="25BAC865" w14:textId="77777777" w:rsidR="00F52CEA" w:rsidRDefault="00000000">
            <w:pPr>
              <w:spacing w:after="0" w:line="264" w:lineRule="auto"/>
            </w:pPr>
            <w:r>
              <w:rPr>
                <w:color w:val="1F2A2E"/>
              </w:rPr>
              <w:t>Flavor, ingredient, technology and alt-meat companies working on hydrolysates, yeast extracts, lipids, masking, delivery, analytical services or product formulation.</w:t>
            </w:r>
          </w:p>
        </w:tc>
        <w:tc>
          <w:tcPr>
            <w:tcW w:w="3355" w:type="dxa"/>
            <w:tcBorders>
              <w:top w:val="single" w:sz="6" w:space="0" w:color="D6E7E2"/>
              <w:left w:val="single" w:sz="6" w:space="0" w:color="D6E7E2"/>
              <w:bottom w:val="single" w:sz="6" w:space="0" w:color="D6E7E2"/>
              <w:right w:val="single" w:sz="6" w:space="0" w:color="D6E7E2"/>
            </w:tcBorders>
            <w:shd w:val="clear" w:color="auto" w:fill="F4FAF8"/>
            <w:tcMar>
              <w:top w:w="80" w:type="dxa"/>
              <w:left w:w="100" w:type="dxa"/>
              <w:bottom w:w="75" w:type="dxa"/>
              <w:right w:w="100" w:type="dxa"/>
            </w:tcMar>
          </w:tcPr>
          <w:p w14:paraId="54E1022C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  <w:sz w:val="21"/>
              </w:rPr>
              <w:t>Funders &amp; ecosystem builders</w:t>
            </w:r>
          </w:p>
          <w:p w14:paraId="571D280A" w14:textId="77777777" w:rsidR="00F52CEA" w:rsidRDefault="00000000">
            <w:pPr>
              <w:spacing w:after="0" w:line="264" w:lineRule="auto"/>
            </w:pPr>
            <w:r>
              <w:rPr>
                <w:color w:val="1F2A2E"/>
              </w:rPr>
              <w:t>Organizations seeking sharper field maps, practical white spaces and research priorities with product-level relevance.</w:t>
            </w:r>
          </w:p>
        </w:tc>
      </w:tr>
    </w:tbl>
    <w:p w14:paraId="1C6D1FC0" w14:textId="77777777" w:rsidR="008523C8" w:rsidRDefault="008523C8">
      <w:pPr>
        <w:spacing w:before="100" w:after="40" w:line="252" w:lineRule="auto"/>
        <w:rPr>
          <w:b/>
          <w:color w:val="0B5962"/>
          <w:sz w:val="23"/>
        </w:rPr>
      </w:pPr>
    </w:p>
    <w:p w14:paraId="55A148FF" w14:textId="37A6FE0E" w:rsidR="00F52CEA" w:rsidRDefault="00000000">
      <w:pPr>
        <w:spacing w:before="100" w:after="40" w:line="252" w:lineRule="auto"/>
      </w:pPr>
      <w:r>
        <w:rPr>
          <w:b/>
          <w:color w:val="0B5962"/>
          <w:sz w:val="23"/>
        </w:rPr>
        <w:t>2026 validation path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F52CEA" w14:paraId="442D0F53" w14:textId="77777777" w:rsidTr="008523C8">
        <w:trPr>
          <w:jc w:val="center"/>
        </w:trPr>
        <w:tc>
          <w:tcPr>
            <w:tcW w:w="2520" w:type="dxa"/>
            <w:tcBorders>
              <w:top w:val="single" w:sz="6" w:space="0" w:color="D6E7E2"/>
              <w:left w:val="single" w:sz="6" w:space="0" w:color="D6E7E2"/>
              <w:bottom w:val="single" w:sz="4" w:space="0" w:color="auto"/>
              <w:right w:val="single" w:sz="6" w:space="0" w:color="D6E7E2"/>
            </w:tcBorders>
            <w:shd w:val="clear" w:color="auto" w:fill="F4FAF8"/>
            <w:tcMar>
              <w:top w:w="75" w:type="dxa"/>
              <w:left w:w="85" w:type="dxa"/>
              <w:bottom w:w="70" w:type="dxa"/>
              <w:right w:w="85" w:type="dxa"/>
            </w:tcMar>
          </w:tcPr>
          <w:p w14:paraId="1A92A6EE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</w:rPr>
              <w:t>May-Jun</w:t>
            </w:r>
          </w:p>
          <w:p w14:paraId="071AB442" w14:textId="77777777" w:rsidR="00F52CEA" w:rsidRDefault="00000000">
            <w:pPr>
              <w:spacing w:after="0" w:line="259" w:lineRule="auto"/>
            </w:pPr>
            <w:r>
              <w:rPr>
                <w:color w:val="1F2A2E"/>
              </w:rPr>
              <w:t>Scope, charter, Asana, architecture, first demo.</w:t>
            </w:r>
          </w:p>
        </w:tc>
        <w:tc>
          <w:tcPr>
            <w:tcW w:w="2520" w:type="dxa"/>
            <w:tcBorders>
              <w:top w:val="single" w:sz="6" w:space="0" w:color="D6E7E2"/>
              <w:left w:val="single" w:sz="6" w:space="0" w:color="D6E7E2"/>
              <w:bottom w:val="single" w:sz="4" w:space="0" w:color="auto"/>
              <w:right w:val="single" w:sz="6" w:space="0" w:color="D6E7E2"/>
            </w:tcBorders>
            <w:shd w:val="clear" w:color="auto" w:fill="FFFFFF"/>
            <w:tcMar>
              <w:top w:w="75" w:type="dxa"/>
              <w:left w:w="85" w:type="dxa"/>
              <w:bottom w:w="70" w:type="dxa"/>
              <w:right w:w="85" w:type="dxa"/>
            </w:tcMar>
          </w:tcPr>
          <w:p w14:paraId="634DA62C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</w:rPr>
              <w:t>Jul-Aug</w:t>
            </w:r>
          </w:p>
          <w:p w14:paraId="34ECDDCC" w14:textId="77777777" w:rsidR="00F52CEA" w:rsidRDefault="00000000">
            <w:pPr>
              <w:spacing w:after="0" w:line="259" w:lineRule="auto"/>
            </w:pPr>
            <w:r>
              <w:rPr>
                <w:color w:val="1F2A2E"/>
              </w:rPr>
              <w:t>Literature, expert and molecular databases reach useful v1/alpha.</w:t>
            </w:r>
          </w:p>
        </w:tc>
        <w:tc>
          <w:tcPr>
            <w:tcW w:w="2520" w:type="dxa"/>
            <w:tcBorders>
              <w:top w:val="single" w:sz="6" w:space="0" w:color="D6E7E2"/>
              <w:left w:val="single" w:sz="6" w:space="0" w:color="D6E7E2"/>
              <w:bottom w:val="single" w:sz="4" w:space="0" w:color="auto"/>
              <w:right w:val="single" w:sz="6" w:space="0" w:color="D6E7E2"/>
            </w:tcBorders>
            <w:shd w:val="clear" w:color="auto" w:fill="F4FAF8"/>
            <w:tcMar>
              <w:top w:w="75" w:type="dxa"/>
              <w:left w:w="85" w:type="dxa"/>
              <w:bottom w:w="70" w:type="dxa"/>
              <w:right w:w="85" w:type="dxa"/>
            </w:tcMar>
          </w:tcPr>
          <w:p w14:paraId="38C864CF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</w:rPr>
              <w:t>Sep-Oct</w:t>
            </w:r>
          </w:p>
          <w:p w14:paraId="7AD023E6" w14:textId="77777777" w:rsidR="00F52CEA" w:rsidRDefault="00000000">
            <w:pPr>
              <w:spacing w:after="0" w:line="259" w:lineRule="auto"/>
            </w:pPr>
            <w:r>
              <w:rPr>
                <w:color w:val="1F2A2E"/>
              </w:rPr>
              <w:t>MVP integrates search, DB pages, tools and demo workflows.</w:t>
            </w:r>
          </w:p>
        </w:tc>
        <w:tc>
          <w:tcPr>
            <w:tcW w:w="2520" w:type="dxa"/>
            <w:tcBorders>
              <w:top w:val="single" w:sz="6" w:space="0" w:color="D6E7E2"/>
              <w:left w:val="single" w:sz="6" w:space="0" w:color="D6E7E2"/>
              <w:bottom w:val="single" w:sz="4" w:space="0" w:color="auto"/>
              <w:right w:val="single" w:sz="6" w:space="0" w:color="D6E7E2"/>
            </w:tcBorders>
            <w:shd w:val="clear" w:color="auto" w:fill="FFFFFF"/>
            <w:tcMar>
              <w:top w:w="75" w:type="dxa"/>
              <w:left w:w="85" w:type="dxa"/>
              <w:bottom w:w="70" w:type="dxa"/>
              <w:right w:w="85" w:type="dxa"/>
            </w:tcMar>
          </w:tcPr>
          <w:p w14:paraId="3BE173D0" w14:textId="77777777" w:rsidR="00F52CEA" w:rsidRDefault="00000000">
            <w:pPr>
              <w:spacing w:after="40" w:line="252" w:lineRule="auto"/>
            </w:pPr>
            <w:r>
              <w:rPr>
                <w:b/>
                <w:color w:val="0B5962"/>
              </w:rPr>
              <w:t>Nov-Jan</w:t>
            </w:r>
          </w:p>
          <w:p w14:paraId="5324C1D6" w14:textId="77777777" w:rsidR="00F52CEA" w:rsidRDefault="00000000">
            <w:pPr>
              <w:spacing w:after="0" w:line="259" w:lineRule="auto"/>
            </w:pPr>
            <w:r>
              <w:rPr>
                <w:color w:val="1F2A2E"/>
              </w:rPr>
              <w:t>Expert validation, advisory momentum and scale-up case.</w:t>
            </w:r>
          </w:p>
        </w:tc>
      </w:tr>
      <w:tr w:rsidR="008523C8" w14:paraId="4F57E28A" w14:textId="77777777" w:rsidTr="008523C8">
        <w:trPr>
          <w:jc w:val="center"/>
        </w:trPr>
        <w:tc>
          <w:tcPr>
            <w:tcW w:w="10080" w:type="dxa"/>
            <w:gridSpan w:val="4"/>
            <w:tcBorders>
              <w:top w:val="single" w:sz="4" w:space="0" w:color="auto"/>
            </w:tcBorders>
            <w:tcMar>
              <w:top w:w="75" w:type="dxa"/>
              <w:left w:w="85" w:type="dxa"/>
              <w:bottom w:w="70" w:type="dxa"/>
              <w:right w:w="85" w:type="dxa"/>
            </w:tcMar>
          </w:tcPr>
          <w:p w14:paraId="03723495" w14:textId="77777777" w:rsidR="008523C8" w:rsidRDefault="008523C8">
            <w:pPr>
              <w:spacing w:after="40" w:line="252" w:lineRule="auto"/>
              <w:rPr>
                <w:b/>
                <w:color w:val="0B5962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858"/>
      </w:tblGrid>
      <w:tr w:rsidR="00F52CEA" w14:paraId="2B93D887" w14:textId="77777777">
        <w:tc>
          <w:tcPr>
            <w:tcW w:w="10858" w:type="dxa"/>
            <w:tcBorders>
              <w:top w:val="single" w:sz="8" w:space="0" w:color="0B5962"/>
              <w:left w:val="single" w:sz="8" w:space="0" w:color="0B5962"/>
              <w:bottom w:val="single" w:sz="8" w:space="0" w:color="0B5962"/>
              <w:right w:val="single" w:sz="8" w:space="0" w:color="0B5962"/>
            </w:tcBorders>
            <w:shd w:val="clear" w:color="auto" w:fill="0B5962"/>
            <w:tcMar>
              <w:top w:w="95" w:type="dxa"/>
              <w:left w:w="145" w:type="dxa"/>
              <w:bottom w:w="90" w:type="dxa"/>
              <w:right w:w="145" w:type="dxa"/>
            </w:tcMar>
          </w:tcPr>
          <w:p w14:paraId="31728506" w14:textId="77777777" w:rsidR="00F52CEA" w:rsidRDefault="00000000">
            <w:pPr>
              <w:spacing w:after="60" w:line="252" w:lineRule="auto"/>
            </w:pPr>
            <w:r>
              <w:rPr>
                <w:b/>
                <w:color w:val="FFFFFF"/>
                <w:sz w:val="24"/>
              </w:rPr>
              <w:t>Collaboration invitation</w:t>
            </w:r>
          </w:p>
          <w:p w14:paraId="116600C3" w14:textId="77777777" w:rsidR="00F52CEA" w:rsidRDefault="00000000">
            <w:pPr>
              <w:spacing w:after="80" w:line="269" w:lineRule="auto"/>
            </w:pPr>
            <w:r>
              <w:rPr>
                <w:color w:val="E8F3F1"/>
              </w:rPr>
              <w:t>We invite collaborators to help define the knowledge base, validate the scientific logic, identify the highest-value gaps and translate meaty flavor science into shared tools and actionable R&amp;D directions for the alternative meat ecosystem.</w:t>
            </w:r>
          </w:p>
          <w:p w14:paraId="1137FA8E" w14:textId="28BD9AA6" w:rsidR="00F52CEA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 xml:space="preserve">Contact: Daniel Dikovsky | GFI IL </w:t>
            </w:r>
            <w:r w:rsidR="008523C8">
              <w:rPr>
                <w:b/>
                <w:color w:val="FFFFFF"/>
              </w:rPr>
              <w:t xml:space="preserve">Head of </w:t>
            </w:r>
            <w:r>
              <w:rPr>
                <w:b/>
                <w:color w:val="FFFFFF"/>
              </w:rPr>
              <w:t>SciTech | daniel</w:t>
            </w:r>
            <w:r w:rsidR="008523C8">
              <w:rPr>
                <w:b/>
                <w:color w:val="FFFFFF"/>
              </w:rPr>
              <w:t>d</w:t>
            </w:r>
            <w:r>
              <w:rPr>
                <w:b/>
                <w:color w:val="FFFFFF"/>
              </w:rPr>
              <w:t>@gfi.org</w:t>
            </w:r>
          </w:p>
        </w:tc>
      </w:tr>
    </w:tbl>
    <w:p w14:paraId="61E67CB2" w14:textId="77777777" w:rsidR="00CC609E" w:rsidRDefault="00CC609E"/>
    <w:sectPr w:rsidR="00CC609E" w:rsidSect="00034616">
      <w:headerReference w:type="default" r:id="rId9"/>
      <w:footerReference w:type="default" r:id="rId10"/>
      <w:pgSz w:w="12240" w:h="15840"/>
      <w:pgMar w:top="605" w:right="691" w:bottom="605" w:left="691" w:header="230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BDA2F" w14:textId="77777777" w:rsidR="00CC609E" w:rsidRDefault="00CC609E">
      <w:pPr>
        <w:spacing w:after="0" w:line="240" w:lineRule="auto"/>
      </w:pPr>
      <w:r>
        <w:separator/>
      </w:r>
    </w:p>
  </w:endnote>
  <w:endnote w:type="continuationSeparator" w:id="0">
    <w:p w14:paraId="374F8BEB" w14:textId="77777777" w:rsidR="00CC609E" w:rsidRDefault="00CC6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656D5" w14:textId="77777777" w:rsidR="00F52CEA" w:rsidRDefault="00000000">
    <w:pPr>
      <w:pStyle w:val="Footer"/>
      <w:jc w:val="center"/>
    </w:pPr>
    <w:proofErr w:type="spellStart"/>
    <w:r>
      <w:rPr>
        <w:color w:val="555555"/>
      </w:rPr>
      <w:t>MeatCODE</w:t>
    </w:r>
    <w:proofErr w:type="spellEnd"/>
    <w:r>
      <w:rPr>
        <w:color w:val="555555"/>
      </w:rPr>
      <w:t xml:space="preserve"> - Meat Collaborative Open Development Ecosystem | Open Flavor &amp; Aroma Initiative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1E198" w14:textId="77777777" w:rsidR="00CC609E" w:rsidRDefault="00CC609E">
      <w:pPr>
        <w:spacing w:after="0" w:line="240" w:lineRule="auto"/>
      </w:pPr>
      <w:r>
        <w:separator/>
      </w:r>
    </w:p>
  </w:footnote>
  <w:footnote w:type="continuationSeparator" w:id="0">
    <w:p w14:paraId="663F83E8" w14:textId="77777777" w:rsidR="00CC609E" w:rsidRDefault="00CC6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902B9" w14:textId="77777777" w:rsidR="00F52CEA" w:rsidRDefault="00000000">
    <w:pPr>
      <w:pStyle w:val="Header"/>
      <w:jc w:val="right"/>
    </w:pPr>
    <w:r>
      <w:rPr>
        <w:color w:val="555555"/>
      </w:rPr>
      <w:t xml:space="preserve">GFI IL SciTech | </w:t>
    </w:r>
    <w:proofErr w:type="spellStart"/>
    <w:r>
      <w:rPr>
        <w:color w:val="555555"/>
      </w:rPr>
      <w:t>MeatCODE</w:t>
    </w:r>
    <w:proofErr w:type="spellEnd"/>
    <w:r>
      <w:rPr>
        <w:color w:val="555555"/>
      </w:rPr>
      <w:t xml:space="preserve"> collaborator brief |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559366">
    <w:abstractNumId w:val="8"/>
  </w:num>
  <w:num w:numId="2" w16cid:durableId="1409183234">
    <w:abstractNumId w:val="6"/>
  </w:num>
  <w:num w:numId="3" w16cid:durableId="1892961592">
    <w:abstractNumId w:val="5"/>
  </w:num>
  <w:num w:numId="4" w16cid:durableId="1142699212">
    <w:abstractNumId w:val="4"/>
  </w:num>
  <w:num w:numId="5" w16cid:durableId="64769663">
    <w:abstractNumId w:val="7"/>
  </w:num>
  <w:num w:numId="6" w16cid:durableId="1507016538">
    <w:abstractNumId w:val="3"/>
  </w:num>
  <w:num w:numId="7" w16cid:durableId="922102671">
    <w:abstractNumId w:val="2"/>
  </w:num>
  <w:num w:numId="8" w16cid:durableId="1883201110">
    <w:abstractNumId w:val="1"/>
  </w:num>
  <w:num w:numId="9" w16cid:durableId="107520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3C8"/>
    <w:rsid w:val="00AA1D8D"/>
    <w:rsid w:val="00AF5C46"/>
    <w:rsid w:val="00B47730"/>
    <w:rsid w:val="00CB0664"/>
    <w:rsid w:val="00CC609E"/>
    <w:rsid w:val="00E06C21"/>
    <w:rsid w:val="00F52C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943D3"/>
  <w14:defaultImageDpi w14:val="300"/>
  <w15:docId w15:val="{971121A5-EDD0-4497-9E25-F6D20B80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MeatCODE External Collaborator Brief</vt:lpstr>
    </vt:vector>
  </TitlesOfParts>
  <Manager/>
  <Company/>
  <LinksUpToDate>false</LinksUpToDate>
  <CharactersWithSpaces>4442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MeatCODE External Collaborator Brief</dc:title>
  <dc:subject>Open Flavor &amp; Aroma Initiative collaborator 2-pager</dc:subject>
  <dc:creator>Daniel Dikovsky / GFI IL SciTech</dc:creator>
  <cp:keywords/>
  <dc:description>Revised layout: no font below 10 pt, no Labs section, reduced repetition, updated MVP elements.</dc:description>
  <cp:lastModifiedBy>Daniel. Dikovsky</cp:lastModifiedBy>
  <cp:revision>2</cp:revision>
  <dcterms:created xsi:type="dcterms:W3CDTF">2013-12-23T23:15:00Z</dcterms:created>
  <dcterms:modified xsi:type="dcterms:W3CDTF">2026-06-07T11:16:00Z</dcterms:modified>
  <cp:category/>
</cp:coreProperties>
</file>