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815822" w14:textId="0a815822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Baseline characteristics of all participants with SDB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0.223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0.757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0.928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0.747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0.732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54.43(43.45-65.41)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0.728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0.679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