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62b25ef" w14:textId="f62b25ef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36.21(23.84-48.58)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-1.6001,0.1999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0.4771,4.5744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0.4775,9.0709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0.2657,3.1044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0.2456,4.0735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32.76(20.68-44.84)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63.79(51.42-76.16)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1.245,14.6231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0.4612,7.3345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0,1.5513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0.174,76.0541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0.181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0.6047,10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0.1244,9.2631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2.516,42.807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0.2011,2.8629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68.97(57.06-80.87)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0.0992,2.4673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0.2603,5.6799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41.38(28.7-54.05)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0.3477,15.7193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0.0355,44.2241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96.55(91.86-101.25)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0.0941,8.5696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0.0178,9.1819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91.38(84.16-98.6)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0.3306,6.158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0.3012,6.4831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0.1967,2.6528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0.1185,3.2956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0.3681,5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0.1317,2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0.5317,27.1112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0.3764,8.4816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0.8205,10.2483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0.5928,206.8096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82.76(73.04-92.48)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0.0554,6.7064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0.2563,32.8817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94.83(89.13-100.53)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