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2596ed1" w14:textId="52596ed1">
      <w:pPr>
        <w:pBdr/>
        <w:spacing w:before="20" w:after="20"/>
        <w:ind w:left="20" w:right="20"/>
        <w:jc w:val="left"/>
        <w15:collapsed w:val="false"/>
      </w:pPr>
    </w:p>
    <w:p>
      <w:pPr>
        <w:pBdr/>
        <w:spacing w:before="20" w:after="20"/>
        <w:ind w:left="20" w:right="20"/>
        <w:jc w:val="left"/>
      </w:pPr>
    </w:p>
    <w:p>
      <w:pPr>
        <w:pBdr/>
        <w:spacing w:before="20" w:after="20"/>
        <w:ind w:left="20" w:right="20"/>
        <w:jc w:val="left"/>
      </w:pPr>
    </w:p>
    <w:p>
      <w:pPr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Style w:val="Titre1"/>
      </w:pPr>
      <w:r>
        <w:t>TABLE 1. characteristics of all participants with and without SDB, 6-8 weeks post operation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Characteristics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All participants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n=79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PSQ &gt; 0.33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n=14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PSQ &lt; 0.33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n=65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p-value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CI</w:t>
            </w:r>
          </w:p>
        </w:tc>
      </w:tr>
      <w:tr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Age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4.57±1.96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4.83±1.57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4.51±2.05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0.301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-0.5,1.5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2-5 yrs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57(72)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8(57)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49(75)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6-10 yrs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22(28)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6(43)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16(25)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Gender, n(%)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0.4771,4.5744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Male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47(59)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10(71)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37(57)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Female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32(41)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4(29)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28(43)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Asthma, n(%)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26(33)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5(36)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21(32)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0.2456,4.0735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Allergic rhinitis, n(%)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42(53)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9(64)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33(51)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0.4612,7.3345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BMI(kg/m^2)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14.43±2.22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14.14±1.44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14.49±2.36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Birth weight category, n(%)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0.174,76.0541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&lt;2.5 kgs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8(10)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7(11)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&gt;=2.5 kgs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71(90)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13(93)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58(89)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Hospital category, n(%)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Private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14(18)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14(22)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Public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65(82)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14(100)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51(78)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BMI category, n(%)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Underweight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Normal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63(80)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12(86)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51(78)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Overweight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8(10)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2(14)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6(9)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Obese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Height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109.99±17.55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111.25±12.95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109.72±18.47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SDB,n(%)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58(73)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14(100)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44(68)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OSA,n(%)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44(56)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7(50)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37(57)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0.769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0.2011,2.8629</w:t>
            </w:r>
          </w:p>
        </w:tc>
      </w:tr>
    </w:tbl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KWTRP/BOkola on computer KENBO-LT1077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