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ab1a319" w14:textId="cab1a319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of all participants with and without SDB, 6-8 weeks post operation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All participants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n=79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&gt;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n=14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&lt;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n=65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57.14(31.22-83.07)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75.38(64.91-85.86)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42.86(16.93-68.78)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24.62(14.14-35.09)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59.49(48.67-70.32)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56.92(44.88-68.96)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43.08(31.04-55.12)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32.31(20.94-43.68)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61.54(49.71-73.37)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50.77(38.62-62.92)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49.23(37.08-61.38)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10.77(3.23-18.31)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89.87(83.22-96.53)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89.23(81.69-96.77)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21.54(11.54-31.53)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82.28(73.86-90.7)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78.46(68.47-88.46)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6.15(0.31-12)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79.75(70.88-88.61)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85.71(67.38-104.04)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78.46(68.47-88.46)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14.29(-4.04-32.62)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9.23(2.19-16.27)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6.15(0.31-12)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56.92(44.88-68.96)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44.3(33.35-55.26)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43.08(31.04-55.12)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24.62(14.14-35.09)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29.23(18.17-40.29)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32.31(20.94-43.68)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43.04(32.12-53.96)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57.14(31.22-83.07)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40(28.09-51.91)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27.69(16.81-38.57)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1.54(-1.45-4.53)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74.68(65.1-84.27)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78.57(57.08-100.07)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7.69(1.21-14.17)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13.85(5.45-22.24)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4.62(-0.49-9.72)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96.2(91.99-100.42)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95.38(90.28-100.49)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7.69(1.21-14.17)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91.14(84.87-97.41)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90.77(83.73-97.81)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20(10.28-29.72)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75.95(66.52-85.37)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76.92(66.68-87.17)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25.32(15.73-34.9)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26.15(15.47-36.84)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78.57(57.08-100.07)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70.77(59.71-81.83)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21.54(11.54-31.53)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18.99(10.34-27.64)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16.92(7.81-26.04)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81.01(72.36-89.66)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83.08(73.96-92.19)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26.15(15.47-36.84)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77.22(67.97-86.46)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93.67(88.3-99.04)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85.71(67.38-104.04)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95.38(90.28-100.49)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14.29(-4.04-32.62)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4.62(-0.49-9.72)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