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BD" w:rsidRDefault="007E10AF">
      <w:pPr>
        <w:pStyle w:val="Title"/>
      </w:pPr>
      <w:r>
        <w:t>Data Analysis</w:t>
      </w:r>
    </w:p>
    <w:p w:rsidR="00B642BD" w:rsidRDefault="007E10AF">
      <w:pPr>
        <w:pStyle w:val="Heading2"/>
      </w:pPr>
      <w:bookmarkStart w:id="0" w:name="statistical-analysis"/>
      <w:r>
        <w:t>Statistical Analysis</w:t>
      </w:r>
      <w:bookmarkEnd w:id="0"/>
    </w:p>
    <w:p w:rsidR="00B642BD" w:rsidRDefault="007E10AF">
      <w:pPr>
        <w:pStyle w:val="FirstParagraph"/>
      </w:pPr>
      <w:r>
        <w:t>We present descriptive summaries of key sample statistics. We compared baseline sample characteristics between those children found to be at risk of OSA and those not at risk. We used the Fisher’s exact test or chi-square tests for categorical variables. T</w:t>
      </w:r>
      <w:r>
        <w:t xml:space="preserve">he Wilcoxon rank sum test or Kruskal–Wallis test was used for continuous variables. We considered p-values of &lt;0.05 to be statistically significant. </w:t>
      </w:r>
    </w:p>
    <w:p w:rsidR="00B82252" w:rsidRDefault="00B82252" w:rsidP="00B82252">
      <w:pPr>
        <w:pStyle w:val="BodyText"/>
      </w:pPr>
    </w:p>
    <w:p w:rsidR="00B82252" w:rsidRDefault="00B82252" w:rsidP="00B82252">
      <w:pPr>
        <w:pStyle w:val="Heading2"/>
      </w:pPr>
      <w:bookmarkStart w:id="1" w:name="descriptive-analysis"/>
      <w:r>
        <w:t>Descriptive Analysis</w:t>
      </w:r>
      <w:bookmarkEnd w:id="1"/>
    </w:p>
    <w:p w:rsidR="00B82252" w:rsidRDefault="00B82252" w:rsidP="00B82252">
      <w:pPr>
        <w:pStyle w:val="FirstParagraph"/>
      </w:pPr>
      <w:r>
        <w:t>Overall</w:t>
      </w:r>
      <w:r>
        <w:t>, a total of 79 children with a mean age of 4.6 (2, 10) were recruited. Of these, 47 (59%) were male. Comparing baseline characteristics between children with possible diagnosis of SDB 58 (</w:t>
      </w:r>
      <w:r>
        <w:t>73</w:t>
      </w:r>
      <w:r>
        <w:t xml:space="preserve">) and those without revealed a significant difference in suspected allergic rhinitis (p=0.017) and those with suspected OSA (p &lt; 0.000). There were however no significant differences in other population characteristics as shown in table 1. </w:t>
      </w:r>
    </w:p>
    <w:p w:rsidR="00B82252" w:rsidRPr="00B82252" w:rsidRDefault="00B82252" w:rsidP="00B82252">
      <w:pPr>
        <w:pStyle w:val="BodyText"/>
      </w:pPr>
    </w:p>
    <w:p w:rsidR="00B642BD" w:rsidRDefault="007E10AF">
      <w:pPr>
        <w:pStyle w:val="TableCaption"/>
      </w:pPr>
      <w:r>
        <w:t>Table 1: Baseline characteristics of all participants with and without SDB</w:t>
      </w:r>
      <w:bookmarkStart w:id="2" w:name="_GoBack"/>
      <w:bookmarkEnd w:id="2"/>
    </w:p>
    <w:tbl>
      <w:tblPr>
        <w:tblW w:w="0" w:type="auto"/>
        <w:tblLook w:val="04A0" w:firstRow="1" w:lastRow="0" w:firstColumn="1" w:lastColumn="0" w:noHBand="0" w:noVBand="1"/>
      </w:tblPr>
      <w:tblGrid>
        <w:gridCol w:w="2019"/>
        <w:gridCol w:w="1632"/>
        <w:gridCol w:w="1489"/>
        <w:gridCol w:w="1489"/>
        <w:gridCol w:w="996"/>
      </w:tblGrid>
      <w:tr w:rsidR="00B72557" w:rsidRPr="00B72557" w:rsidTr="008B384B">
        <w:trPr>
          <w:tblHeader/>
        </w:trPr>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Characteristics</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All participants</w:t>
            </w:r>
            <w:r w:rsidRPr="00B72557">
              <w:rPr>
                <w:rFonts w:ascii="Calibri" w:eastAsia="SimSun" w:hAnsi="Calibri" w:cs="Calibri"/>
                <w:b/>
                <w:color w:val="000000"/>
                <w:sz w:val="20"/>
                <w:szCs w:val="20"/>
                <w:lang w:eastAsia="ja-JP"/>
              </w:rPr>
              <w:br/>
              <w:t>n=79</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PSQ &gt; 0.33</w:t>
            </w:r>
            <w:r w:rsidRPr="00B72557">
              <w:rPr>
                <w:rFonts w:ascii="Calibri" w:eastAsia="SimSun" w:hAnsi="Calibri" w:cs="Calibri"/>
                <w:b/>
                <w:color w:val="000000"/>
                <w:sz w:val="20"/>
                <w:szCs w:val="20"/>
                <w:lang w:eastAsia="ja-JP"/>
              </w:rPr>
              <w:br/>
              <w:t>n=58</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PSQ &lt; 0.33</w:t>
            </w:r>
            <w:r w:rsidRPr="00B72557">
              <w:rPr>
                <w:rFonts w:ascii="Calibri" w:eastAsia="SimSun" w:hAnsi="Calibri" w:cs="Calibri"/>
                <w:b/>
                <w:color w:val="000000"/>
                <w:sz w:val="20"/>
                <w:szCs w:val="20"/>
                <w:lang w:eastAsia="ja-JP"/>
              </w:rPr>
              <w:br/>
              <w:t>n=21</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p-value</w:t>
            </w:r>
          </w:p>
        </w:tc>
      </w:tr>
      <w:tr w:rsidR="00B72557" w:rsidRPr="00B72557" w:rsidTr="008B384B">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Age</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4.57±1.96</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4.33±1.75</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5.22±2.4</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0.153</w:t>
            </w: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2-5 yrs</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57(72)</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44(76)</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13(62)</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6-10 yrs</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22(28)</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14(24)</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8(38)</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Gender, n(%)</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0.606</w:t>
            </w: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Male</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47(59)</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36(62)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11(52)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Female</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32(41)</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22(38)</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10(48)</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Asthma,n(%)</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49(62)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37(64)</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12(57)</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0.973</w:t>
            </w: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Allergic rhinitis, n(%)</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42(53)</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36(62)</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6(29)</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0.017</w:t>
            </w: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BMI(kg/m^2)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14.43±2.22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14.36±2.41</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14.62±1.6</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BMI category</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0.646</w:t>
            </w: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Underweight</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Normal</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63(80)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44(76)</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19(90)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Overweight</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8(10)</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7(12)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Obese</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4(7)</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Height</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109.99±17.55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109.14±18.07</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112.36±16.23</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SDB,n(%)</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58(73)</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58(100)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OSA,n(%)</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44(56)</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40(69)</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4(19)</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w:t>
            </w:r>
          </w:p>
        </w:tc>
      </w:tr>
    </w:tbl>
    <w:p w:rsidR="00B72557" w:rsidRDefault="00B72557" w:rsidP="00B72557">
      <w:pPr>
        <w:pStyle w:val="BodyText"/>
      </w:pPr>
      <w:r>
        <w:lastRenderedPageBreak/>
        <w:t xml:space="preserve">A total of 14 (18) </w:t>
      </w:r>
      <w:r>
        <w:t>children</w:t>
      </w:r>
      <w:r>
        <w:t xml:space="preserve"> and caregivers interviewed after treatment of SDB related symptoms showed signs of SDB (PSQ score &gt;0.33). There were however no significant inter group differences in </w:t>
      </w:r>
      <w:r>
        <w:t>overall</w:t>
      </w:r>
      <w:r>
        <w:t xml:space="preserve"> characteristics between </w:t>
      </w:r>
      <w:r>
        <w:t>children</w:t>
      </w:r>
      <w:r>
        <w:t xml:space="preserve"> with scores over 0.33 and those with scores lower than 0.33. More descriptive results are as presented in the table 2. </w:t>
      </w:r>
    </w:p>
    <w:p w:rsidR="00B72557" w:rsidRDefault="00B72557">
      <w:pPr>
        <w:pStyle w:val="TableCaption"/>
        <w:rPr>
          <w:i w:val="0"/>
          <w:iCs/>
        </w:rPr>
      </w:pPr>
    </w:p>
    <w:p w:rsidR="00B72557" w:rsidRPr="00B72557" w:rsidRDefault="00B72557">
      <w:pPr>
        <w:pStyle w:val="TableCaption"/>
        <w:rPr>
          <w:i w:val="0"/>
          <w:iCs/>
        </w:rPr>
      </w:pPr>
    </w:p>
    <w:p w:rsidR="00B642BD" w:rsidRDefault="007E10AF">
      <w:pPr>
        <w:pStyle w:val="TableCaption"/>
      </w:pPr>
      <w:r>
        <w:t>Table 2: Characteristics of participants with and without SDB at endl</w:t>
      </w:r>
      <w:r>
        <w:t>ine</w:t>
      </w:r>
    </w:p>
    <w:tbl>
      <w:tblPr>
        <w:tblW w:w="0" w:type="auto"/>
        <w:tblLook w:val="04A0" w:firstRow="1" w:lastRow="0" w:firstColumn="1" w:lastColumn="0" w:noHBand="0" w:noVBand="1"/>
      </w:tblPr>
      <w:tblGrid>
        <w:gridCol w:w="2019"/>
        <w:gridCol w:w="1632"/>
        <w:gridCol w:w="1489"/>
        <w:gridCol w:w="1489"/>
        <w:gridCol w:w="996"/>
      </w:tblGrid>
      <w:tr w:rsidR="00B72557" w:rsidRPr="00B72557" w:rsidTr="008B384B">
        <w:trPr>
          <w:tblHeader/>
        </w:trPr>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Characteristics</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All participants</w:t>
            </w:r>
            <w:r w:rsidRPr="00B72557">
              <w:rPr>
                <w:rFonts w:ascii="Calibri" w:eastAsia="SimSun" w:hAnsi="Calibri" w:cs="Calibri"/>
                <w:b/>
                <w:color w:val="000000"/>
                <w:sz w:val="20"/>
                <w:szCs w:val="20"/>
                <w:lang w:eastAsia="ja-JP"/>
              </w:rPr>
              <w:br/>
              <w:t>n=79</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PSQ &gt; 0.33</w:t>
            </w:r>
            <w:r w:rsidRPr="00B72557">
              <w:rPr>
                <w:rFonts w:ascii="Calibri" w:eastAsia="SimSun" w:hAnsi="Calibri" w:cs="Calibri"/>
                <w:b/>
                <w:color w:val="000000"/>
                <w:sz w:val="20"/>
                <w:szCs w:val="20"/>
                <w:lang w:eastAsia="ja-JP"/>
              </w:rPr>
              <w:br/>
              <w:t>n=14</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PSQ &lt; 0.33</w:t>
            </w:r>
            <w:r w:rsidRPr="00B72557">
              <w:rPr>
                <w:rFonts w:ascii="Calibri" w:eastAsia="SimSun" w:hAnsi="Calibri" w:cs="Calibri"/>
                <w:b/>
                <w:color w:val="000000"/>
                <w:sz w:val="20"/>
                <w:szCs w:val="20"/>
                <w:lang w:eastAsia="ja-JP"/>
              </w:rPr>
              <w:br/>
              <w:t>n=65</w:t>
            </w:r>
          </w:p>
        </w:tc>
        <w:tc>
          <w:tcPr>
            <w:tcW w:w="0" w:type="auto"/>
            <w:tcBorders>
              <w:top w:val="single" w:sz="8" w:space="0" w:color="000000"/>
              <w:bottom w:val="single" w:sz="8" w:space="0" w:color="000000"/>
            </w:tcBorders>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b/>
                <w:color w:val="000000"/>
                <w:sz w:val="20"/>
                <w:szCs w:val="20"/>
                <w:lang w:eastAsia="ja-JP"/>
              </w:rPr>
              <w:t>p-value</w:t>
            </w:r>
          </w:p>
        </w:tc>
      </w:tr>
      <w:tr w:rsidR="00B72557" w:rsidRPr="00B72557" w:rsidTr="008B384B">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Age</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4.57±1.96</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4.83±1.57</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4.51±2.05</w:t>
            </w:r>
          </w:p>
        </w:tc>
        <w:tc>
          <w:tcPr>
            <w:tcW w:w="0" w:type="auto"/>
            <w:tcBorders>
              <w:top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0.301</w:t>
            </w: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2-5 yrs</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57(72)</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8(57)</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49(75)</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6-10 yrs</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22(28)</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6(43)</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16(25)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Gender, n(%)</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0.482</w:t>
            </w: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Male</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47(59)</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10(71)</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37(57)</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Female</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32(41)</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4(29)</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28(43)</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Asthma,n(%)</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49(62)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8(57)</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41(63)</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0.857</w:t>
            </w: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Allergic rhinitis, n(%)</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42(53)</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9(64)</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33(51)</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0.533</w:t>
            </w: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BMI(kg/m^2)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14.43±2.22</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14.14±1.44</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14.49±2.36</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BMI category</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0.652</w:t>
            </w: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Underweight</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0(0)</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4(6)</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Normal</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63(80)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12(86)</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51(78)</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Overweight</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8(10)</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2(14)</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6(9)</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ab/>
              <w:t>Obese</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4(5)</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4(6)</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Height</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109.99±17.55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111.25±12.95</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109.72±18.47</w:t>
            </w:r>
          </w:p>
        </w:tc>
        <w:tc>
          <w:tcPr>
            <w:tcW w:w="0" w:type="auto"/>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shd w:val="clear" w:color="auto" w:fill="FFFFFF"/>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SDB,n(%)</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58(73)</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14(100)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0(0)</w:t>
            </w:r>
          </w:p>
        </w:tc>
        <w:tc>
          <w:tcPr>
            <w:tcW w:w="0" w:type="auto"/>
            <w:shd w:val="clear" w:color="auto" w:fill="FFFFFF"/>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p>
        </w:tc>
      </w:tr>
      <w:tr w:rsidR="00B72557" w:rsidRPr="00B72557" w:rsidTr="008B384B">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20" w:right="20"/>
              <w:rPr>
                <w:rFonts w:ascii="Calibri" w:eastAsia="SimSun" w:hAnsi="Calibri" w:cs="Arial"/>
                <w:sz w:val="20"/>
                <w:szCs w:val="20"/>
                <w:lang w:eastAsia="ja-JP"/>
              </w:rPr>
            </w:pPr>
            <w:r w:rsidRPr="00B72557">
              <w:rPr>
                <w:rFonts w:ascii="Calibri" w:eastAsia="SimSun" w:hAnsi="Calibri" w:cs="Calibri"/>
                <w:color w:val="000000"/>
                <w:sz w:val="20"/>
                <w:szCs w:val="20"/>
                <w:lang w:eastAsia="ja-JP"/>
              </w:rPr>
              <w:t>OSA,n(%)</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44(56)</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7(50)</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37(57)</w:t>
            </w:r>
          </w:p>
        </w:tc>
        <w:tc>
          <w:tcPr>
            <w:tcW w:w="0" w:type="auto"/>
            <w:tcBorders>
              <w:bottom w:val="single" w:sz="8" w:space="0" w:color="000000"/>
            </w:tcBorders>
            <w:shd w:val="clear" w:color="auto" w:fill="EEEEEE"/>
            <w:vAlign w:val="center"/>
          </w:tcPr>
          <w:p w:rsidR="00B72557" w:rsidRPr="00B72557" w:rsidRDefault="00B72557" w:rsidP="00B72557">
            <w:pPr>
              <w:spacing w:before="20" w:after="20" w:line="259" w:lineRule="auto"/>
              <w:ind w:left="80" w:right="80"/>
              <w:jc w:val="right"/>
              <w:rPr>
                <w:rFonts w:ascii="Calibri" w:eastAsia="SimSun" w:hAnsi="Calibri" w:cs="Arial"/>
                <w:sz w:val="20"/>
                <w:szCs w:val="20"/>
                <w:lang w:eastAsia="ja-JP"/>
              </w:rPr>
            </w:pPr>
            <w:r w:rsidRPr="00B72557">
              <w:rPr>
                <w:rFonts w:ascii="Calibri" w:eastAsia="SimSun" w:hAnsi="Calibri" w:cs="Calibri"/>
                <w:color w:val="000000"/>
                <w:sz w:val="20"/>
                <w:szCs w:val="20"/>
                <w:lang w:eastAsia="ja-JP"/>
              </w:rPr>
              <w:t>0.86</w:t>
            </w:r>
          </w:p>
        </w:tc>
      </w:tr>
    </w:tbl>
    <w:p w:rsidR="00B72557" w:rsidRPr="00B72557" w:rsidRDefault="00B72557" w:rsidP="002A6B70">
      <w:pPr>
        <w:pStyle w:val="BodyText"/>
      </w:pPr>
    </w:p>
    <w:p w:rsidR="00B72557" w:rsidRDefault="00EE0F6B" w:rsidP="009C6433">
      <w:pPr>
        <w:pStyle w:val="Heading2"/>
      </w:pPr>
      <w:bookmarkStart w:id="3" w:name="logistic-regression-results"/>
      <w:r>
        <w:t>Logistic regression results</w:t>
      </w:r>
      <w:bookmarkEnd w:id="3"/>
    </w:p>
    <w:p w:rsidR="00EE0F6B" w:rsidRDefault="00EE0F6B" w:rsidP="00EE0F6B">
      <w:pPr>
        <w:pStyle w:val="FirstParagraph"/>
      </w:pPr>
      <w:r>
        <w:t xml:space="preserve">We further performed a logistic regression to explore predictors of SDB scores &gt; 0.33. </w:t>
      </w:r>
      <w:r w:rsidR="00C1617A">
        <w:t>Overall</w:t>
      </w:r>
      <w:r>
        <w:t xml:space="preserve">, having allergic rhinitis contributed a significant change in log odds of SDB by (1.68±0.8134), p-value = 0.0383. A diagnosis of asthma also had an effect of -0.0390 on log odds of having SDB when compared to not having </w:t>
      </w:r>
      <w:r w:rsidR="00C1617A">
        <w:t>asthma</w:t>
      </w:r>
      <w:r>
        <w:t xml:space="preserve">. Having obstructive sleep apnea also significantly contributed an effect of (1.7803±0.87525) when compared to not having OSA, p-value = 0.0180. Age, BMI, and gender did not show any significant effects on odds of having SDB, as shown in table 3. This was a very simple logistic regression model with minimal </w:t>
      </w:r>
      <w:r w:rsidR="00C1617A">
        <w:t>parametric</w:t>
      </w:r>
      <w:r>
        <w:t xml:space="preserve"> tuning, but which can be improved if more data indicative of SDB were available. With a sample size of 79, our interpretations of these coefficients are constrained to the data </w:t>
      </w:r>
      <w:r w:rsidR="00C1617A">
        <w:t>analyzed</w:t>
      </w:r>
      <w:r>
        <w:t xml:space="preserve">, with very limited abilities to generalize to the </w:t>
      </w:r>
      <w:r w:rsidR="00C1617A">
        <w:t>overall</w:t>
      </w:r>
      <w:r>
        <w:t xml:space="preserve"> population. Our model reported a precision score of 67 percent and a recall of 80.</w:t>
      </w:r>
    </w:p>
    <w:p w:rsidR="009C6433" w:rsidRDefault="009C6433" w:rsidP="009C6433">
      <w:pPr>
        <w:pStyle w:val="TableCaption"/>
      </w:pPr>
      <w:r>
        <w:t xml:space="preserve">Table </w:t>
      </w:r>
      <w:r>
        <w:t>3</w:t>
      </w:r>
      <w:r>
        <w:t xml:space="preserve">: </w:t>
      </w:r>
      <w:r w:rsidRPr="009C6433">
        <w:t>Logistic regression coefficients, SD and p-value</w:t>
      </w:r>
    </w:p>
    <w:p w:rsidR="00EE0F6B" w:rsidRDefault="00EE0F6B" w:rsidP="002A6B70">
      <w:pPr>
        <w:pStyle w:val="BodyText"/>
      </w:pPr>
    </w:p>
    <w:p w:rsidR="002A6B70" w:rsidRDefault="002A6B70" w:rsidP="002A6B70">
      <w:pPr>
        <w:pStyle w:val="BodyText"/>
      </w:pPr>
    </w:p>
    <w:tbl>
      <w:tblPr>
        <w:tblStyle w:val="Table"/>
        <w:tblW w:w="0" w:type="pct"/>
        <w:tblLook w:val="07E0" w:firstRow="1" w:lastRow="1" w:firstColumn="1" w:lastColumn="1" w:noHBand="1" w:noVBand="1"/>
      </w:tblPr>
      <w:tblGrid>
        <w:gridCol w:w="2468"/>
        <w:gridCol w:w="1100"/>
        <w:gridCol w:w="1125"/>
        <w:gridCol w:w="1023"/>
        <w:gridCol w:w="952"/>
      </w:tblGrid>
      <w:tr w:rsidR="00B642BD">
        <w:tc>
          <w:tcPr>
            <w:tcW w:w="0" w:type="auto"/>
            <w:tcBorders>
              <w:bottom w:val="single" w:sz="0" w:space="0" w:color="auto"/>
            </w:tcBorders>
            <w:vAlign w:val="bottom"/>
          </w:tcPr>
          <w:p w:rsidR="00B642BD" w:rsidRDefault="007E10AF">
            <w:pPr>
              <w:pStyle w:val="Compact"/>
              <w:jc w:val="center"/>
            </w:pPr>
            <w:r>
              <w:t>t</w:t>
            </w:r>
            <w:r>
              <w:t>erm</w:t>
            </w:r>
          </w:p>
        </w:tc>
        <w:tc>
          <w:tcPr>
            <w:tcW w:w="0" w:type="auto"/>
            <w:tcBorders>
              <w:bottom w:val="single" w:sz="0" w:space="0" w:color="auto"/>
            </w:tcBorders>
            <w:vAlign w:val="bottom"/>
          </w:tcPr>
          <w:p w:rsidR="00B642BD" w:rsidRDefault="007E10AF">
            <w:pPr>
              <w:pStyle w:val="Compact"/>
              <w:jc w:val="center"/>
            </w:pPr>
            <w:r>
              <w:t>estimate</w:t>
            </w:r>
          </w:p>
        </w:tc>
        <w:tc>
          <w:tcPr>
            <w:tcW w:w="0" w:type="auto"/>
            <w:tcBorders>
              <w:bottom w:val="single" w:sz="0" w:space="0" w:color="auto"/>
            </w:tcBorders>
            <w:vAlign w:val="bottom"/>
          </w:tcPr>
          <w:p w:rsidR="00B642BD" w:rsidRDefault="007E10AF">
            <w:pPr>
              <w:pStyle w:val="Compact"/>
              <w:jc w:val="center"/>
            </w:pPr>
            <w:r>
              <w:t>std.error</w:t>
            </w:r>
          </w:p>
        </w:tc>
        <w:tc>
          <w:tcPr>
            <w:tcW w:w="0" w:type="auto"/>
            <w:tcBorders>
              <w:bottom w:val="single" w:sz="0" w:space="0" w:color="auto"/>
            </w:tcBorders>
            <w:vAlign w:val="bottom"/>
          </w:tcPr>
          <w:p w:rsidR="00B642BD" w:rsidRDefault="007E10AF">
            <w:pPr>
              <w:pStyle w:val="Compact"/>
              <w:jc w:val="center"/>
            </w:pPr>
            <w:r>
              <w:t>statistic</w:t>
            </w:r>
          </w:p>
        </w:tc>
        <w:tc>
          <w:tcPr>
            <w:tcW w:w="0" w:type="auto"/>
            <w:tcBorders>
              <w:bottom w:val="single" w:sz="0" w:space="0" w:color="auto"/>
            </w:tcBorders>
            <w:vAlign w:val="bottom"/>
          </w:tcPr>
          <w:p w:rsidR="00B642BD" w:rsidRDefault="007E10AF">
            <w:pPr>
              <w:pStyle w:val="Compact"/>
              <w:jc w:val="center"/>
            </w:pPr>
            <w:r>
              <w:t>p.value</w:t>
            </w:r>
          </w:p>
        </w:tc>
      </w:tr>
      <w:tr w:rsidR="00B642BD">
        <w:tc>
          <w:tcPr>
            <w:tcW w:w="0" w:type="auto"/>
          </w:tcPr>
          <w:p w:rsidR="00B642BD" w:rsidRDefault="007E10AF">
            <w:pPr>
              <w:pStyle w:val="Compact"/>
              <w:jc w:val="center"/>
            </w:pPr>
            <w:r>
              <w:t>(Intercept)</w:t>
            </w:r>
          </w:p>
        </w:tc>
        <w:tc>
          <w:tcPr>
            <w:tcW w:w="0" w:type="auto"/>
          </w:tcPr>
          <w:p w:rsidR="00B642BD" w:rsidRDefault="007E10AF">
            <w:pPr>
              <w:pStyle w:val="Compact"/>
              <w:jc w:val="center"/>
            </w:pPr>
            <w:r>
              <w:t>4.2581</w:t>
            </w:r>
          </w:p>
        </w:tc>
        <w:tc>
          <w:tcPr>
            <w:tcW w:w="0" w:type="auto"/>
          </w:tcPr>
          <w:p w:rsidR="00B642BD" w:rsidRDefault="007E10AF">
            <w:pPr>
              <w:pStyle w:val="Compact"/>
              <w:jc w:val="center"/>
            </w:pPr>
            <w:r>
              <w:t>3.5258</w:t>
            </w:r>
          </w:p>
        </w:tc>
        <w:tc>
          <w:tcPr>
            <w:tcW w:w="0" w:type="auto"/>
          </w:tcPr>
          <w:p w:rsidR="00B642BD" w:rsidRDefault="007E10AF">
            <w:pPr>
              <w:pStyle w:val="Compact"/>
              <w:jc w:val="center"/>
            </w:pPr>
            <w:r>
              <w:t>1.2077</w:t>
            </w:r>
          </w:p>
        </w:tc>
        <w:tc>
          <w:tcPr>
            <w:tcW w:w="0" w:type="auto"/>
          </w:tcPr>
          <w:p w:rsidR="00B642BD" w:rsidRDefault="007E10AF">
            <w:pPr>
              <w:pStyle w:val="Compact"/>
              <w:jc w:val="center"/>
            </w:pPr>
            <w:r>
              <w:t>0.2272</w:t>
            </w:r>
          </w:p>
        </w:tc>
      </w:tr>
      <w:tr w:rsidR="00B642BD">
        <w:tc>
          <w:tcPr>
            <w:tcW w:w="0" w:type="auto"/>
          </w:tcPr>
          <w:p w:rsidR="00B642BD" w:rsidRDefault="007E10AF">
            <w:pPr>
              <w:pStyle w:val="Compact"/>
              <w:jc w:val="center"/>
            </w:pPr>
            <w:r>
              <w:t>age</w:t>
            </w:r>
          </w:p>
        </w:tc>
        <w:tc>
          <w:tcPr>
            <w:tcW w:w="0" w:type="auto"/>
          </w:tcPr>
          <w:p w:rsidR="00B642BD" w:rsidRDefault="007E10AF">
            <w:pPr>
              <w:pStyle w:val="Compact"/>
              <w:jc w:val="center"/>
            </w:pPr>
            <w:r>
              <w:t>-0.1607</w:t>
            </w:r>
          </w:p>
        </w:tc>
        <w:tc>
          <w:tcPr>
            <w:tcW w:w="0" w:type="auto"/>
          </w:tcPr>
          <w:p w:rsidR="00B642BD" w:rsidRDefault="007E10AF">
            <w:pPr>
              <w:pStyle w:val="Compact"/>
              <w:jc w:val="center"/>
            </w:pPr>
            <w:r>
              <w:t>0.1787</w:t>
            </w:r>
          </w:p>
        </w:tc>
        <w:tc>
          <w:tcPr>
            <w:tcW w:w="0" w:type="auto"/>
          </w:tcPr>
          <w:p w:rsidR="00B642BD" w:rsidRDefault="007E10AF">
            <w:pPr>
              <w:pStyle w:val="Compact"/>
              <w:jc w:val="center"/>
            </w:pPr>
            <w:r>
              <w:t>-0.8994</w:t>
            </w:r>
          </w:p>
        </w:tc>
        <w:tc>
          <w:tcPr>
            <w:tcW w:w="0" w:type="auto"/>
          </w:tcPr>
          <w:p w:rsidR="00B642BD" w:rsidRDefault="007E10AF">
            <w:pPr>
              <w:pStyle w:val="Compact"/>
              <w:jc w:val="center"/>
            </w:pPr>
            <w:r>
              <w:t>0.3684</w:t>
            </w:r>
          </w:p>
        </w:tc>
      </w:tr>
      <w:tr w:rsidR="00B642BD">
        <w:tc>
          <w:tcPr>
            <w:tcW w:w="0" w:type="auto"/>
          </w:tcPr>
          <w:p w:rsidR="00B642BD" w:rsidRDefault="007E10AF">
            <w:pPr>
              <w:pStyle w:val="Compact"/>
              <w:jc w:val="center"/>
            </w:pPr>
            <w:r>
              <w:t>sex1</w:t>
            </w:r>
          </w:p>
        </w:tc>
        <w:tc>
          <w:tcPr>
            <w:tcW w:w="0" w:type="auto"/>
          </w:tcPr>
          <w:p w:rsidR="00B642BD" w:rsidRDefault="007E10AF">
            <w:pPr>
              <w:pStyle w:val="Compact"/>
              <w:jc w:val="center"/>
            </w:pPr>
            <w:r>
              <w:t>-0.8342</w:t>
            </w:r>
          </w:p>
        </w:tc>
        <w:tc>
          <w:tcPr>
            <w:tcW w:w="0" w:type="auto"/>
          </w:tcPr>
          <w:p w:rsidR="00B642BD" w:rsidRDefault="007E10AF">
            <w:pPr>
              <w:pStyle w:val="Compact"/>
              <w:jc w:val="center"/>
            </w:pPr>
            <w:r>
              <w:t>0.7813</w:t>
            </w:r>
          </w:p>
        </w:tc>
        <w:tc>
          <w:tcPr>
            <w:tcW w:w="0" w:type="auto"/>
          </w:tcPr>
          <w:p w:rsidR="00B642BD" w:rsidRDefault="007E10AF">
            <w:pPr>
              <w:pStyle w:val="Compact"/>
              <w:jc w:val="center"/>
            </w:pPr>
            <w:r>
              <w:t>-1.0677</w:t>
            </w:r>
          </w:p>
        </w:tc>
        <w:tc>
          <w:tcPr>
            <w:tcW w:w="0" w:type="auto"/>
          </w:tcPr>
          <w:p w:rsidR="00B642BD" w:rsidRDefault="007E10AF">
            <w:pPr>
              <w:pStyle w:val="Compact"/>
              <w:jc w:val="center"/>
            </w:pPr>
            <w:r>
              <w:t>0.2857</w:t>
            </w:r>
          </w:p>
        </w:tc>
      </w:tr>
      <w:tr w:rsidR="00B642BD">
        <w:tc>
          <w:tcPr>
            <w:tcW w:w="0" w:type="auto"/>
          </w:tcPr>
          <w:p w:rsidR="00B642BD" w:rsidRDefault="007E10AF">
            <w:pPr>
              <w:pStyle w:val="Compact"/>
              <w:jc w:val="center"/>
            </w:pPr>
            <w:r>
              <w:t>bmi</w:t>
            </w:r>
          </w:p>
        </w:tc>
        <w:tc>
          <w:tcPr>
            <w:tcW w:w="0" w:type="auto"/>
          </w:tcPr>
          <w:p w:rsidR="00B642BD" w:rsidRDefault="007E10AF">
            <w:pPr>
              <w:pStyle w:val="Compact"/>
              <w:jc w:val="center"/>
            </w:pPr>
            <w:r>
              <w:t>-0.2440</w:t>
            </w:r>
          </w:p>
        </w:tc>
        <w:tc>
          <w:tcPr>
            <w:tcW w:w="0" w:type="auto"/>
          </w:tcPr>
          <w:p w:rsidR="00B642BD" w:rsidRDefault="007E10AF">
            <w:pPr>
              <w:pStyle w:val="Compact"/>
              <w:jc w:val="center"/>
            </w:pPr>
            <w:r>
              <w:t>0.2247</w:t>
            </w:r>
          </w:p>
        </w:tc>
        <w:tc>
          <w:tcPr>
            <w:tcW w:w="0" w:type="auto"/>
          </w:tcPr>
          <w:p w:rsidR="00B642BD" w:rsidRDefault="007E10AF">
            <w:pPr>
              <w:pStyle w:val="Compact"/>
              <w:jc w:val="center"/>
            </w:pPr>
            <w:r>
              <w:t>-1.0859</w:t>
            </w:r>
          </w:p>
        </w:tc>
        <w:tc>
          <w:tcPr>
            <w:tcW w:w="0" w:type="auto"/>
          </w:tcPr>
          <w:p w:rsidR="00B642BD" w:rsidRDefault="007E10AF">
            <w:pPr>
              <w:pStyle w:val="Compact"/>
              <w:jc w:val="center"/>
            </w:pPr>
            <w:r>
              <w:t>0.2775</w:t>
            </w:r>
          </w:p>
        </w:tc>
      </w:tr>
      <w:tr w:rsidR="00B642BD">
        <w:tc>
          <w:tcPr>
            <w:tcW w:w="0" w:type="auto"/>
          </w:tcPr>
          <w:p w:rsidR="00B642BD" w:rsidRDefault="007E10AF">
            <w:pPr>
              <w:pStyle w:val="Compact"/>
              <w:jc w:val="center"/>
            </w:pPr>
            <w:r>
              <w:t>allergic_rhinitis_diag1</w:t>
            </w:r>
          </w:p>
        </w:tc>
        <w:tc>
          <w:tcPr>
            <w:tcW w:w="0" w:type="auto"/>
          </w:tcPr>
          <w:p w:rsidR="00B642BD" w:rsidRDefault="007E10AF">
            <w:pPr>
              <w:pStyle w:val="Compact"/>
              <w:jc w:val="center"/>
            </w:pPr>
            <w:r>
              <w:t>1.6847</w:t>
            </w:r>
          </w:p>
        </w:tc>
        <w:tc>
          <w:tcPr>
            <w:tcW w:w="0" w:type="auto"/>
          </w:tcPr>
          <w:p w:rsidR="00B642BD" w:rsidRDefault="007E10AF">
            <w:pPr>
              <w:pStyle w:val="Compact"/>
              <w:jc w:val="center"/>
            </w:pPr>
            <w:r>
              <w:t>0.8134</w:t>
            </w:r>
          </w:p>
        </w:tc>
        <w:tc>
          <w:tcPr>
            <w:tcW w:w="0" w:type="auto"/>
          </w:tcPr>
          <w:p w:rsidR="00B642BD" w:rsidRDefault="007E10AF">
            <w:pPr>
              <w:pStyle w:val="Compact"/>
              <w:jc w:val="center"/>
            </w:pPr>
            <w:r>
              <w:t>2.0711</w:t>
            </w:r>
          </w:p>
        </w:tc>
        <w:tc>
          <w:tcPr>
            <w:tcW w:w="0" w:type="auto"/>
          </w:tcPr>
          <w:p w:rsidR="00B642BD" w:rsidRDefault="007E10AF">
            <w:pPr>
              <w:pStyle w:val="Compact"/>
              <w:jc w:val="center"/>
            </w:pPr>
            <w:r>
              <w:t>0.0383</w:t>
            </w:r>
          </w:p>
        </w:tc>
      </w:tr>
      <w:tr w:rsidR="00B642BD">
        <w:tc>
          <w:tcPr>
            <w:tcW w:w="0" w:type="auto"/>
          </w:tcPr>
          <w:p w:rsidR="00B642BD" w:rsidRDefault="007E10AF">
            <w:pPr>
              <w:pStyle w:val="Compact"/>
              <w:jc w:val="center"/>
            </w:pPr>
            <w:r>
              <w:t>asthma_diag1</w:t>
            </w:r>
          </w:p>
        </w:tc>
        <w:tc>
          <w:tcPr>
            <w:tcW w:w="0" w:type="auto"/>
          </w:tcPr>
          <w:p w:rsidR="00B642BD" w:rsidRDefault="007E10AF">
            <w:pPr>
              <w:pStyle w:val="Compact"/>
              <w:jc w:val="center"/>
            </w:pPr>
            <w:r>
              <w:t>-0.0390</w:t>
            </w:r>
          </w:p>
        </w:tc>
        <w:tc>
          <w:tcPr>
            <w:tcW w:w="0" w:type="auto"/>
          </w:tcPr>
          <w:p w:rsidR="00B642BD" w:rsidRDefault="007E10AF">
            <w:pPr>
              <w:pStyle w:val="Compact"/>
              <w:jc w:val="center"/>
            </w:pPr>
            <w:r>
              <w:t>0.7888</w:t>
            </w:r>
          </w:p>
        </w:tc>
        <w:tc>
          <w:tcPr>
            <w:tcW w:w="0" w:type="auto"/>
          </w:tcPr>
          <w:p w:rsidR="00B642BD" w:rsidRDefault="007E10AF">
            <w:pPr>
              <w:pStyle w:val="Compact"/>
              <w:jc w:val="center"/>
            </w:pPr>
            <w:r>
              <w:t>-0.0494</w:t>
            </w:r>
          </w:p>
        </w:tc>
        <w:tc>
          <w:tcPr>
            <w:tcW w:w="0" w:type="auto"/>
          </w:tcPr>
          <w:p w:rsidR="00B642BD" w:rsidRDefault="007E10AF">
            <w:pPr>
              <w:pStyle w:val="Compact"/>
              <w:jc w:val="center"/>
            </w:pPr>
            <w:r>
              <w:t>0.9606</w:t>
            </w:r>
          </w:p>
        </w:tc>
      </w:tr>
      <w:tr w:rsidR="00B642BD">
        <w:tc>
          <w:tcPr>
            <w:tcW w:w="0" w:type="auto"/>
          </w:tcPr>
          <w:p w:rsidR="00B642BD" w:rsidRDefault="007E10AF">
            <w:pPr>
              <w:pStyle w:val="Compact"/>
              <w:jc w:val="center"/>
            </w:pPr>
            <w:r>
              <w:t>osa_binary1</w:t>
            </w:r>
          </w:p>
        </w:tc>
        <w:tc>
          <w:tcPr>
            <w:tcW w:w="0" w:type="auto"/>
          </w:tcPr>
          <w:p w:rsidR="00B642BD" w:rsidRDefault="007E10AF">
            <w:pPr>
              <w:pStyle w:val="Compact"/>
              <w:jc w:val="center"/>
            </w:pPr>
            <w:r>
              <w:t>1.7803</w:t>
            </w:r>
          </w:p>
        </w:tc>
        <w:tc>
          <w:tcPr>
            <w:tcW w:w="0" w:type="auto"/>
          </w:tcPr>
          <w:p w:rsidR="00B642BD" w:rsidRDefault="007E10AF">
            <w:pPr>
              <w:pStyle w:val="Compact"/>
              <w:jc w:val="center"/>
            </w:pPr>
            <w:r>
              <w:t>0.7525</w:t>
            </w:r>
          </w:p>
        </w:tc>
        <w:tc>
          <w:tcPr>
            <w:tcW w:w="0" w:type="auto"/>
          </w:tcPr>
          <w:p w:rsidR="00B642BD" w:rsidRDefault="007E10AF">
            <w:pPr>
              <w:pStyle w:val="Compact"/>
              <w:jc w:val="center"/>
            </w:pPr>
            <w:r>
              <w:t>2.3658</w:t>
            </w:r>
          </w:p>
        </w:tc>
        <w:tc>
          <w:tcPr>
            <w:tcW w:w="0" w:type="auto"/>
          </w:tcPr>
          <w:p w:rsidR="00B642BD" w:rsidRDefault="007E10AF">
            <w:pPr>
              <w:pStyle w:val="Compact"/>
              <w:jc w:val="center"/>
            </w:pPr>
            <w:r>
              <w:t>0.0180</w:t>
            </w:r>
          </w:p>
        </w:tc>
      </w:tr>
    </w:tbl>
    <w:p w:rsidR="00B642BD" w:rsidRDefault="00B642BD" w:rsidP="00EE0F6B">
      <w:pPr>
        <w:pStyle w:val="Heading2"/>
      </w:pPr>
    </w:p>
    <w:sectPr w:rsidR="00B642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0AF" w:rsidRDefault="007E10AF">
      <w:pPr>
        <w:spacing w:after="0"/>
      </w:pPr>
      <w:r>
        <w:separator/>
      </w:r>
    </w:p>
  </w:endnote>
  <w:endnote w:type="continuationSeparator" w:id="0">
    <w:p w:rsidR="007E10AF" w:rsidRDefault="007E1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0AF" w:rsidRDefault="007E10AF">
      <w:r>
        <w:separator/>
      </w:r>
    </w:p>
  </w:footnote>
  <w:footnote w:type="continuationSeparator" w:id="0">
    <w:p w:rsidR="007E10AF" w:rsidRDefault="007E1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D10E5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6B70"/>
    <w:rsid w:val="00415273"/>
    <w:rsid w:val="004E29B3"/>
    <w:rsid w:val="00590D07"/>
    <w:rsid w:val="005B313A"/>
    <w:rsid w:val="00784D58"/>
    <w:rsid w:val="007C3BBC"/>
    <w:rsid w:val="007E10AF"/>
    <w:rsid w:val="008D6863"/>
    <w:rsid w:val="009C6433"/>
    <w:rsid w:val="00B642BD"/>
    <w:rsid w:val="00B72557"/>
    <w:rsid w:val="00B82252"/>
    <w:rsid w:val="00B86B75"/>
    <w:rsid w:val="00BC48D5"/>
    <w:rsid w:val="00C1617A"/>
    <w:rsid w:val="00C17DC2"/>
    <w:rsid w:val="00C36279"/>
    <w:rsid w:val="00D81B31"/>
    <w:rsid w:val="00E315A3"/>
    <w:rsid w:val="00EE0F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EF21"/>
  <w15:docId w15:val="{731B8397-F4B4-43D7-AF1F-2B3EFAD1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Basil Okola</dc:creator>
  <cp:keywords/>
  <cp:lastModifiedBy>Basil Okola</cp:lastModifiedBy>
  <cp:revision>14</cp:revision>
  <dcterms:created xsi:type="dcterms:W3CDTF">2020-05-18T18:25:00Z</dcterms:created>
  <dcterms:modified xsi:type="dcterms:W3CDTF">2020-05-18T18:41:00Z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