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FE8" w:rsidRPr="0018151E" w:rsidRDefault="00A141D2">
      <w:pPr>
        <w:pStyle w:val="Title"/>
        <w:rPr>
          <w:rFonts w:cstheme="majorHAnsi"/>
          <w:color w:val="000000" w:themeColor="text1"/>
        </w:rPr>
      </w:pPr>
      <w:r w:rsidRPr="0018151E">
        <w:rPr>
          <w:rFonts w:cstheme="majorHAnsi"/>
          <w:color w:val="000000" w:themeColor="text1"/>
        </w:rPr>
        <w:t>Data Analysis</w:t>
      </w:r>
    </w:p>
    <w:p w:rsidR="00261FE8" w:rsidRPr="0018151E" w:rsidRDefault="00A141D2">
      <w:pPr>
        <w:pStyle w:val="Heading2"/>
        <w:rPr>
          <w:rFonts w:cstheme="majorHAnsi"/>
          <w:color w:val="000000" w:themeColor="text1"/>
        </w:rPr>
      </w:pPr>
      <w:bookmarkStart w:id="0" w:name="statistical-analysis"/>
      <w:r w:rsidRPr="0018151E">
        <w:rPr>
          <w:rFonts w:cstheme="majorHAnsi"/>
          <w:color w:val="000000" w:themeColor="text1"/>
        </w:rPr>
        <w:t>Statistical Analysis</w:t>
      </w:r>
      <w:bookmarkEnd w:id="0"/>
    </w:p>
    <w:p w:rsidR="00261FE8" w:rsidRPr="0018151E" w:rsidRDefault="00A141D2">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We present descriptive summaries of key sample statistics. We compared baseline sample characteristics between those children found to be at risk of OSA and those not at risk. We used the Fisher’s exact test or chi-square tests for categorical variables. T</w:t>
      </w:r>
      <w:r w:rsidRPr="0018151E">
        <w:rPr>
          <w:rFonts w:asciiTheme="majorHAnsi" w:hAnsiTheme="majorHAnsi" w:cstheme="majorHAnsi"/>
          <w:color w:val="000000" w:themeColor="text1"/>
        </w:rPr>
        <w:t xml:space="preserve">he Wilcoxon rank sum test or Kruskal–Wallis test was used for continuous variables. We considered p-values of &lt;0.05 to be statistically significant. </w:t>
      </w:r>
    </w:p>
    <w:p w:rsidR="00261FE8" w:rsidRPr="0018151E" w:rsidRDefault="00A141D2">
      <w:pPr>
        <w:pStyle w:val="Heading2"/>
        <w:rPr>
          <w:rFonts w:cstheme="majorHAnsi"/>
          <w:color w:val="000000" w:themeColor="text1"/>
        </w:rPr>
      </w:pPr>
      <w:bookmarkStart w:id="1" w:name="descriptive-analysis"/>
      <w:r w:rsidRPr="0018151E">
        <w:rPr>
          <w:rFonts w:cstheme="majorHAnsi"/>
          <w:color w:val="000000" w:themeColor="text1"/>
        </w:rPr>
        <w:t>Descriptive Analysis</w:t>
      </w:r>
      <w:bookmarkEnd w:id="1"/>
    </w:p>
    <w:p w:rsidR="00261FE8" w:rsidRDefault="00A141D2">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 xml:space="preserve">Overal, a total of 79 children with a mean age of 4.6 ( 2, 10) were recruited. Of these, 47 (59%) were male. Comparing baseline characteristics between children with possible diagnosis of SDB 58 ( 73.42) and those without revealed a significant difference </w:t>
      </w:r>
      <w:r w:rsidRPr="0018151E">
        <w:rPr>
          <w:rFonts w:asciiTheme="majorHAnsi" w:hAnsiTheme="majorHAnsi" w:cstheme="majorHAnsi"/>
          <w:color w:val="000000" w:themeColor="text1"/>
        </w:rPr>
        <w:t xml:space="preserve">in suspected allergic rhinitis (p=0.017) and those with suspected OSA (p &lt; 0.000). There were however no significant differences in other population characteristics as shown in table 1. </w:t>
      </w:r>
    </w:p>
    <w:p w:rsidR="00AE3A94" w:rsidRPr="00AE3A94" w:rsidRDefault="00AE3A94" w:rsidP="00AE3A94">
      <w:pPr>
        <w:pStyle w:val="TableCaption"/>
        <w:rPr>
          <w:rFonts w:asciiTheme="majorHAnsi" w:hAnsiTheme="majorHAnsi" w:cstheme="majorHAnsi"/>
          <w:color w:val="000000" w:themeColor="text1"/>
        </w:rPr>
      </w:pPr>
      <w:r w:rsidRPr="0018151E">
        <w:rPr>
          <w:rFonts w:asciiTheme="majorHAnsi" w:hAnsiTheme="majorHAnsi" w:cstheme="majorHAnsi"/>
          <w:color w:val="000000" w:themeColor="text1"/>
        </w:rPr>
        <w:t>Table 1: Baseline characteristics of all participants with and without SDB’</w:t>
      </w:r>
    </w:p>
    <w:tbl>
      <w:tblPr>
        <w:tblW w:w="0" w:type="auto"/>
        <w:tblInd w:w="-270" w:type="dxa"/>
        <w:tblLook w:val="04A0" w:firstRow="1" w:lastRow="0" w:firstColumn="1" w:lastColumn="0" w:noHBand="0" w:noVBand="1"/>
      </w:tblPr>
      <w:tblGrid>
        <w:gridCol w:w="2130"/>
        <w:gridCol w:w="1638"/>
        <w:gridCol w:w="1638"/>
        <w:gridCol w:w="1638"/>
        <w:gridCol w:w="889"/>
        <w:gridCol w:w="1697"/>
      </w:tblGrid>
      <w:tr w:rsidR="00AE3A94" w:rsidRPr="00AE3A94" w:rsidTr="00900EEC">
        <w:trPr>
          <w:tblHeader/>
        </w:trPr>
        <w:tc>
          <w:tcPr>
            <w:tcW w:w="2338" w:type="dxa"/>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Characteristics</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All participants</w:t>
            </w:r>
            <w:r w:rsidRPr="00AE3A94">
              <w:rPr>
                <w:rFonts w:ascii="Calibri" w:eastAsia="SimSun" w:hAnsi="Calibri" w:cs="Calibri"/>
                <w:b/>
                <w:color w:val="000000"/>
                <w:szCs w:val="22"/>
                <w:lang w:eastAsia="ja-JP"/>
              </w:rPr>
              <w:br/>
              <w:t>n=79</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&gt; 0.33</w:t>
            </w:r>
            <w:r w:rsidRPr="00AE3A94">
              <w:rPr>
                <w:rFonts w:ascii="Calibri" w:eastAsia="SimSun" w:hAnsi="Calibri" w:cs="Calibri"/>
                <w:b/>
                <w:color w:val="000000"/>
                <w:szCs w:val="22"/>
                <w:lang w:eastAsia="ja-JP"/>
              </w:rPr>
              <w:br/>
              <w:t>n=58</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&lt; 0.33</w:t>
            </w:r>
            <w:r w:rsidRPr="00AE3A94">
              <w:rPr>
                <w:rFonts w:ascii="Calibri" w:eastAsia="SimSun" w:hAnsi="Calibri" w:cs="Calibri"/>
                <w:b/>
                <w:color w:val="000000"/>
                <w:szCs w:val="22"/>
                <w:lang w:eastAsia="ja-JP"/>
              </w:rPr>
              <w:br/>
              <w:t>n=21</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p-value</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CI</w:t>
            </w:r>
          </w:p>
        </w:tc>
      </w:tr>
      <w:tr w:rsidR="00AE3A94" w:rsidRPr="00AE3A94" w:rsidTr="00900EEC">
        <w:tc>
          <w:tcPr>
            <w:tcW w:w="2338" w:type="dxa"/>
            <w:tcBorders>
              <w:top w:val="single" w:sz="8" w:space="0" w:color="000000"/>
            </w:tcBorders>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Age</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4.57±1.96</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4.33±1.75</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5.22±2.4</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0.153</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-1.6001,0.1999</w:t>
            </w: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2-5 </w:t>
            </w:r>
            <w:proofErr w:type="spellStart"/>
            <w:r w:rsidRPr="00AE3A94">
              <w:rPr>
                <w:rFonts w:ascii="Calibri" w:eastAsia="SimSun" w:hAnsi="Calibri" w:cs="Calibri"/>
                <w:color w:val="000000"/>
                <w:szCs w:val="22"/>
                <w:lang w:eastAsia="ja-JP"/>
              </w:rPr>
              <w:t>yrs</w:t>
            </w:r>
            <w:proofErr w:type="spellEnd"/>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57(72)</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44(76)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13(62)</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6-10 </w:t>
            </w:r>
            <w:proofErr w:type="spellStart"/>
            <w:r w:rsidRPr="00AE3A94">
              <w:rPr>
                <w:rFonts w:ascii="Calibri" w:eastAsia="SimSun" w:hAnsi="Calibri" w:cs="Calibri"/>
                <w:color w:val="000000"/>
                <w:szCs w:val="22"/>
                <w:lang w:eastAsia="ja-JP"/>
              </w:rPr>
              <w:t>yrs</w:t>
            </w:r>
            <w:proofErr w:type="spellEnd"/>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22(28)</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14(24)</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8(38)</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Gender,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0.45</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0.4771,4.5744</w:t>
            </w: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Male</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47(59)</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36(62)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11(52)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Female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32(41)</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22(38)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10(48)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Asthma, n(%)</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26(33)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19(33)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7(33)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0.2657,3.1044</w:t>
            </w: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Allergic rhinitis,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42(53)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36(62)</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6(29)</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0.017</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1.245,14.6231</w:t>
            </w: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BMI(kg/m^2)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14.43±2.22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14.36±2.41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14.62±1.6</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Birth weight category,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0.101</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0,1.5513</w:t>
            </w: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&lt;2.5 kgs</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8(14)</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lastRenderedPageBreak/>
              <w:tab/>
              <w:t>&gt;=2.5 kgs</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71(90)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50(86)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21(100)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Hospital category, n(%)</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0.181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0.6047,10</w:t>
            </w: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Private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8(14)</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6(29)</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Public</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65(82)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50(86)</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15(71)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 category,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0.646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Underweight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Normal</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63(80)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44(76)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19(90)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Overweight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Obese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109.99±17.55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109.14±18.07</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112.36±16.23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SDB,n</w:t>
            </w:r>
            <w:proofErr w:type="spellEnd"/>
            <w:r w:rsidRPr="00AE3A94">
              <w:rPr>
                <w:rFonts w:ascii="Calibri" w:eastAsia="SimSun" w:hAnsi="Calibri" w:cs="Calibri"/>
                <w:color w:val="000000"/>
                <w:szCs w:val="22"/>
                <w:lang w:eastAsia="ja-JP"/>
              </w:rPr>
              <w:t>(%)</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58(73)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58(100)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338" w:type="dxa"/>
            <w:tcBorders>
              <w:bottom w:val="single" w:sz="8" w:space="0" w:color="000000"/>
            </w:tcBorders>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OSA,n</w:t>
            </w:r>
            <w:proofErr w:type="spellEnd"/>
            <w:r w:rsidRPr="00AE3A94">
              <w:rPr>
                <w:rFonts w:ascii="Calibri" w:eastAsia="SimSun" w:hAnsi="Calibri" w:cs="Calibri"/>
                <w:color w:val="000000"/>
                <w:szCs w:val="22"/>
                <w:lang w:eastAsia="ja-JP"/>
              </w:rPr>
              <w:t>(%)</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44(56)</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40(69)</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4(19)</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2.516,42.807</w:t>
            </w:r>
          </w:p>
        </w:tc>
      </w:tr>
    </w:tbl>
    <w:p w:rsidR="00AE3A94" w:rsidRPr="00AE3A94" w:rsidRDefault="00AE3A94" w:rsidP="00AE3A94">
      <w:pPr>
        <w:pStyle w:val="BodyText"/>
      </w:pPr>
    </w:p>
    <w:p w:rsidR="00261FE8" w:rsidRDefault="00A141D2">
      <w:pPr>
        <w:pStyle w:val="BodyText"/>
        <w:rPr>
          <w:rFonts w:asciiTheme="majorHAnsi" w:hAnsiTheme="majorHAnsi" w:cstheme="majorHAnsi"/>
          <w:color w:val="000000" w:themeColor="text1"/>
        </w:rPr>
      </w:pPr>
      <w:r w:rsidRPr="0018151E">
        <w:rPr>
          <w:rFonts w:asciiTheme="majorHAnsi" w:hAnsiTheme="majorHAnsi" w:cstheme="majorHAnsi"/>
          <w:color w:val="000000" w:themeColor="text1"/>
        </w:rPr>
        <w:t>A total of 14 (18) childen and caregivers interviewed after treatment of SDB related symptoms showed signs of SDB (PSQ score &gt;0.33). There were however no significant inter group differences in overal characteristics between chilldren with scores over 0.33</w:t>
      </w:r>
      <w:r w:rsidRPr="0018151E">
        <w:rPr>
          <w:rFonts w:asciiTheme="majorHAnsi" w:hAnsiTheme="majorHAnsi" w:cstheme="majorHAnsi"/>
          <w:color w:val="000000" w:themeColor="text1"/>
        </w:rPr>
        <w:t xml:space="preserve"> and those with scores lower than 0.33. More descriptive results are as presented in the table 2. </w:t>
      </w:r>
    </w:p>
    <w:p w:rsidR="00AE3A94" w:rsidRDefault="00AE3A94">
      <w:pPr>
        <w:pStyle w:val="BodyText"/>
        <w:rPr>
          <w:rFonts w:asciiTheme="majorHAnsi" w:hAnsiTheme="majorHAnsi" w:cstheme="majorHAnsi"/>
          <w:color w:val="000000" w:themeColor="text1"/>
        </w:rPr>
      </w:pPr>
    </w:p>
    <w:p w:rsidR="00AE3A94" w:rsidRDefault="00AE3A94" w:rsidP="00AE3A94">
      <w:pPr>
        <w:pStyle w:val="TableCaption"/>
        <w:rPr>
          <w:rFonts w:asciiTheme="majorHAnsi" w:hAnsiTheme="majorHAnsi" w:cstheme="majorHAnsi"/>
          <w:color w:val="000000" w:themeColor="text1"/>
        </w:rPr>
      </w:pPr>
      <w:r w:rsidRPr="0018151E">
        <w:rPr>
          <w:rFonts w:asciiTheme="majorHAnsi" w:hAnsiTheme="majorHAnsi" w:cstheme="majorHAnsi"/>
          <w:color w:val="000000" w:themeColor="text1"/>
        </w:rPr>
        <w:t>Table 2: Characteristics of participants with and without SDB at 6-8 weeks post operation</w:t>
      </w:r>
    </w:p>
    <w:tbl>
      <w:tblPr>
        <w:tblW w:w="0" w:type="auto"/>
        <w:tblInd w:w="-180" w:type="dxa"/>
        <w:tblLook w:val="04A0" w:firstRow="1" w:lastRow="0" w:firstColumn="1" w:lastColumn="0" w:noHBand="0" w:noVBand="1"/>
      </w:tblPr>
      <w:tblGrid>
        <w:gridCol w:w="2111"/>
        <w:gridCol w:w="1622"/>
        <w:gridCol w:w="1622"/>
        <w:gridCol w:w="1622"/>
        <w:gridCol w:w="882"/>
        <w:gridCol w:w="1681"/>
      </w:tblGrid>
      <w:tr w:rsidR="00AE3A94" w:rsidRPr="00AE3A94" w:rsidTr="00900EEC">
        <w:trPr>
          <w:tblHeader/>
        </w:trPr>
        <w:tc>
          <w:tcPr>
            <w:tcW w:w="2248" w:type="dxa"/>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Characteristics</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All participants</w:t>
            </w:r>
            <w:r w:rsidRPr="00AE3A94">
              <w:rPr>
                <w:rFonts w:ascii="Calibri" w:eastAsia="SimSun" w:hAnsi="Calibri" w:cs="Calibri"/>
                <w:b/>
                <w:color w:val="000000"/>
                <w:szCs w:val="22"/>
                <w:lang w:eastAsia="ja-JP"/>
              </w:rPr>
              <w:br/>
              <w:t>n=79</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&gt; 0.33</w:t>
            </w:r>
            <w:r w:rsidRPr="00AE3A94">
              <w:rPr>
                <w:rFonts w:ascii="Calibri" w:eastAsia="SimSun" w:hAnsi="Calibri" w:cs="Calibri"/>
                <w:b/>
                <w:color w:val="000000"/>
                <w:szCs w:val="22"/>
                <w:lang w:eastAsia="ja-JP"/>
              </w:rPr>
              <w:br/>
              <w:t>n=14</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PSQ &lt; 0.33</w:t>
            </w:r>
            <w:r w:rsidRPr="00AE3A94">
              <w:rPr>
                <w:rFonts w:ascii="Calibri" w:eastAsia="SimSun" w:hAnsi="Calibri" w:cs="Calibri"/>
                <w:b/>
                <w:color w:val="000000"/>
                <w:szCs w:val="22"/>
                <w:lang w:eastAsia="ja-JP"/>
              </w:rPr>
              <w:br/>
              <w:t>n=65</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p-value</w:t>
            </w:r>
          </w:p>
        </w:tc>
        <w:tc>
          <w:tcPr>
            <w:tcW w:w="0" w:type="auto"/>
            <w:tcBorders>
              <w:top w:val="single" w:sz="8" w:space="0" w:color="000000"/>
              <w:bottom w:val="single" w:sz="8" w:space="0" w:color="000000"/>
            </w:tcBorders>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b/>
                <w:color w:val="000000"/>
                <w:szCs w:val="22"/>
                <w:lang w:eastAsia="ja-JP"/>
              </w:rPr>
              <w:t>CI</w:t>
            </w:r>
          </w:p>
        </w:tc>
      </w:tr>
      <w:tr w:rsidR="00AE3A94" w:rsidRPr="00AE3A94" w:rsidTr="00900EEC">
        <w:tc>
          <w:tcPr>
            <w:tcW w:w="2248" w:type="dxa"/>
            <w:tcBorders>
              <w:top w:val="single" w:sz="8" w:space="0" w:color="000000"/>
            </w:tcBorders>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Age</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4.57±1.96</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4.83±1.57</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4.51±2.05</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0.301</w:t>
            </w:r>
          </w:p>
        </w:tc>
        <w:tc>
          <w:tcPr>
            <w:tcW w:w="0" w:type="auto"/>
            <w:tcBorders>
              <w:top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-0.5,1.5</w:t>
            </w: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2-5 </w:t>
            </w:r>
            <w:proofErr w:type="spellStart"/>
            <w:r w:rsidRPr="00AE3A94">
              <w:rPr>
                <w:rFonts w:ascii="Calibri" w:eastAsia="SimSun" w:hAnsi="Calibri" w:cs="Calibri"/>
                <w:color w:val="000000"/>
                <w:szCs w:val="22"/>
                <w:lang w:eastAsia="ja-JP"/>
              </w:rPr>
              <w:t>yrs</w:t>
            </w:r>
            <w:proofErr w:type="spellEnd"/>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57(72)</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8(57)</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49(75)</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 xml:space="preserve">6-10 </w:t>
            </w:r>
            <w:proofErr w:type="spellStart"/>
            <w:r w:rsidRPr="00AE3A94">
              <w:rPr>
                <w:rFonts w:ascii="Calibri" w:eastAsia="SimSun" w:hAnsi="Calibri" w:cs="Calibri"/>
                <w:color w:val="000000"/>
                <w:szCs w:val="22"/>
                <w:lang w:eastAsia="ja-JP"/>
              </w:rPr>
              <w:t>yrs</w:t>
            </w:r>
            <w:proofErr w:type="spellEnd"/>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22(28)</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6(43)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16(25)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Gender,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0.45</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0.4771,4.5744</w:t>
            </w: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Male</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47(59)</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10(71)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37(57)</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Female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32(41)</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4(29)</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28(43)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Asthma, n(%)</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26(33)</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5(36)</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21(32)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0.2456,4.0735</w:t>
            </w: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Allergic rhinitis,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42(53)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9(64)</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33(51)</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0.533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0.4612,7.3345</w:t>
            </w: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BMI(kg/m^2)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14.43±2.22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14.14±1.44</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14.49±2.36</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Birth weight category,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0.174,76.0541</w:t>
            </w: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&lt;2.5 kgs</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1(7)</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7(11)</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&gt;=2.5 kgs</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71(90)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13(93)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58(89)</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Hospital category, n(%)</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Private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14(22)</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Public</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65(82)</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14(100)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51(78)</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BMI category, n(%)</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Underweight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4(6)</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Normal</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63(80)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12(86)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51(78)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Overweight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8(10)</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2(14)</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6(9)</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ab/>
              <w:t>Obese</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4(5)</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4(6)</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r w:rsidRPr="00AE3A94">
              <w:rPr>
                <w:rFonts w:ascii="Calibri" w:eastAsia="SimSun" w:hAnsi="Calibri" w:cs="Calibri"/>
                <w:color w:val="000000"/>
                <w:szCs w:val="22"/>
                <w:lang w:eastAsia="ja-JP"/>
              </w:rPr>
              <w:t>Height</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109.99±17.55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111.25±12.95</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109.72±18.47</w:t>
            </w: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shd w:val="clear" w:color="auto" w:fill="FFFFFF"/>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SDB,n</w:t>
            </w:r>
            <w:proofErr w:type="spellEnd"/>
            <w:r w:rsidRPr="00AE3A94">
              <w:rPr>
                <w:rFonts w:ascii="Calibri" w:eastAsia="SimSun" w:hAnsi="Calibri" w:cs="Calibri"/>
                <w:color w:val="000000"/>
                <w:szCs w:val="22"/>
                <w:lang w:eastAsia="ja-JP"/>
              </w:rPr>
              <w:t>(%)</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58(73)</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14(100)</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44(68)</w:t>
            </w: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c>
          <w:tcPr>
            <w:tcW w:w="0" w:type="auto"/>
            <w:shd w:val="clear" w:color="auto" w:fill="FFFFFF"/>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p>
        </w:tc>
      </w:tr>
      <w:tr w:rsidR="00AE3A94" w:rsidRPr="00AE3A94" w:rsidTr="00900EEC">
        <w:tc>
          <w:tcPr>
            <w:tcW w:w="2248" w:type="dxa"/>
            <w:tcBorders>
              <w:bottom w:val="single" w:sz="8" w:space="0" w:color="000000"/>
            </w:tcBorders>
            <w:shd w:val="clear" w:color="auto" w:fill="EEEEEE"/>
            <w:vAlign w:val="center"/>
          </w:tcPr>
          <w:p w:rsidR="00AE3A94" w:rsidRPr="00AE3A94" w:rsidRDefault="00AE3A94" w:rsidP="00AE3A94">
            <w:pPr>
              <w:spacing w:before="20" w:after="20" w:line="259" w:lineRule="auto"/>
              <w:ind w:left="20" w:right="20"/>
              <w:rPr>
                <w:rFonts w:ascii="Calibri" w:eastAsia="SimSun" w:hAnsi="Calibri" w:cs="Arial"/>
                <w:sz w:val="22"/>
                <w:szCs w:val="22"/>
                <w:lang w:eastAsia="ja-JP"/>
              </w:rPr>
            </w:pPr>
            <w:proofErr w:type="spellStart"/>
            <w:r w:rsidRPr="00AE3A94">
              <w:rPr>
                <w:rFonts w:ascii="Calibri" w:eastAsia="SimSun" w:hAnsi="Calibri" w:cs="Calibri"/>
                <w:color w:val="000000"/>
                <w:szCs w:val="22"/>
                <w:lang w:eastAsia="ja-JP"/>
              </w:rPr>
              <w:t>OSA,n</w:t>
            </w:r>
            <w:proofErr w:type="spellEnd"/>
            <w:r w:rsidRPr="00AE3A94">
              <w:rPr>
                <w:rFonts w:ascii="Calibri" w:eastAsia="SimSun" w:hAnsi="Calibri" w:cs="Calibri"/>
                <w:color w:val="000000"/>
                <w:szCs w:val="22"/>
                <w:lang w:eastAsia="ja-JP"/>
              </w:rPr>
              <w:t>(%)</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44(56)</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7(50)</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37(57)</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0.769</w:t>
            </w:r>
          </w:p>
        </w:tc>
        <w:tc>
          <w:tcPr>
            <w:tcW w:w="0" w:type="auto"/>
            <w:tcBorders>
              <w:bottom w:val="single" w:sz="8" w:space="0" w:color="000000"/>
            </w:tcBorders>
            <w:shd w:val="clear" w:color="auto" w:fill="EEEEEE"/>
            <w:vAlign w:val="center"/>
          </w:tcPr>
          <w:p w:rsidR="00AE3A94" w:rsidRPr="00AE3A94" w:rsidRDefault="00AE3A94" w:rsidP="00AE3A94">
            <w:pPr>
              <w:spacing w:before="20" w:after="20" w:line="259" w:lineRule="auto"/>
              <w:ind w:left="80" w:right="80"/>
              <w:jc w:val="right"/>
              <w:rPr>
                <w:rFonts w:ascii="Calibri" w:eastAsia="SimSun" w:hAnsi="Calibri" w:cs="Arial"/>
                <w:sz w:val="22"/>
                <w:szCs w:val="22"/>
                <w:lang w:eastAsia="ja-JP"/>
              </w:rPr>
            </w:pPr>
            <w:r w:rsidRPr="00AE3A94">
              <w:rPr>
                <w:rFonts w:ascii="Calibri" w:eastAsia="SimSun" w:hAnsi="Calibri" w:cs="Calibri"/>
                <w:color w:val="000000"/>
                <w:szCs w:val="22"/>
                <w:lang w:eastAsia="ja-JP"/>
              </w:rPr>
              <w:t>0.2011,2.8629</w:t>
            </w:r>
          </w:p>
        </w:tc>
      </w:tr>
    </w:tbl>
    <w:p w:rsidR="00AE3A94" w:rsidRPr="0018151E" w:rsidRDefault="00AE3A94">
      <w:pPr>
        <w:pStyle w:val="BodyText"/>
        <w:rPr>
          <w:rFonts w:asciiTheme="majorHAnsi" w:hAnsiTheme="majorHAnsi" w:cstheme="majorHAnsi"/>
          <w:color w:val="000000" w:themeColor="text1"/>
        </w:rPr>
      </w:pPr>
    </w:p>
    <w:p w:rsidR="00261FE8" w:rsidRDefault="00AB0D6B">
      <w:pPr>
        <w:pStyle w:val="BodyText"/>
        <w:rPr>
          <w:rFonts w:asciiTheme="majorHAnsi" w:hAnsiTheme="majorHAnsi" w:cstheme="majorHAnsi"/>
          <w:color w:val="000000" w:themeColor="text1"/>
        </w:rPr>
      </w:pPr>
      <w:r>
        <w:rPr>
          <w:rFonts w:asciiTheme="majorHAnsi" w:hAnsiTheme="majorHAnsi" w:cstheme="majorHAnsi"/>
          <w:color w:val="000000" w:themeColor="text1"/>
        </w:rPr>
        <w:t>Additional summaries are in appendices.</w:t>
      </w:r>
    </w:p>
    <w:p w:rsidR="00AB0D6B" w:rsidRDefault="00AB0D6B">
      <w:pPr>
        <w:pStyle w:val="BodyText"/>
        <w:rPr>
          <w:rFonts w:asciiTheme="majorHAnsi" w:hAnsiTheme="majorHAnsi" w:cstheme="majorHAnsi"/>
          <w:color w:val="000000" w:themeColor="text1"/>
        </w:rPr>
      </w:pPr>
    </w:p>
    <w:p w:rsidR="00AB0D6B" w:rsidRPr="0018151E" w:rsidRDefault="00AB0D6B" w:rsidP="00AB0D6B">
      <w:pPr>
        <w:pStyle w:val="Heading2"/>
        <w:rPr>
          <w:rFonts w:cstheme="majorHAnsi"/>
          <w:color w:val="000000" w:themeColor="text1"/>
        </w:rPr>
      </w:pPr>
      <w:bookmarkStart w:id="2" w:name="general-estimating-equation-model"/>
      <w:r w:rsidRPr="0018151E">
        <w:rPr>
          <w:rFonts w:cstheme="majorHAnsi"/>
          <w:color w:val="000000" w:themeColor="text1"/>
        </w:rPr>
        <w:t>General estimating equation mode</w:t>
      </w:r>
      <w:bookmarkEnd w:id="2"/>
    </w:p>
    <w:p w:rsidR="000E17B5" w:rsidRDefault="00A141D2" w:rsidP="000E17B5">
      <w:pPr>
        <w:pStyle w:val="FirstParagraph"/>
        <w:rPr>
          <w:rFonts w:asciiTheme="majorHAnsi" w:hAnsiTheme="majorHAnsi" w:cstheme="majorHAnsi"/>
          <w:color w:val="000000" w:themeColor="text1"/>
        </w:rPr>
      </w:pPr>
      <w:r w:rsidRPr="0018151E">
        <w:rPr>
          <w:rFonts w:asciiTheme="majorHAnsi" w:hAnsiTheme="majorHAnsi" w:cstheme="majorHAnsi"/>
          <w:color w:val="000000" w:themeColor="text1"/>
        </w:rPr>
        <w:t xml:space="preserve">We further </w:t>
      </w:r>
      <w:r w:rsidR="00B662E1">
        <w:rPr>
          <w:rFonts w:asciiTheme="majorHAnsi" w:hAnsiTheme="majorHAnsi" w:cstheme="majorHAnsi"/>
          <w:color w:val="000000" w:themeColor="text1"/>
        </w:rPr>
        <w:t>fitted a generalized estimating equation model</w:t>
      </w:r>
      <w:r w:rsidRPr="0018151E">
        <w:rPr>
          <w:rFonts w:asciiTheme="majorHAnsi" w:hAnsiTheme="majorHAnsi" w:cstheme="majorHAnsi"/>
          <w:color w:val="000000" w:themeColor="text1"/>
        </w:rPr>
        <w:t xml:space="preserve"> to explore predictors of </w:t>
      </w:r>
      <w:r w:rsidR="00B662E1">
        <w:rPr>
          <w:rFonts w:asciiTheme="majorHAnsi" w:hAnsiTheme="majorHAnsi" w:cstheme="majorHAnsi"/>
          <w:color w:val="000000" w:themeColor="text1"/>
        </w:rPr>
        <w:t xml:space="preserve">residual </w:t>
      </w:r>
      <w:r w:rsidRPr="0018151E">
        <w:rPr>
          <w:rFonts w:asciiTheme="majorHAnsi" w:hAnsiTheme="majorHAnsi" w:cstheme="majorHAnsi"/>
          <w:color w:val="000000" w:themeColor="text1"/>
        </w:rPr>
        <w:t>SDB scores &gt; 0.33</w:t>
      </w:r>
      <w:r w:rsidR="00B662E1">
        <w:rPr>
          <w:rFonts w:asciiTheme="majorHAnsi" w:hAnsiTheme="majorHAnsi" w:cstheme="majorHAnsi"/>
          <w:color w:val="000000" w:themeColor="text1"/>
        </w:rPr>
        <w:t xml:space="preserve"> post operation of patients</w:t>
      </w:r>
      <w:r w:rsidRPr="0018151E">
        <w:rPr>
          <w:rFonts w:asciiTheme="majorHAnsi" w:hAnsiTheme="majorHAnsi" w:cstheme="majorHAnsi"/>
          <w:color w:val="000000" w:themeColor="text1"/>
        </w:rPr>
        <w:t xml:space="preserve">. </w:t>
      </w:r>
      <w:r w:rsidR="00B662E1">
        <w:rPr>
          <w:rFonts w:asciiTheme="majorHAnsi" w:hAnsiTheme="majorHAnsi" w:cstheme="majorHAnsi"/>
          <w:color w:val="000000" w:themeColor="text1"/>
        </w:rPr>
        <w:t xml:space="preserve">Choice of a generalized estimating equation model was since this was a longitudinal study and we needed to account for the correlated nature of observations. </w:t>
      </w:r>
      <w:r w:rsidR="00B45E66">
        <w:rPr>
          <w:rFonts w:asciiTheme="majorHAnsi" w:hAnsiTheme="majorHAnsi" w:cstheme="majorHAnsi"/>
          <w:color w:val="000000" w:themeColor="text1"/>
        </w:rPr>
        <w:t xml:space="preserve">We present </w:t>
      </w:r>
      <w:r w:rsidR="004A74F7">
        <w:rPr>
          <w:rFonts w:asciiTheme="majorHAnsi" w:hAnsiTheme="majorHAnsi" w:cstheme="majorHAnsi"/>
          <w:color w:val="000000" w:themeColor="text1"/>
        </w:rPr>
        <w:t xml:space="preserve">resulting coefficient estimates, standard errors, odds and confidence intervals. </w:t>
      </w:r>
      <w:r w:rsidRPr="0018151E">
        <w:rPr>
          <w:rFonts w:asciiTheme="majorHAnsi" w:hAnsiTheme="majorHAnsi" w:cstheme="majorHAnsi"/>
          <w:color w:val="000000" w:themeColor="text1"/>
        </w:rPr>
        <w:t>Overal</w:t>
      </w:r>
      <w:r w:rsidR="0078689B">
        <w:rPr>
          <w:rFonts w:asciiTheme="majorHAnsi" w:hAnsiTheme="majorHAnsi" w:cstheme="majorHAnsi"/>
          <w:color w:val="000000" w:themeColor="text1"/>
        </w:rPr>
        <w:t>l</w:t>
      </w:r>
      <w:r w:rsidRPr="0018151E">
        <w:rPr>
          <w:rFonts w:asciiTheme="majorHAnsi" w:hAnsiTheme="majorHAnsi" w:cstheme="majorHAnsi"/>
          <w:color w:val="000000" w:themeColor="text1"/>
        </w:rPr>
        <w:t xml:space="preserve">, having allergic rhinitis </w:t>
      </w:r>
      <w:r w:rsidR="000E17B5" w:rsidRPr="0018151E">
        <w:rPr>
          <w:rFonts w:asciiTheme="majorHAnsi" w:hAnsiTheme="majorHAnsi" w:cstheme="majorHAnsi"/>
          <w:color w:val="000000" w:themeColor="text1"/>
        </w:rPr>
        <w:t xml:space="preserve">increased the odds of a having </w:t>
      </w:r>
      <w:r w:rsidR="000E17B5">
        <w:rPr>
          <w:rFonts w:asciiTheme="majorHAnsi" w:hAnsiTheme="majorHAnsi" w:cstheme="majorHAnsi"/>
          <w:color w:val="000000" w:themeColor="text1"/>
        </w:rPr>
        <w:t>residual SDB</w:t>
      </w:r>
      <w:r w:rsidR="000E17B5" w:rsidRPr="0018151E">
        <w:rPr>
          <w:rFonts w:asciiTheme="majorHAnsi" w:hAnsiTheme="majorHAnsi" w:cstheme="majorHAnsi"/>
          <w:color w:val="000000" w:themeColor="text1"/>
        </w:rPr>
        <w:t xml:space="preserve"> by a factor of </w:t>
      </w:r>
      <w:r w:rsidR="000E17B5">
        <w:rPr>
          <w:rFonts w:asciiTheme="majorHAnsi" w:hAnsiTheme="majorHAnsi" w:cstheme="majorHAnsi"/>
          <w:color w:val="000000" w:themeColor="text1"/>
        </w:rPr>
        <w:t>2.22, 95% CI (1.1185, 4.424) when compared to not having allergic rhinitis.</w:t>
      </w:r>
      <w:r w:rsidR="00887927">
        <w:rPr>
          <w:rFonts w:asciiTheme="majorHAnsi" w:hAnsiTheme="majorHAnsi" w:cstheme="majorHAnsi"/>
          <w:color w:val="000000" w:themeColor="text1"/>
        </w:rPr>
        <w:t xml:space="preserve"> Additionally, being older (children of 6-10 years) increased the odds of residual SDB by a factor of 6. 78 (3.411, 13.491) when compared to the younger group (2-5 years). A similar inference can be drawn in the summaries below:</w:t>
      </w:r>
      <w:bookmarkStart w:id="3" w:name="_GoBack"/>
      <w:bookmarkEnd w:id="3"/>
    </w:p>
    <w:p w:rsidR="00261FE8" w:rsidRPr="0018151E" w:rsidRDefault="00261FE8">
      <w:pPr>
        <w:pStyle w:val="SourceCode"/>
        <w:rPr>
          <w:rFonts w:asciiTheme="majorHAnsi" w:hAnsiTheme="majorHAnsi" w:cstheme="majorHAnsi"/>
          <w:color w:val="000000" w:themeColor="text1"/>
        </w:rPr>
      </w:pPr>
    </w:p>
    <w:tbl>
      <w:tblPr>
        <w:tblStyle w:val="Table"/>
        <w:tblW w:w="0" w:type="pct"/>
        <w:tblLook w:val="07E0" w:firstRow="1" w:lastRow="1" w:firstColumn="1" w:lastColumn="1" w:noHBand="1" w:noVBand="1"/>
      </w:tblPr>
      <w:tblGrid>
        <w:gridCol w:w="2465"/>
        <w:gridCol w:w="1248"/>
        <w:gridCol w:w="885"/>
        <w:gridCol w:w="1007"/>
        <w:gridCol w:w="1007"/>
        <w:gridCol w:w="1068"/>
      </w:tblGrid>
      <w:tr w:rsidR="00655A24" w:rsidRPr="0018151E">
        <w:tc>
          <w:tcPr>
            <w:tcW w:w="0" w:type="auto"/>
            <w:tcBorders>
              <w:bottom w:val="single" w:sz="0" w:space="0" w:color="auto"/>
            </w:tcBorders>
            <w:vAlign w:val="bottom"/>
          </w:tcPr>
          <w:p w:rsidR="00261FE8" w:rsidRPr="0018151E" w:rsidRDefault="00A141D2">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variable</w:t>
            </w:r>
          </w:p>
        </w:tc>
        <w:tc>
          <w:tcPr>
            <w:tcW w:w="0" w:type="auto"/>
            <w:tcBorders>
              <w:bottom w:val="single" w:sz="0" w:space="0" w:color="auto"/>
            </w:tcBorders>
            <w:vAlign w:val="bottom"/>
          </w:tcPr>
          <w:p w:rsidR="00261FE8" w:rsidRPr="0018151E" w:rsidRDefault="00B45E66">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coef</w:t>
            </w:r>
            <w:r>
              <w:rPr>
                <w:rFonts w:asciiTheme="majorHAnsi" w:hAnsiTheme="majorHAnsi" w:cstheme="majorHAnsi"/>
                <w:color w:val="000000" w:themeColor="text1"/>
              </w:rPr>
              <w:t>ficient</w:t>
            </w:r>
          </w:p>
        </w:tc>
        <w:tc>
          <w:tcPr>
            <w:tcW w:w="0" w:type="auto"/>
            <w:tcBorders>
              <w:bottom w:val="single" w:sz="0" w:space="0" w:color="auto"/>
            </w:tcBorders>
            <w:vAlign w:val="bottom"/>
          </w:tcPr>
          <w:p w:rsidR="00261FE8" w:rsidRPr="0018151E" w:rsidRDefault="0078689B">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SE</w:t>
            </w:r>
          </w:p>
        </w:tc>
        <w:tc>
          <w:tcPr>
            <w:tcW w:w="0" w:type="auto"/>
            <w:tcBorders>
              <w:bottom w:val="single" w:sz="0" w:space="0" w:color="auto"/>
            </w:tcBorders>
            <w:vAlign w:val="bottom"/>
          </w:tcPr>
          <w:p w:rsidR="00261FE8" w:rsidRPr="0018151E" w:rsidRDefault="0078689B">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ODDS</w:t>
            </w:r>
          </w:p>
        </w:tc>
        <w:tc>
          <w:tcPr>
            <w:tcW w:w="0" w:type="auto"/>
            <w:tcBorders>
              <w:bottom w:val="single" w:sz="0" w:space="0" w:color="auto"/>
            </w:tcBorders>
            <w:vAlign w:val="bottom"/>
          </w:tcPr>
          <w:p w:rsidR="00261FE8" w:rsidRPr="0018151E" w:rsidRDefault="00B662E1">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L</w:t>
            </w:r>
            <w:r w:rsidR="00A141D2" w:rsidRPr="0018151E">
              <w:rPr>
                <w:rFonts w:asciiTheme="majorHAnsi" w:hAnsiTheme="majorHAnsi" w:cstheme="majorHAnsi"/>
                <w:color w:val="000000" w:themeColor="text1"/>
              </w:rPr>
              <w:t>owe</w:t>
            </w:r>
            <w:r>
              <w:rPr>
                <w:rFonts w:asciiTheme="majorHAnsi" w:hAnsiTheme="majorHAnsi" w:cstheme="majorHAnsi"/>
                <w:color w:val="000000" w:themeColor="text1"/>
              </w:rPr>
              <w:t xml:space="preserve"> CI</w:t>
            </w:r>
          </w:p>
        </w:tc>
        <w:tc>
          <w:tcPr>
            <w:tcW w:w="0" w:type="auto"/>
            <w:tcBorders>
              <w:bottom w:val="single" w:sz="0" w:space="0" w:color="auto"/>
            </w:tcBorders>
            <w:vAlign w:val="bottom"/>
          </w:tcPr>
          <w:p w:rsidR="00261FE8" w:rsidRPr="0018151E" w:rsidRDefault="00B662E1">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U</w:t>
            </w:r>
            <w:r w:rsidR="00A141D2" w:rsidRPr="0018151E">
              <w:rPr>
                <w:rFonts w:asciiTheme="majorHAnsi" w:hAnsiTheme="majorHAnsi" w:cstheme="majorHAnsi"/>
                <w:color w:val="000000" w:themeColor="text1"/>
              </w:rPr>
              <w:t>pper</w:t>
            </w:r>
            <w:r>
              <w:rPr>
                <w:rFonts w:asciiTheme="majorHAnsi" w:hAnsiTheme="majorHAnsi" w:cstheme="majorHAnsi"/>
                <w:color w:val="000000" w:themeColor="text1"/>
              </w:rPr>
              <w:t xml:space="preserve"> CI</w:t>
            </w:r>
          </w:p>
        </w:tc>
      </w:tr>
      <w:tr w:rsidR="00655A24" w:rsidRPr="0018151E">
        <w:tc>
          <w:tcPr>
            <w:tcW w:w="0" w:type="auto"/>
          </w:tcPr>
          <w:p w:rsidR="00261FE8" w:rsidRPr="0018151E" w:rsidRDefault="00A141D2">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(Intercept)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3.7523</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5.1195</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42.617</w:t>
            </w:r>
            <w:r w:rsidRPr="0018151E">
              <w:rPr>
                <w:rFonts w:asciiTheme="majorHAnsi" w:hAnsiTheme="majorHAnsi" w:cstheme="majorHAnsi"/>
                <w:color w:val="000000" w:themeColor="text1"/>
              </w:rPr>
              <w:t>6</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21.4292</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87.756</w:t>
            </w:r>
          </w:p>
        </w:tc>
      </w:tr>
      <w:tr w:rsidR="00655A24" w:rsidRPr="0018151E">
        <w:tc>
          <w:tcPr>
            <w:tcW w:w="0" w:type="auto"/>
          </w:tcPr>
          <w:p w:rsidR="00261FE8" w:rsidRPr="0018151E" w:rsidRDefault="00360D6C">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A</w:t>
            </w:r>
            <w:r w:rsidR="00A141D2" w:rsidRPr="0018151E">
              <w:rPr>
                <w:rFonts w:asciiTheme="majorHAnsi" w:hAnsiTheme="majorHAnsi" w:cstheme="majorHAnsi"/>
                <w:color w:val="000000" w:themeColor="text1"/>
              </w:rPr>
              <w:t>llergic</w:t>
            </w:r>
            <w:r>
              <w:rPr>
                <w:rFonts w:asciiTheme="majorHAnsi" w:hAnsiTheme="majorHAnsi" w:cstheme="majorHAnsi"/>
                <w:color w:val="000000" w:themeColor="text1"/>
              </w:rPr>
              <w:t xml:space="preserve"> </w:t>
            </w:r>
            <w:r w:rsidR="00A141D2" w:rsidRPr="0018151E">
              <w:rPr>
                <w:rFonts w:asciiTheme="majorHAnsi" w:hAnsiTheme="majorHAnsi" w:cstheme="majorHAnsi"/>
                <w:color w:val="000000" w:themeColor="text1"/>
              </w:rPr>
              <w:t>rhinitis</w:t>
            </w:r>
            <w:r>
              <w:rPr>
                <w:rFonts w:asciiTheme="majorHAnsi" w:hAnsiTheme="majorHAnsi" w:cstheme="majorHAnsi"/>
                <w:color w:val="000000" w:themeColor="text1"/>
              </w:rPr>
              <w:t>(</w:t>
            </w:r>
            <w:r w:rsidR="00A141D2" w:rsidRPr="0018151E">
              <w:rPr>
                <w:rFonts w:asciiTheme="majorHAnsi" w:hAnsiTheme="majorHAnsi" w:cstheme="majorHAnsi"/>
                <w:color w:val="000000" w:themeColor="text1"/>
              </w:rPr>
              <w:t>yes</w:t>
            </w:r>
            <w:r>
              <w:rPr>
                <w:rFonts w:asciiTheme="majorHAnsi" w:hAnsiTheme="majorHAnsi" w:cstheme="majorHAnsi"/>
                <w:color w:val="000000" w:themeColor="text1"/>
              </w:rPr>
              <w: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0.7995</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0.6472</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2.2243</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1.1185</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4.424</w:t>
            </w:r>
          </w:p>
        </w:tc>
      </w:tr>
      <w:tr w:rsidR="00655A24" w:rsidRPr="0018151E">
        <w:tc>
          <w:tcPr>
            <w:tcW w:w="0" w:type="auto"/>
          </w:tcPr>
          <w:p w:rsidR="00261FE8" w:rsidRPr="0018151E" w:rsidRDefault="00360D6C">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A</w:t>
            </w:r>
            <w:r w:rsidR="00A141D2" w:rsidRPr="0018151E">
              <w:rPr>
                <w:rFonts w:asciiTheme="majorHAnsi" w:hAnsiTheme="majorHAnsi" w:cstheme="majorHAnsi"/>
                <w:color w:val="000000" w:themeColor="text1"/>
              </w:rPr>
              <w:t>sthma</w:t>
            </w:r>
            <w:r w:rsidR="00887927">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A141D2" w:rsidRPr="0018151E">
              <w:rPr>
                <w:rFonts w:asciiTheme="majorHAnsi" w:hAnsiTheme="majorHAnsi" w:cstheme="majorHAnsi"/>
                <w:color w:val="000000" w:themeColor="text1"/>
              </w:rPr>
              <w:t>yes</w:t>
            </w:r>
            <w:r>
              <w:rPr>
                <w:rFonts w:asciiTheme="majorHAnsi" w:hAnsiTheme="majorHAnsi" w:cstheme="majorHAnsi"/>
                <w:color w:val="000000" w:themeColor="text1"/>
              </w:rPr>
              <w: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0.1113</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0.7007</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1.1178</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0.5621</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2.223</w:t>
            </w:r>
          </w:p>
        </w:tc>
      </w:tr>
      <w:tr w:rsidR="00655A24" w:rsidRPr="0018151E">
        <w:tc>
          <w:tcPr>
            <w:tcW w:w="0" w:type="auto"/>
          </w:tcPr>
          <w:p w:rsidR="00261FE8" w:rsidRPr="0018151E" w:rsidRDefault="00A141D2">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height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-0.0383</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0.0307</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0.9624</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w:t>
            </w:r>
            <w:r w:rsidR="00360D6C">
              <w:rPr>
                <w:rFonts w:asciiTheme="majorHAnsi" w:hAnsiTheme="majorHAnsi" w:cstheme="majorHAnsi"/>
                <w:color w:val="000000" w:themeColor="text1"/>
              </w:rPr>
              <w:t>4838</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1.914</w:t>
            </w:r>
          </w:p>
        </w:tc>
      </w:tr>
      <w:tr w:rsidR="00655A24" w:rsidRPr="0018151E">
        <w:tc>
          <w:tcPr>
            <w:tcW w:w="0" w:type="auto"/>
          </w:tcPr>
          <w:p w:rsidR="00261FE8" w:rsidRPr="0018151E" w:rsidRDefault="00A141D2">
            <w:pPr>
              <w:pStyle w:val="Compact"/>
              <w:rPr>
                <w:rFonts w:asciiTheme="majorHAnsi" w:hAnsiTheme="majorHAnsi" w:cstheme="majorHAnsi"/>
                <w:color w:val="000000" w:themeColor="text1"/>
              </w:rPr>
            </w:pPr>
            <w:r w:rsidRPr="0018151E">
              <w:rPr>
                <w:rStyle w:val="VerbatimChar"/>
                <w:rFonts w:asciiTheme="majorHAnsi" w:hAnsiTheme="majorHAnsi" w:cstheme="majorHAnsi"/>
                <w:color w:val="000000" w:themeColor="text1"/>
              </w:rPr>
              <w:t>birth weight</w:t>
            </w:r>
            <w:r w:rsidR="00360D6C">
              <w:rPr>
                <w:rStyle w:val="VerbatimChar"/>
                <w:rFonts w:asciiTheme="majorHAnsi" w:hAnsiTheme="majorHAnsi" w:cstheme="majorHAnsi"/>
                <w:color w:val="000000" w:themeColor="text1"/>
              </w:rPr>
              <w:t xml:space="preserve"> (</w:t>
            </w:r>
            <w:r w:rsidRPr="0018151E">
              <w:rPr>
                <w:rFonts w:asciiTheme="majorHAnsi" w:hAnsiTheme="majorHAnsi" w:cstheme="majorHAnsi"/>
                <w:color w:val="000000" w:themeColor="text1"/>
              </w:rPr>
              <w:t>&gt;= 2.5 kgs</w:t>
            </w:r>
            <w:r w:rsidR="00360D6C">
              <w:rPr>
                <w:rFonts w:asciiTheme="majorHAnsi" w:hAnsiTheme="majorHAnsi" w:cstheme="majorHAnsi"/>
                <w:color w:val="000000" w:themeColor="text1"/>
              </w:rPr>
              <w: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0.0736</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1.1887</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1.0763</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w:t>
            </w:r>
            <w:r w:rsidR="00360D6C">
              <w:rPr>
                <w:rFonts w:asciiTheme="majorHAnsi" w:hAnsiTheme="majorHAnsi" w:cstheme="majorHAnsi"/>
                <w:color w:val="000000" w:themeColor="text1"/>
              </w:rPr>
              <w:t>5412</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2.141</w:t>
            </w:r>
          </w:p>
        </w:tc>
      </w:tr>
      <w:tr w:rsidR="00655A24" w:rsidRPr="0018151E">
        <w:tc>
          <w:tcPr>
            <w:tcW w:w="0" w:type="auto"/>
          </w:tcPr>
          <w:p w:rsidR="00261FE8" w:rsidRPr="0018151E" w:rsidRDefault="00360D6C">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A</w:t>
            </w:r>
            <w:r w:rsidR="00A141D2" w:rsidRPr="0018151E">
              <w:rPr>
                <w:rFonts w:asciiTheme="majorHAnsi" w:hAnsiTheme="majorHAnsi" w:cstheme="majorHAnsi"/>
                <w:color w:val="000000" w:themeColor="text1"/>
              </w:rPr>
              <w:t>ge</w:t>
            </w:r>
            <w:r>
              <w:rPr>
                <w:rFonts w:asciiTheme="majorHAnsi" w:hAnsiTheme="majorHAnsi" w:cstheme="majorHAnsi"/>
                <w:color w:val="000000" w:themeColor="text1"/>
              </w:rPr>
              <w:t xml:space="preserve"> </w:t>
            </w:r>
            <w:r w:rsidR="00A141D2" w:rsidRPr="0018151E">
              <w:rPr>
                <w:rFonts w:asciiTheme="majorHAnsi" w:hAnsiTheme="majorHAnsi" w:cstheme="majorHAnsi"/>
                <w:color w:val="000000" w:themeColor="text1"/>
              </w:rPr>
              <w:t>cat</w:t>
            </w:r>
            <w:r>
              <w:rPr>
                <w:rFonts w:asciiTheme="majorHAnsi" w:hAnsiTheme="majorHAnsi" w:cstheme="majorHAnsi"/>
                <w:color w:val="000000" w:themeColor="text1"/>
              </w:rPr>
              <w:t xml:space="preserve"> (</w:t>
            </w:r>
            <w:r w:rsidR="00A141D2" w:rsidRPr="0018151E">
              <w:rPr>
                <w:rFonts w:asciiTheme="majorHAnsi" w:hAnsiTheme="majorHAnsi" w:cstheme="majorHAnsi"/>
                <w:color w:val="000000" w:themeColor="text1"/>
              </w:rPr>
              <w:t>6-10</w:t>
            </w:r>
            <w:r w:rsidR="00887927">
              <w:rPr>
                <w:rFonts w:asciiTheme="majorHAnsi" w:hAnsiTheme="majorHAnsi" w:cstheme="majorHAnsi"/>
                <w:color w:val="000000" w:themeColor="text1"/>
              </w:rPr>
              <w:t xml:space="preserve"> years</w:t>
            </w:r>
            <w:r>
              <w:rPr>
                <w:rFonts w:asciiTheme="majorHAnsi" w:hAnsiTheme="majorHAnsi" w:cstheme="majorHAnsi"/>
                <w:color w:val="000000" w:themeColor="text1"/>
              </w:rPr>
              <w: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1.9145</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1.1415</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6.7836</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3.4110</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13.491</w:t>
            </w:r>
          </w:p>
        </w:tc>
      </w:tr>
      <w:tr w:rsidR="00655A24" w:rsidRPr="0018151E">
        <w:tc>
          <w:tcPr>
            <w:tcW w:w="0" w:type="auto"/>
          </w:tcPr>
          <w:p w:rsidR="00261FE8" w:rsidRPr="0018151E" w:rsidRDefault="00360D6C">
            <w:pPr>
              <w:pStyle w:val="Compact"/>
              <w:rPr>
                <w:rFonts w:asciiTheme="majorHAnsi" w:hAnsiTheme="majorHAnsi" w:cstheme="majorHAnsi"/>
                <w:color w:val="000000" w:themeColor="text1"/>
              </w:rPr>
            </w:pPr>
            <w:r w:rsidRPr="0018151E">
              <w:rPr>
                <w:rFonts w:asciiTheme="majorHAnsi" w:hAnsiTheme="majorHAnsi" w:cstheme="majorHAnsi"/>
                <w:color w:val="000000" w:themeColor="text1"/>
              </w:rPr>
              <w:t>S</w:t>
            </w:r>
            <w:r w:rsidR="00A141D2" w:rsidRPr="0018151E">
              <w:rPr>
                <w:rFonts w:asciiTheme="majorHAnsi" w:hAnsiTheme="majorHAnsi" w:cstheme="majorHAnsi"/>
                <w:color w:val="000000" w:themeColor="text1"/>
              </w:rPr>
              <w:t>ex</w:t>
            </w:r>
            <w:r>
              <w:rPr>
                <w:rFonts w:asciiTheme="majorHAnsi" w:hAnsiTheme="majorHAnsi" w:cstheme="majorHAnsi"/>
                <w:color w:val="000000" w:themeColor="text1"/>
              </w:rPr>
              <w:t xml:space="preserve"> (</w:t>
            </w:r>
            <w:r w:rsidR="00A141D2" w:rsidRPr="0018151E">
              <w:rPr>
                <w:rFonts w:asciiTheme="majorHAnsi" w:hAnsiTheme="majorHAnsi" w:cstheme="majorHAnsi"/>
                <w:color w:val="000000" w:themeColor="text1"/>
              </w:rPr>
              <w:t>male</w:t>
            </w:r>
            <w:r>
              <w:rPr>
                <w:rFonts w:asciiTheme="majorHAnsi" w:hAnsiTheme="majorHAnsi" w:cstheme="majorHAnsi"/>
                <w:color w:val="000000" w:themeColor="text1"/>
              </w:rPr>
              <w:t>)</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0.7859</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0.6962</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2.1943</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1.1034</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4.364</w:t>
            </w:r>
          </w:p>
        </w:tc>
      </w:tr>
      <w:tr w:rsidR="00655A24" w:rsidRPr="0018151E">
        <w:tc>
          <w:tcPr>
            <w:tcW w:w="0" w:type="auto"/>
          </w:tcPr>
          <w:p w:rsidR="00261FE8" w:rsidRPr="0018151E" w:rsidRDefault="00A141D2">
            <w:pPr>
              <w:pStyle w:val="Compact"/>
              <w:rPr>
                <w:rFonts w:asciiTheme="majorHAnsi" w:hAnsiTheme="majorHAnsi" w:cstheme="majorHAnsi"/>
                <w:color w:val="000000" w:themeColor="text1"/>
              </w:rPr>
            </w:pPr>
            <w:proofErr w:type="spellStart"/>
            <w:r w:rsidRPr="0018151E">
              <w:rPr>
                <w:rFonts w:asciiTheme="majorHAnsi" w:hAnsiTheme="majorHAnsi" w:cstheme="majorHAnsi"/>
                <w:color w:val="000000" w:themeColor="text1"/>
              </w:rPr>
              <w:t>bmi</w:t>
            </w:r>
            <w:proofErr w:type="spellEnd"/>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-0.1916</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0.1672</w:t>
            </w:r>
          </w:p>
        </w:tc>
        <w:tc>
          <w:tcPr>
            <w:tcW w:w="0" w:type="auto"/>
          </w:tcPr>
          <w:p w:rsidR="00261FE8" w:rsidRPr="0018151E" w:rsidRDefault="00A141D2">
            <w:pPr>
              <w:pStyle w:val="Compact"/>
              <w:jc w:val="right"/>
              <w:rPr>
                <w:rFonts w:asciiTheme="majorHAnsi" w:hAnsiTheme="majorHAnsi" w:cstheme="majorHAnsi"/>
                <w:color w:val="000000" w:themeColor="text1"/>
              </w:rPr>
            </w:pPr>
            <w:r w:rsidRPr="0018151E">
              <w:rPr>
                <w:rFonts w:asciiTheme="majorHAnsi" w:hAnsiTheme="majorHAnsi" w:cstheme="majorHAnsi"/>
                <w:color w:val="000000" w:themeColor="text1"/>
              </w:rPr>
              <w:t>0.8256</w:t>
            </w:r>
          </w:p>
        </w:tc>
        <w:tc>
          <w:tcPr>
            <w:tcW w:w="0" w:type="auto"/>
          </w:tcPr>
          <w:p w:rsidR="00261FE8" w:rsidRPr="0018151E" w:rsidRDefault="00360D6C">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0.4152</w:t>
            </w:r>
          </w:p>
        </w:tc>
        <w:tc>
          <w:tcPr>
            <w:tcW w:w="0" w:type="auto"/>
          </w:tcPr>
          <w:p w:rsidR="00261FE8" w:rsidRPr="0018151E" w:rsidRDefault="000224B8">
            <w:pPr>
              <w:pStyle w:val="Compact"/>
              <w:jc w:val="right"/>
              <w:rPr>
                <w:rFonts w:asciiTheme="majorHAnsi" w:hAnsiTheme="majorHAnsi" w:cstheme="majorHAnsi"/>
                <w:color w:val="000000" w:themeColor="text1"/>
              </w:rPr>
            </w:pPr>
            <w:r>
              <w:rPr>
                <w:rFonts w:asciiTheme="majorHAnsi" w:hAnsiTheme="majorHAnsi" w:cstheme="majorHAnsi"/>
                <w:color w:val="000000" w:themeColor="text1"/>
              </w:rPr>
              <w:t>1.642</w:t>
            </w:r>
          </w:p>
        </w:tc>
      </w:tr>
    </w:tbl>
    <w:p w:rsidR="00A141D2" w:rsidRPr="0018151E" w:rsidRDefault="00A141D2">
      <w:pPr>
        <w:rPr>
          <w:rFonts w:asciiTheme="majorHAnsi" w:hAnsiTheme="majorHAnsi" w:cstheme="majorHAnsi"/>
          <w:color w:val="000000" w:themeColor="text1"/>
        </w:rPr>
      </w:pPr>
    </w:p>
    <w:sectPr w:rsidR="00A141D2" w:rsidRPr="001815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1D2" w:rsidRDefault="00A141D2">
      <w:pPr>
        <w:spacing w:after="0"/>
      </w:pPr>
      <w:r>
        <w:separator/>
      </w:r>
    </w:p>
  </w:endnote>
  <w:endnote w:type="continuationSeparator" w:id="0">
    <w:p w:rsidR="00A141D2" w:rsidRDefault="00A14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1D2" w:rsidRDefault="00A141D2">
      <w:r>
        <w:separator/>
      </w:r>
    </w:p>
  </w:footnote>
  <w:footnote w:type="continuationSeparator" w:id="0">
    <w:p w:rsidR="00A141D2" w:rsidRDefault="00A14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A708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4B8"/>
    <w:rsid w:val="000E17B5"/>
    <w:rsid w:val="0018151E"/>
    <w:rsid w:val="00261FE8"/>
    <w:rsid w:val="00360D6C"/>
    <w:rsid w:val="003B3BAB"/>
    <w:rsid w:val="00401EB8"/>
    <w:rsid w:val="004944DA"/>
    <w:rsid w:val="004A74F7"/>
    <w:rsid w:val="004E29B3"/>
    <w:rsid w:val="00590D07"/>
    <w:rsid w:val="00655A24"/>
    <w:rsid w:val="00784D58"/>
    <w:rsid w:val="0078689B"/>
    <w:rsid w:val="00887927"/>
    <w:rsid w:val="008D6863"/>
    <w:rsid w:val="00900EEC"/>
    <w:rsid w:val="00A141D2"/>
    <w:rsid w:val="00AB0D6B"/>
    <w:rsid w:val="00AE3A94"/>
    <w:rsid w:val="00B45E66"/>
    <w:rsid w:val="00B662E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064C"/>
  <w15:docId w15:val="{0960FCB5-EE6E-4FD2-A923-5104C207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140E-F066-44CF-B465-14E58A31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Basil Okola</dc:creator>
  <cp:keywords/>
  <cp:lastModifiedBy>Basil Okola</cp:lastModifiedBy>
  <cp:revision>17</cp:revision>
  <dcterms:created xsi:type="dcterms:W3CDTF">2020-05-26T11:20:00Z</dcterms:created>
  <dcterms:modified xsi:type="dcterms:W3CDTF">2020-05-26T12:14:00Z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