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Testing Report</w:t>
      </w:r>
    </w:p>
    <w:p>
      <w:r>
        <w:t>Client: Fictional Financial Services Ltd</w:t>
        <w:br/>
        <w:t>Assessment Type: External Web &amp; Internal Network Penetration Test</w:t>
        <w:br/>
        <w:t>Date: January 2026</w:t>
        <w:br/>
        <w:t>Tester: Bolaji Edu</w:t>
        <w:br/>
      </w:r>
    </w:p>
    <w:p>
      <w:pPr>
        <w:pStyle w:val="Heading2"/>
      </w:pPr>
      <w:r>
        <w:t>1. Executive Summary</w:t>
      </w:r>
    </w:p>
    <w:p>
      <w:r>
        <w:t>Closed Door Security-style penetration testing engagement conducted to assess the security posture of the client’s web applications and internal Active Directory environment. The assessment identified multiple critical attack paths that could lead to full domain compromise and unauthorized access to sensitive customer data. Immediate remediation is recommended.</w:t>
      </w:r>
    </w:p>
    <w:p>
      <w:pPr>
        <w:pStyle w:val="Heading2"/>
      </w:pPr>
      <w:r>
        <w:t>2. Scope &amp; Rules of Engagement</w:t>
      </w:r>
    </w:p>
    <w:p>
      <w:r>
        <w:t>- In-scope assets:</w:t>
        <w:br/>
        <w:t xml:space="preserve">  • app.fictionalfinance.com</w:t>
        <w:br/>
        <w:t xml:space="preserve">  • api.fictionalfinance.com</w:t>
        <w:br/>
        <w:t xml:space="preserve">  • Internal Active Directory environment</w:t>
        <w:br/>
        <w:br/>
        <w:t>- Testing type: Black-box</w:t>
        <w:br/>
        <w:t>- Denial of Service testing: Excluded</w:t>
        <w:br/>
        <w:t>- Social engineering: Excluded</w:t>
        <w:br/>
      </w:r>
    </w:p>
    <w:p>
      <w:pPr>
        <w:pStyle w:val="Heading2"/>
      </w:pPr>
      <w:r>
        <w:t>3. Methodology</w:t>
      </w:r>
    </w:p>
    <w:p>
      <w:r>
        <w:t>The assessment followed CREST-aligned penetration testing methodology:</w:t>
        <w:br/>
        <w:t>Reconnaissance → Scanning → Enumeration → Exploitation → Privilege Escalation → Lateral Movement → Reporting</w:t>
        <w:br/>
        <w:br/>
        <w:t>Frameworks used:</w:t>
        <w:br/>
        <w:t>- OWASP Top 10</w:t>
        <w:br/>
        <w:t>- MITRE ATT&amp;CK</w:t>
      </w:r>
    </w:p>
    <w:p>
      <w:pPr>
        <w:pStyle w:val="Heading2"/>
      </w:pPr>
      <w:r>
        <w:t>4. Risk Rating Summary</w:t>
      </w:r>
    </w:p>
    <w:p>
      <w:r>
        <w:t>Critical: 2</w:t>
        <w:br/>
        <w:t>High: 4</w:t>
        <w:br/>
        <w:t>Medium: 6</w:t>
        <w:br/>
        <w:t>Low: 8</w:t>
      </w:r>
    </w:p>
    <w:p>
      <w:pPr>
        <w:pStyle w:val="Heading2"/>
      </w:pPr>
      <w:r>
        <w:t>5. Detailed Findings</w:t>
      </w:r>
    </w:p>
    <w:p>
      <w:pPr>
        <w:pStyle w:val="Heading3"/>
      </w:pPr>
      <w:r>
        <w:t>Finding 1: Broken Access Control (IDOR)</w:t>
      </w:r>
    </w:p>
    <w:p>
      <w:r>
        <w:t>Severity: Critical</w:t>
        <w:br/>
        <w:br/>
        <w:t>Description:</w:t>
        <w:br/>
        <w:t>Insufficient authorization checks allowed access to other users’ financial records.</w:t>
        <w:br/>
        <w:br/>
        <w:t>Business Impact:</w:t>
        <w:br/>
        <w:t>- Exposure of sensitive financial data</w:t>
        <w:br/>
        <w:t>- Regulatory penalties (GDPR)</w:t>
        <w:br/>
        <w:br/>
        <w:t>Evidence:</w:t>
        <w:br/>
        <w:t>[Screenshot Placeholder]</w:t>
        <w:br/>
        <w:br/>
        <w:t>Recommendation:</w:t>
        <w:br/>
        <w:t>- Implement object-level authorization</w:t>
        <w:br/>
      </w:r>
    </w:p>
    <w:p>
      <w:pPr>
        <w:pStyle w:val="Heading3"/>
      </w:pPr>
      <w:r>
        <w:t>Finding 2: Active Directory Privilege Escalation</w:t>
      </w:r>
    </w:p>
    <w:p>
      <w:r>
        <w:t>Severity: Critical</w:t>
        <w:br/>
        <w:br/>
        <w:t>Description:</w:t>
        <w:br/>
        <w:t>Misconfigured ACLs allowed escalation from standard user to Domain Admin.</w:t>
        <w:br/>
        <w:br/>
        <w:t>Impact:</w:t>
        <w:br/>
        <w:t>- Full domain compromise</w:t>
        <w:br/>
        <w:br/>
        <w:t>Evidence:</w:t>
        <w:br/>
        <w:t>[BloodHound Attack Path Diagram Placeholder]</w:t>
        <w:br/>
        <w:br/>
        <w:t>Recommendation:</w:t>
        <w:br/>
        <w:t>- Review AD permissions</w:t>
        <w:br/>
      </w:r>
    </w:p>
    <w:p>
      <w:pPr>
        <w:pStyle w:val="Heading2"/>
      </w:pPr>
      <w:r>
        <w:t>6. Attack Chain Narrative</w:t>
      </w:r>
    </w:p>
    <w:p>
      <w:r>
        <w:t>Initial Access → Credential Harvesting → Privilege Escalation → Domain Admin Compromise</w:t>
        <w:br/>
        <w:br/>
        <w:t>Mapped to MITRE ATT&amp;CK techniques:</w:t>
        <w:br/>
        <w:t>- T1078 Valid Accounts</w:t>
        <w:br/>
        <w:t>- T1068 Privilege Escalation</w:t>
      </w:r>
    </w:p>
    <w:p>
      <w:pPr>
        <w:pStyle w:val="Heading2"/>
      </w:pPr>
      <w:r>
        <w:t>7. Conclusion</w:t>
      </w:r>
    </w:p>
    <w:p>
      <w:r>
        <w:t>The engagement demonstrates how multiple vulnerabilities can be chained to achieve complete compromise. Addressing these issues will significantly improve the security posture.</w:t>
      </w:r>
    </w:p>
    <w:p>
      <w:r>
        <w:br w:type="page"/>
      </w:r>
    </w:p>
    <w:p>
      <w:pPr>
        <w:pStyle w:val="Heading1"/>
      </w:pPr>
      <w:r>
        <w:t>Appendix A: Risk Overview</w:t>
      </w:r>
    </w:p>
    <w:p>
      <w:r>
        <w:t>The following chart summarises the severity of vulnerabilities identified during the engagement. This overview is intended to provide stakeholders with a concise understanding of the organisation’s overall risk exposure.</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vulnerability_severity_chart.png"/>
                    <pic:cNvPicPr/>
                  </pic:nvPicPr>
                  <pic:blipFill>
                    <a:blip r:embed="rId9"/>
                    <a:stretch>
                      <a:fillRect/>
                    </a:stretch>
                  </pic:blipFill>
                  <pic:spPr>
                    <a:xfrm>
                      <a:off x="0" y="0"/>
                      <a:ext cx="4572000" cy="3429000"/>
                    </a:xfrm>
                    <a:prstGeom prst="rect"/>
                  </pic:spPr>
                </pic:pic>
              </a:graphicData>
            </a:graphic>
          </wp:inline>
        </w:drawing>
      </w:r>
    </w:p>
    <w:p>
      <w:r>
        <w:t>Critical and high-severity findings were prioritised during exploitation and reporting, with demonstrated attack chains highlighting potential business impact if left unremediated.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