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t>Part A — Analysis of the Instructor Examples</w:t>
      </w:r>
    </w:p>
    <w:p>
      <w:pPr>
        <w:spacing w:after="120"/>
      </w:pPr>
      <w:r>
        <w:t>The three instructor prototypes were installed and run locally with `npm install` and `npm run dev`. Their behavior was checked through the browser and their source was read to identify the pattern structure.</w:t>
      </w:r>
    </w:p>
    <w:p>
      <w:pPr>
        <w:pStyle w:val="Heading2"/>
        <w:spacing w:after="120"/>
      </w:pPr>
      <w:r>
        <w:t>Singleton (§7.1.4)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Evidence</w:t>
            </w:r>
          </w:p>
        </w:tc>
      </w:tr>
      <w:tr>
        <w:tc>
          <w:tcPr>
            <w:tcW w:type="dxa" w:w="3312"/>
          </w:tcPr>
          <w:p>
            <w:r>
              <w:t>Where is the only instance controlled?</w:t>
            </w:r>
          </w:p>
        </w:tc>
        <w:tc>
          <w:tcPr>
            <w:tcW w:type="dxa" w:w="3312"/>
          </w:tcPr>
          <w:p>
            <w:r>
              <w:t>`DatabaseConnection` stores the single instance in a private static field. `getInstance()` creates it only when the field is empty and returns the same object afterward.</w:t>
            </w:r>
          </w:p>
        </w:tc>
        <w:tc>
          <w:tcPr>
            <w:tcW w:type="dxa" w:w="3312"/>
          </w:tcPr>
          <w:p>
            <w:r>
              <w:t>`01-singleton/lib/DatabaseConnection.ts:18, 33-37`</w:t>
            </w:r>
          </w:p>
        </w:tc>
      </w:tr>
      <w:tr>
        <w:tc>
          <w:tcPr>
            <w:tcW w:type="dxa" w:w="3312"/>
          </w:tcPr>
          <w:p>
            <w:r>
              <w:t>What would change if the constructor were public?</w:t>
            </w:r>
          </w:p>
        </w:tc>
        <w:tc>
          <w:tcPr>
            <w:tcW w:type="dxa" w:w="3312"/>
          </w:tcPr>
          <w:p>
            <w:r>
              <w:t>Any caller could create another connection with `new DatabaseConnection()`, so the class could no longer guarantee one shared connection.</w:t>
            </w:r>
          </w:p>
        </w:tc>
        <w:tc>
          <w:tcPr>
            <w:tcW w:type="dxa" w:w="3312"/>
          </w:tcPr>
          <w:p>
            <w:r>
              <w:t>`01-singleton/lib/DatabaseConnection.ts:26` makes the constructor private.</w:t>
            </w:r>
          </w:p>
        </w:tc>
      </w:tr>
      <w:tr>
        <w:tc>
          <w:tcPr>
            <w:tcW w:type="dxa" w:w="3312"/>
          </w:tcPr>
          <w:p>
            <w:r>
              <w:t>Where could I use this in my own project?</w:t>
            </w:r>
          </w:p>
        </w:tc>
        <w:tc>
          <w:tcPr>
            <w:tcW w:type="dxa" w:w="3312"/>
          </w:tcPr>
          <w:p>
            <w:r>
              <w:t>A single client for a browser cache, analytics queue, or configuration registry is a reasonable use when all callers must share one resource. In StudyFlow I used a Repository abstraction instead because the storage dependency should remain replaceable and testable.</w:t>
            </w:r>
          </w:p>
        </w:tc>
        <w:tc>
          <w:tcPr>
            <w:tcW w:type="dxa" w:w="3312"/>
          </w:tcPr>
          <w:p>
            <w:r>
              <w:t>`04-studyflow/repositories/TaskRepository.ts:16-56`</w:t>
            </w:r>
          </w:p>
        </w:tc>
      </w:tr>
    </w:tbl>
    <w:p/>
    <w:p>
      <w:pPr>
        <w:pStyle w:val="Heading2"/>
        <w:spacing w:after="120"/>
      </w:pPr>
      <w:r>
        <w:t>Factory (§7.2.4)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Evidence</w:t>
            </w:r>
          </w:p>
        </w:tc>
      </w:tr>
      <w:tr>
        <w:tc>
          <w:tcPr>
            <w:tcW w:type="dxa" w:w="3312"/>
          </w:tcPr>
          <w:p>
            <w:r>
              <w:t>Where is the concrete class selected?</w:t>
            </w:r>
          </w:p>
        </w:tc>
        <w:tc>
          <w:tcPr>
            <w:tcW w:type="dxa" w:w="3312"/>
          </w:tcPr>
          <w:p>
            <w:r>
              <w:t>The `NotifierFactory.create()` switch selects Email, SMS, Push, or Wasap based on the requested channel. The caller asks for a notifier without constructing a concrete class.</w:t>
            </w:r>
          </w:p>
        </w:tc>
        <w:tc>
          <w:tcPr>
            <w:tcW w:type="dxa" w:w="3312"/>
          </w:tcPr>
          <w:p>
            <w:r>
              <w:t>`02-factory/lib/notifications.ts:65-80`; caller `02-factory/app/api/factory/route.ts:14`</w:t>
            </w:r>
          </w:p>
        </w:tc>
      </w:tr>
      <w:tr>
        <w:tc>
          <w:tcPr>
            <w:tcW w:type="dxa" w:w="3312"/>
          </w:tcPr>
          <w:p>
            <w:r>
              <w:t>What would I change to add WhatsApp?</w:t>
            </w:r>
          </w:p>
        </w:tc>
        <w:tc>
          <w:tcPr>
            <w:tcW w:type="dxa" w:w="3312"/>
          </w:tcPr>
          <w:p>
            <w:r>
              <w:t>Add a WhatsApp product implementing `Notifier`, add a `guasap`/WhatsApp case to the factory switch, and add a route or request value that selects it. The instructor prototype already demonstrates this extension.</w:t>
            </w:r>
          </w:p>
        </w:tc>
        <w:tc>
          <w:tcPr>
            <w:tcW w:type="dxa" w:w="3312"/>
          </w:tcPr>
          <w:p>
            <w:r>
              <w:t>`02-factory/lib/notifications.ts:51-62, 68-75`</w:t>
            </w:r>
          </w:p>
        </w:tc>
      </w:tr>
      <w:tr>
        <w:tc>
          <w:tcPr>
            <w:tcW w:type="dxa" w:w="3312"/>
          </w:tcPr>
          <w:p>
            <w:r>
              <w:t>Where could I use this in my own project?</w:t>
            </w:r>
          </w:p>
        </w:tc>
        <w:tc>
          <w:tcPr>
            <w:tcW w:type="dxa" w:w="3312"/>
          </w:tcPr>
          <w:p>
            <w:r>
              <w:t>A notification service, payment provider, export format, or task type can hide variant construction behind one stable API. StudyFlow uses the same idea for Assignment, Exam, and Project products.</w:t>
            </w:r>
          </w:p>
        </w:tc>
        <w:tc>
          <w:tcPr>
            <w:tcW w:type="dxa" w:w="3312"/>
          </w:tcPr>
          <w:p>
            <w:r>
              <w:t>`04-studyflow/patterns/factory/TaskFactory.ts:56-75`</w:t>
            </w:r>
          </w:p>
        </w:tc>
      </w:tr>
    </w:tbl>
    <w:p/>
    <w:p>
      <w:pPr>
        <w:pStyle w:val="Heading2"/>
        <w:spacing w:after="120"/>
      </w:pPr>
      <w:r>
        <w:t>MVC (§7.3.4)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Evidence</w:t>
            </w:r>
          </w:p>
        </w:tc>
      </w:tr>
      <w:tr>
        <w:tc>
          <w:tcPr>
            <w:tcW w:type="dxa" w:w="3312"/>
          </w:tcPr>
          <w:p>
            <w:r>
              <w:t>Which files are Model, View, and Controller?</w:t>
            </w:r>
          </w:p>
        </w:tc>
        <w:tc>
          <w:tcPr>
            <w:tcW w:type="dxa" w:w="3312"/>
          </w:tcPr>
          <w:p>
            <w:r>
              <w:t>Model: `models/Task.ts`; View: `components/TaskForm.tsx` and `components/TaskList.tsx`; Controller: `controllers/TaskController.ts`. API routes connect HTTP requests to the controller.</w:t>
            </w:r>
          </w:p>
        </w:tc>
        <w:tc>
          <w:tcPr>
            <w:tcW w:type="dxa" w:w="3312"/>
          </w:tcPr>
          <w:p>
            <w:r>
              <w:t>`03-mvc/models/Task.ts:12-38`; `03-mvc/components/TaskForm.tsx`; `03-mvc/components/TaskList.tsx`; `03-mvc/controllers/TaskController.ts:15-58`</w:t>
            </w:r>
          </w:p>
        </w:tc>
      </w:tr>
      <w:tr>
        <w:tc>
          <w:tcPr>
            <w:tcW w:type="dxa" w:w="3312"/>
          </w:tcPr>
          <w:p>
            <w:r>
              <w:t>What happens if the View calls `fetch` directly?</w:t>
            </w:r>
          </w:p>
        </w:tc>
        <w:tc>
          <w:tcPr>
            <w:tcW w:type="dxa" w:w="3312"/>
          </w:tcPr>
          <w:p>
            <w:r>
              <w:t>Rendering becomes coupled to transport details, validation and error handling get duplicated, and the View becomes harder to test or reuse. The controller boundary keeps those concerns in one place.</w:t>
            </w:r>
          </w:p>
        </w:tc>
        <w:tc>
          <w:tcPr>
            <w:tcW w:type="dxa" w:w="3312"/>
          </w:tcPr>
          <w:p>
            <w:r>
              <w:t>`03-mvc/app/api/tasks/route.ts:5-16` delegates to the controller instead of putting task rules in the component.</w:t>
            </w:r>
          </w:p>
        </w:tc>
      </w:tr>
      <w:tr>
        <w:tc>
          <w:tcPr>
            <w:tcW w:type="dxa" w:w="3312"/>
          </w:tcPr>
          <w:p>
            <w:r>
              <w:t>Where could I use MVC in my own project?</w:t>
            </w:r>
          </w:p>
        </w:tc>
        <w:tc>
          <w:tcPr>
            <w:tcW w:type="dxa" w:w="3312"/>
          </w:tcPr>
          <w:p>
            <w:r>
              <w:t>A dashboard or CRUD application benefits from a View for rendering, a Controller for use-case coordination, and a Model for domain rules. StudyFlow applies this as a React View, `useTaskController`, and immutable task model.</w:t>
            </w:r>
          </w:p>
        </w:tc>
        <w:tc>
          <w:tcPr>
            <w:tcW w:type="dxa" w:w="3312"/>
          </w:tcPr>
          <w:p>
            <w:r>
              <w:t>`04-studyflow/app/page.tsx:15-21`; `04-studyflow/controllers/useTaskController.ts:24-83`; `04-studyflow/domain/TaskModel.ts:10-41`</w:t>
            </w:r>
          </w:p>
        </w:tc>
      </w:tr>
    </w:tbl>
    <w:p/>
    <w:p>
      <w:pPr>
        <w:pStyle w:val="Heading2"/>
        <w:spacing w:after="120"/>
      </w:pPr>
      <w:r>
        <w:t>Runtime observations</w:t>
      </w:r>
    </w:p>
    <w:p>
      <w:pPr>
        <w:pStyle w:val="ListBullet"/>
        <w:spacing w:after="120"/>
      </w:pPr>
      <w:r>
        <w:t>Singleton returned the same `connectionId` for three requests while its query counter increased.</w:t>
      </w:r>
    </w:p>
    <w:p>
      <w:pPr>
        <w:pStyle w:val="ListBullet"/>
        <w:spacing w:after="120"/>
      </w:pPr>
      <w:r>
        <w:t>Factory successfully returned Email, SMS, Push, and Wasap responses; an unknown channel returned a controlled 400 response.</w:t>
      </w:r>
    </w:p>
    <w:p>
      <w:pPr>
        <w:pStyle w:val="ListBullet"/>
        <w:spacing w:after="120"/>
      </w:pPr>
      <w:r>
        <w:t>MVC loaded and created tasks successfully. In the instructor sample, a newly created task could not be updated or deleted across separate dynamic route requests because the in-memory store is module-local; this is a useful reminder that a production MVC application needs durable shared persistence.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