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Optimization and Tuning Phase Template</w:t>
      </w:r>
    </w:p>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739766</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SDSS galaxy classification using Machine Learning </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 Marks</w:t>
            </w:r>
          </w:p>
        </w:tc>
      </w:tr>
    </w:tbl>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Optimization and Tuning Phase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Hyperparameter Tuning Documentation (6 Marks):</w:t>
      </w:r>
    </w:p>
    <w:tbl>
      <w:tblPr/>
      <w:tblGrid>
        <w:gridCol w:w="1767"/>
        <w:gridCol w:w="4691"/>
        <w:gridCol w:w="2900"/>
      </w:tblGrid>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Model</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Tuned Hyperparameters</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Optimal Values</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Decision Tree</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Random Forest</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Logistic Regression</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bl>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Performance Metrics Comparison Report (2 Marks):</w:t>
      </w:r>
    </w:p>
    <w:tbl>
      <w:tblPr/>
      <w:tblGrid>
        <w:gridCol w:w="2140"/>
        <w:gridCol w:w="3416"/>
        <w:gridCol w:w="3803"/>
      </w:tblGrid>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Model</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Baseline Metric</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Optimized Metric</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Random Forest</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Baseline value</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Optimized value</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Decision  Tree</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 Regression</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tc>
      </w:tr>
    </w:tbl>
    <w:p>
      <w:pPr>
        <w:spacing w:before="280" w:after="80" w:line="384"/>
        <w:ind w:right="0" w:left="0" w:firstLine="0"/>
        <w:jc w:val="left"/>
        <w:rPr>
          <w:rFonts w:ascii="Calibri" w:hAnsi="Calibri" w:cs="Calibri" w:eastAsia="Calibri"/>
          <w:color w:val="auto"/>
          <w:spacing w:val="0"/>
          <w:position w:val="0"/>
          <w:sz w:val="22"/>
          <w:shd w:fill="FFFFFF" w:val="clear"/>
        </w:rPr>
      </w:pPr>
    </w:p>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Final Model Selection Justification (2 Marks):</w:t>
      </w:r>
    </w:p>
    <w:tbl>
      <w:tblPr/>
      <w:tblGrid>
        <w:gridCol w:w="2243"/>
        <w:gridCol w:w="7116"/>
      </w:tblGrid>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Final Model</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Reasoning</w:t>
            </w:r>
          </w:p>
        </w:tc>
      </w:tr>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Random Forest</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Random Forest model was selected for its superior performance, exhibiting high accuracy during accuracy. Its ability to handle complex relationships, minimize overfitting, and optimize predictive accuracy aligns with project objectives, justifying its selection as the final model</w:t>
            </w:r>
          </w:p>
        </w:tc>
      </w:tr>
    </w:tbl>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