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Calibri" w:hAnsi="Calibri"/>
          <w:b/>
          <w:i w:val="0"/>
          <w:color w:val="203864"/>
          <w:sz w:val="48"/>
        </w:rPr>
        <w:t>Vidhyan Application Overview</w:t>
      </w:r>
    </w:p>
    <w:p>
      <w:pPr>
        <w:spacing w:before="0" w:after="200" w:line="276" w:lineRule="auto"/>
        <w:jc w:val="left"/>
      </w:pPr>
      <w:r>
        <w:rPr>
          <w:rFonts w:ascii="Calibri" w:hAnsi="Calibri"/>
          <w:b w:val="0"/>
          <w:i w:val="0"/>
          <w:color w:val="5A5A5A"/>
          <w:sz w:val="24"/>
        </w:rPr>
        <w:t>Observed product documentation for the Vidhyan demo application</w:t>
      </w:r>
    </w:p>
    <w:tbl>
      <w:tblPr>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2232"/>
            <w:tcMar>
              <w:top w:w="80" w:type="dxa"/>
              <w:start w:w="120" w:type="dxa"/>
              <w:bottom w:w="80" w:type="dxa"/>
              <w:end w:w="120" w:type="dxa"/>
            </w:tcMar>
            <w:shd w:fill="E8EEF5"/>
            <w:vAlign w:val="center"/>
          </w:tcPr>
          <w:p>
            <w:pPr>
              <w:spacing w:before="0" w:after="0" w:line="276" w:lineRule="auto"/>
              <w:jc w:val="left"/>
            </w:pPr>
            <w:r/>
            <w:r>
              <w:rPr>
                <w:rFonts w:ascii="Calibri" w:hAnsi="Calibri"/>
                <w:b/>
                <w:i w:val="0"/>
                <w:color w:val="1F1F1F"/>
                <w:sz w:val="21"/>
              </w:rPr>
              <w:t>Base URL</w:t>
            </w:r>
          </w:p>
        </w:tc>
        <w:tc>
          <w:tcPr>
            <w:tcW w:type="dxa" w:w="7128"/>
            <w:tcMar>
              <w:top w:w="80" w:type="dxa"/>
              <w:start w:w="120" w:type="dxa"/>
              <w:bottom w:w="80" w:type="dxa"/>
              <w:end w:w="120" w:type="dxa"/>
            </w:tcMar>
            <w:vAlign w:val="center"/>
          </w:tcPr>
          <w:p>
            <w:pPr>
              <w:spacing w:before="0" w:after="0" w:line="276" w:lineRule="auto"/>
              <w:jc w:val="left"/>
            </w:pPr>
            <w:r/>
            <w:r>
              <w:rPr>
                <w:rFonts w:ascii="Calibri" w:hAnsi="Calibri"/>
                <w:b w:val="0"/>
                <w:i w:val="0"/>
                <w:color w:val="000000"/>
                <w:sz w:val="21"/>
              </w:rPr>
              <w:t>https://demo.vidhyan.co.in</w:t>
            </w:r>
          </w:p>
        </w:tc>
      </w:tr>
      <w:tr>
        <w:tc>
          <w:tcPr>
            <w:tcW w:type="dxa" w:w="2232"/>
            <w:tcMar>
              <w:top w:w="80" w:type="dxa"/>
              <w:start w:w="120" w:type="dxa"/>
              <w:bottom w:w="80" w:type="dxa"/>
              <w:end w:w="120" w:type="dxa"/>
            </w:tcMar>
            <w:shd w:fill="E8EEF5"/>
            <w:vAlign w:val="center"/>
          </w:tcPr>
          <w:p>
            <w:pPr>
              <w:spacing w:before="0" w:after="0" w:line="276" w:lineRule="auto"/>
              <w:jc w:val="left"/>
            </w:pPr>
            <w:r/>
            <w:r>
              <w:rPr>
                <w:rFonts w:ascii="Calibri" w:hAnsi="Calibri"/>
                <w:b/>
                <w:i w:val="0"/>
                <w:color w:val="1F1F1F"/>
                <w:sz w:val="21"/>
              </w:rPr>
              <w:t>Validated Environment</w:t>
            </w:r>
          </w:p>
        </w:tc>
        <w:tc>
          <w:tcPr>
            <w:tcW w:type="dxa" w:w="7128"/>
            <w:tcMar>
              <w:top w:w="80" w:type="dxa"/>
              <w:start w:w="120" w:type="dxa"/>
              <w:bottom w:w="80" w:type="dxa"/>
              <w:end w:w="120" w:type="dxa"/>
            </w:tcMar>
            <w:vAlign w:val="center"/>
          </w:tcPr>
          <w:p>
            <w:pPr>
              <w:spacing w:before="0" w:after="0" w:line="276" w:lineRule="auto"/>
              <w:jc w:val="left"/>
            </w:pPr>
            <w:r/>
            <w:r>
              <w:rPr>
                <w:rFonts w:ascii="Calibri" w:hAnsi="Calibri"/>
                <w:b w:val="0"/>
                <w:i w:val="0"/>
                <w:color w:val="000000"/>
                <w:sz w:val="21"/>
              </w:rPr>
              <w:t>Demo school instance: Chaitanya Public School</w:t>
            </w:r>
          </w:p>
        </w:tc>
      </w:tr>
      <w:tr>
        <w:tc>
          <w:tcPr>
            <w:tcW w:type="dxa" w:w="2232"/>
            <w:tcMar>
              <w:top w:w="80" w:type="dxa"/>
              <w:start w:w="120" w:type="dxa"/>
              <w:bottom w:w="80" w:type="dxa"/>
              <w:end w:w="120" w:type="dxa"/>
            </w:tcMar>
            <w:shd w:fill="E8EEF5"/>
            <w:vAlign w:val="center"/>
          </w:tcPr>
          <w:p>
            <w:pPr>
              <w:spacing w:before="0" w:after="0" w:line="276" w:lineRule="auto"/>
              <w:jc w:val="left"/>
            </w:pPr>
            <w:r/>
            <w:r>
              <w:rPr>
                <w:rFonts w:ascii="Calibri" w:hAnsi="Calibri"/>
                <w:b/>
                <w:i w:val="0"/>
                <w:color w:val="1F1F1F"/>
                <w:sz w:val="21"/>
              </w:rPr>
              <w:t>Observation Date</w:t>
            </w:r>
          </w:p>
        </w:tc>
        <w:tc>
          <w:tcPr>
            <w:tcW w:type="dxa" w:w="7128"/>
            <w:tcMar>
              <w:top w:w="80" w:type="dxa"/>
              <w:start w:w="120" w:type="dxa"/>
              <w:bottom w:w="80" w:type="dxa"/>
              <w:end w:w="120" w:type="dxa"/>
            </w:tcMar>
            <w:vAlign w:val="center"/>
          </w:tcPr>
          <w:p>
            <w:pPr>
              <w:spacing w:before="0" w:after="0" w:line="276" w:lineRule="auto"/>
              <w:jc w:val="left"/>
            </w:pPr>
            <w:r/>
            <w:r>
              <w:rPr>
                <w:rFonts w:ascii="Calibri" w:hAnsi="Calibri"/>
                <w:b w:val="0"/>
                <w:i w:val="0"/>
                <w:color w:val="000000"/>
                <w:sz w:val="21"/>
              </w:rPr>
              <w:t>28 June 2026</w:t>
            </w:r>
          </w:p>
        </w:tc>
      </w:tr>
    </w:tbl>
    <w:p>
      <w:pPr>
        <w:spacing w:before="360" w:after="200" w:line="276" w:lineRule="auto"/>
        <w:jc w:val="left"/>
      </w:pPr>
      <w:r>
        <w:rPr>
          <w:rFonts w:ascii="Calibri" w:hAnsi="Calibri"/>
          <w:b/>
          <w:i w:val="0"/>
          <w:color w:val="2E74B5"/>
          <w:sz w:val="32"/>
        </w:rPr>
        <w:t>Application Summary</w:t>
      </w:r>
    </w:p>
    <w:p>
      <w:pPr>
        <w:spacing w:before="0" w:after="120" w:line="300" w:lineRule="auto"/>
        <w:jc w:val="left"/>
      </w:pPr>
      <w:r>
        <w:rPr>
          <w:rFonts w:ascii="Calibri" w:hAnsi="Calibri"/>
          <w:b w:val="0"/>
          <w:i w:val="0"/>
          <w:color w:val="000000"/>
          <w:sz w:val="22"/>
        </w:rPr>
        <w:t>Vidhyan is a school management web application that brings academic, people, operational, communication, and finance workflows into one authenticated admin experience. In the observed demo instance, the application is configured for Chaitanya Public School and opens to a dashboard that highlights attendance, academic execution, teacher coverage, fee follow-ups, announcements, calendar visibility, and operational audit activity.</w:t>
      </w:r>
    </w:p>
    <w:p>
      <w:pPr>
        <w:spacing w:before="0" w:after="120" w:line="300" w:lineRule="auto"/>
        <w:jc w:val="left"/>
      </w:pPr>
      <w:r>
        <w:rPr>
          <w:rFonts w:ascii="Calibri" w:hAnsi="Calibri"/>
          <w:b w:val="0"/>
          <w:i w:val="0"/>
          <w:color w:val="000000"/>
          <w:sz w:val="22"/>
        </w:rPr>
        <w:t>The application structure indicates that Vidhyan is designed to support end-to-end school administration rather than isolated record maintenance. The left navigation groups the product into People, Operations, Financials, Communication, and Administration, which makes the product easier to understand for both administrators and test engineers.</w:t>
      </w:r>
    </w:p>
    <w:p>
      <w:pPr>
        <w:spacing w:before="360" w:after="200" w:line="276" w:lineRule="auto"/>
        <w:jc w:val="left"/>
      </w:pPr>
      <w:r>
        <w:rPr>
          <w:rFonts w:ascii="Calibri" w:hAnsi="Calibri"/>
          <w:b/>
          <w:i w:val="0"/>
          <w:color w:val="2E74B5"/>
          <w:sz w:val="32"/>
        </w:rPr>
        <w:t>Observed User Context</w:t>
      </w:r>
    </w:p>
    <w:p>
      <w:pPr>
        <w:spacing w:before="0" w:after="120" w:line="300" w:lineRule="auto"/>
        <w:jc w:val="left"/>
      </w:pPr>
      <w:r>
        <w:rPr>
          <w:rFonts w:ascii="Calibri" w:hAnsi="Calibri"/>
          <w:b w:val="0"/>
          <w:i w:val="0"/>
          <w:color w:val="000000"/>
          <w:sz w:val="22"/>
        </w:rPr>
        <w:t>The validated demo login opens an authenticated session for Ravi Sharma with the role label School Admin. Based on the visible access, this role can reach student, teacher, staff, academic, attendance, timetable, transport, calendar, leave, finance, announcement, setup, user-management, and settings areas.</w:t>
      </w:r>
    </w:p>
    <w:p>
      <w:pPr>
        <w:spacing w:before="0" w:after="120" w:line="300" w:lineRule="auto"/>
        <w:jc w:val="left"/>
      </w:pPr>
      <w:r>
        <w:rPr>
          <w:rFonts w:ascii="Calibri" w:hAnsi="Calibri"/>
          <w:b w:val="0"/>
          <w:i w:val="0"/>
          <w:color w:val="000000"/>
          <w:sz w:val="22"/>
        </w:rPr>
        <w:t>The presence of role-targeted modules such as Portal Invitations, Employment Status, Leave Policy, Payroll Policy, and User Management also suggests that Vidhyan is role-sensitive, even though only the School Admin path was validated during this pass.</w:t>
      </w:r>
    </w:p>
    <w:p>
      <w:pPr>
        <w:spacing w:before="360" w:after="200" w:line="276" w:lineRule="auto"/>
        <w:jc w:val="left"/>
      </w:pPr>
      <w:r>
        <w:rPr>
          <w:rFonts w:ascii="Calibri" w:hAnsi="Calibri"/>
          <w:b/>
          <w:i w:val="0"/>
          <w:color w:val="2E74B5"/>
          <w:sz w:val="32"/>
        </w:rPr>
        <w:t>Core Navigation Model</w:t>
      </w:r>
    </w:p>
    <w:p>
      <w:pPr>
        <w:spacing w:before="0" w:after="120" w:line="300" w:lineRule="auto"/>
        <w:jc w:val="left"/>
      </w:pPr>
      <w:r>
        <w:rPr>
          <w:rFonts w:ascii="Calibri" w:hAnsi="Calibri"/>
          <w:b w:val="0"/>
          <w:i w:val="0"/>
          <w:color w:val="000000"/>
          <w:sz w:val="22"/>
        </w:rPr>
        <w:t>The product uses a persistent left-side navigation with clear category grouping.</w:t>
      </w:r>
    </w:p>
    <w:p>
      <w:pPr>
        <w:spacing w:before="0" w:after="120" w:line="300" w:lineRule="auto"/>
        <w:jc w:val="left"/>
      </w:pPr>
      <w:r>
        <w:rPr>
          <w:rFonts w:ascii="Calibri" w:hAnsi="Calibri"/>
          <w:b w:val="0"/>
          <w:i w:val="0"/>
          <w:color w:val="000000"/>
          <w:sz w:val="22"/>
        </w:rPr>
        <w:t>At the top of the authenticated layout, the application also presents school branding, notification access, an account menu, and a settings trigger. This gives the application a standard enterprise workflow pattern: module navigation on the left, contextual work area in the center, and personal/system controls in the header.</w:t>
      </w:r>
    </w:p>
    <w:p>
      <w:pPr>
        <w:spacing w:before="360" w:after="200" w:line="276" w:lineRule="auto"/>
        <w:jc w:val="left"/>
      </w:pPr>
      <w:r>
        <w:rPr>
          <w:rFonts w:ascii="Calibri" w:hAnsi="Calibri"/>
          <w:b/>
          <w:i w:val="0"/>
          <w:color w:val="2E74B5"/>
          <w:sz w:val="32"/>
        </w:rPr>
        <w:t>Observed Module Map</w:t>
      </w:r>
    </w:p>
    <w:p>
      <w:pPr>
        <w:spacing w:before="0" w:after="120" w:line="300" w:lineRule="auto"/>
        <w:jc w:val="left"/>
      </w:pPr>
      <w:r>
        <w:rPr>
          <w:rFonts w:ascii="Calibri" w:hAnsi="Calibri"/>
          <w:b w:val="0"/>
          <w:i w:val="0"/>
          <w:color w:val="000000"/>
          <w:sz w:val="22"/>
        </w:rPr>
        <w:t>The module map below is based on the authenticated left navigation and the first landing views observed in the demo environment. Module names and descriptions are written from what is visible in the application, not from assumptions.</w:t>
      </w:r>
    </w:p>
    <w:tbl>
      <w:tblPr>
        <w:tblStyle w:val="TableGrid"/>
        <w:tblW w:type="auto" w:w="0"/>
        <w:jc w:val="left"/>
        <w:tblLook w:firstColumn="1" w:firstRow="1" w:lastColumn="0" w:lastRow="0" w:noHBand="0" w:noVBand="1" w:val="04A0"/>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120"/>
        <w:gridCol w:w="3120"/>
        <w:gridCol w:w="3120"/>
      </w:tblGrid>
      <w:tr>
        <w:tc>
          <w:tcPr>
            <w:tcW w:type="dxa" w:w="2160"/>
            <w:tcMar>
              <w:top w:w="80" w:type="dxa"/>
              <w:start w:w="120" w:type="dxa"/>
              <w:bottom w:w="80" w:type="dxa"/>
              <w:end w:w="120" w:type="dxa"/>
            </w:tcMar>
            <w:shd w:fill="E8EEF5"/>
            <w:vAlign w:val="center"/>
          </w:tcPr>
          <w:p>
            <w:pPr>
              <w:spacing w:before="0" w:after="0" w:line="276" w:lineRule="auto"/>
              <w:jc w:val="center"/>
            </w:pPr>
            <w:r/>
            <w:r>
              <w:rPr>
                <w:rFonts w:ascii="Calibri" w:hAnsi="Calibri"/>
                <w:b/>
                <w:i w:val="0"/>
                <w:color w:val="203864"/>
                <w:sz w:val="21"/>
              </w:rPr>
              <w:t>Module</w:t>
            </w:r>
          </w:p>
        </w:tc>
        <w:tc>
          <w:tcPr>
            <w:tcW w:type="dxa" w:w="1872"/>
            <w:tcMar>
              <w:top w:w="80" w:type="dxa"/>
              <w:start w:w="120" w:type="dxa"/>
              <w:bottom w:w="80" w:type="dxa"/>
              <w:end w:w="120" w:type="dxa"/>
            </w:tcMar>
            <w:shd w:fill="E8EEF5"/>
            <w:vAlign w:val="center"/>
          </w:tcPr>
          <w:p>
            <w:pPr>
              <w:spacing w:before="0" w:after="0" w:line="276" w:lineRule="auto"/>
              <w:jc w:val="center"/>
            </w:pPr>
            <w:r/>
            <w:r>
              <w:rPr>
                <w:rFonts w:ascii="Calibri" w:hAnsi="Calibri"/>
                <w:b/>
                <w:i w:val="0"/>
                <w:color w:val="203864"/>
                <w:sz w:val="21"/>
              </w:rPr>
              <w:t>Route Pattern</w:t>
            </w:r>
          </w:p>
        </w:tc>
        <w:tc>
          <w:tcPr>
            <w:tcW w:type="dxa" w:w="5328"/>
            <w:tcMar>
              <w:top w:w="80" w:type="dxa"/>
              <w:start w:w="120" w:type="dxa"/>
              <w:bottom w:w="80" w:type="dxa"/>
              <w:end w:w="120" w:type="dxa"/>
            </w:tcMar>
            <w:shd w:fill="E8EEF5"/>
            <w:vAlign w:val="center"/>
          </w:tcPr>
          <w:p>
            <w:pPr>
              <w:spacing w:before="0" w:after="0" w:line="276" w:lineRule="auto"/>
              <w:jc w:val="center"/>
            </w:pPr>
            <w:r/>
            <w:r>
              <w:rPr>
                <w:rFonts w:ascii="Calibri" w:hAnsi="Calibri"/>
                <w:b/>
                <w:i w:val="0"/>
                <w:color w:val="203864"/>
                <w:sz w:val="21"/>
              </w:rPr>
              <w:t>Observed Purpose</w:t>
            </w:r>
          </w:p>
        </w:tc>
      </w:tr>
      <w:tr>
        <w:tc>
          <w:tcPr>
            <w:tcW w:type="dxa" w:w="3120"/>
            <w:vAlign w:val="center"/>
          </w:tcPr>
          <w:p>
            <w:pPr>
              <w:spacing w:before="0" w:after="0" w:line="276" w:lineRule="auto"/>
              <w:jc w:val="left"/>
            </w:pPr>
            <w:r/>
            <w:r>
              <w:rPr>
                <w:rFonts w:ascii="Calibri" w:hAnsi="Calibri"/>
                <w:b/>
                <w:i w:val="0"/>
                <w:color w:val="000000"/>
                <w:sz w:val="20"/>
              </w:rPr>
              <w:t>Home</w:t>
            </w:r>
          </w:p>
        </w:tc>
        <w:tc>
          <w:tcPr>
            <w:tcW w:type="dxa" w:w="3120"/>
            <w:vAlign w:val="center"/>
          </w:tcPr>
          <w:p>
            <w:pPr>
              <w:spacing w:before="0" w:after="0" w:line="276" w:lineRule="auto"/>
              <w:jc w:val="left"/>
            </w:pPr>
            <w:r/>
            <w:r>
              <w:rPr>
                <w:rFonts w:ascii="Calibri" w:hAnsi="Calibri"/>
                <w:b w:val="0"/>
                <w:i w:val="0"/>
                <w:color w:val="000000"/>
                <w:sz w:val="20"/>
              </w:rPr>
              <w:t>/app/dashboard</w:t>
            </w:r>
          </w:p>
        </w:tc>
        <w:tc>
          <w:tcPr>
            <w:tcW w:type="dxa" w:w="3120"/>
            <w:vAlign w:val="center"/>
          </w:tcPr>
          <w:p>
            <w:pPr>
              <w:spacing w:before="0" w:after="0" w:line="276" w:lineRule="auto"/>
              <w:jc w:val="left"/>
            </w:pPr>
            <w:r/>
            <w:r>
              <w:rPr>
                <w:rFonts w:ascii="Calibri" w:hAnsi="Calibri"/>
                <w:b w:val="0"/>
                <w:i w:val="0"/>
                <w:color w:val="000000"/>
                <w:sz w:val="20"/>
              </w:rPr>
              <w:t>School-wide operational dashboard with control tower metrics, fee follow-ups, announcements, calendar, alerts, and audit trail access.</w:t>
            </w:r>
          </w:p>
        </w:tc>
      </w:tr>
      <w:tr>
        <w:tc>
          <w:tcPr>
            <w:tcW w:type="dxa" w:w="3120"/>
            <w:vAlign w:val="center"/>
          </w:tcPr>
          <w:p>
            <w:pPr>
              <w:spacing w:before="0" w:after="0" w:line="276" w:lineRule="auto"/>
              <w:jc w:val="left"/>
            </w:pPr>
            <w:r/>
            <w:r>
              <w:rPr>
                <w:rFonts w:ascii="Calibri" w:hAnsi="Calibri"/>
                <w:b/>
                <w:i w:val="0"/>
                <w:color w:val="000000"/>
                <w:sz w:val="20"/>
              </w:rPr>
              <w:t>Students</w:t>
            </w:r>
          </w:p>
        </w:tc>
        <w:tc>
          <w:tcPr>
            <w:tcW w:type="dxa" w:w="3120"/>
            <w:vAlign w:val="center"/>
          </w:tcPr>
          <w:p>
            <w:pPr>
              <w:spacing w:before="0" w:after="0" w:line="276" w:lineRule="auto"/>
              <w:jc w:val="left"/>
            </w:pPr>
            <w:r/>
            <w:r>
              <w:rPr>
                <w:rFonts w:ascii="Calibri" w:hAnsi="Calibri"/>
                <w:b w:val="0"/>
                <w:i w:val="0"/>
                <w:color w:val="000000"/>
                <w:sz w:val="20"/>
              </w:rPr>
              <w:t>/app/students</w:t>
            </w:r>
          </w:p>
        </w:tc>
        <w:tc>
          <w:tcPr>
            <w:tcW w:type="dxa" w:w="3120"/>
            <w:vAlign w:val="center"/>
          </w:tcPr>
          <w:p>
            <w:pPr>
              <w:spacing w:before="0" w:after="0" w:line="276" w:lineRule="auto"/>
              <w:jc w:val="left"/>
            </w:pPr>
            <w:r/>
            <w:r>
              <w:rPr>
                <w:rFonts w:ascii="Calibri" w:hAnsi="Calibri"/>
                <w:b w:val="0"/>
                <w:i w:val="0"/>
                <w:color w:val="000000"/>
                <w:sz w:val="20"/>
              </w:rPr>
              <w:t>Student records workspace covering student directory, guardian directory, enrollment actions, and student leadership flows.</w:t>
            </w:r>
          </w:p>
        </w:tc>
      </w:tr>
      <w:tr>
        <w:tc>
          <w:tcPr>
            <w:tcW w:type="dxa" w:w="3120"/>
            <w:vAlign w:val="center"/>
          </w:tcPr>
          <w:p>
            <w:pPr>
              <w:spacing w:before="0" w:after="0" w:line="276" w:lineRule="auto"/>
              <w:jc w:val="left"/>
            </w:pPr>
            <w:r/>
            <w:r>
              <w:rPr>
                <w:rFonts w:ascii="Calibri" w:hAnsi="Calibri"/>
                <w:b/>
                <w:i w:val="0"/>
                <w:color w:val="000000"/>
                <w:sz w:val="20"/>
              </w:rPr>
              <w:t>Teachers</w:t>
            </w:r>
          </w:p>
        </w:tc>
        <w:tc>
          <w:tcPr>
            <w:tcW w:type="dxa" w:w="3120"/>
            <w:vAlign w:val="center"/>
          </w:tcPr>
          <w:p>
            <w:pPr>
              <w:spacing w:before="0" w:after="0" w:line="276" w:lineRule="auto"/>
              <w:jc w:val="left"/>
            </w:pPr>
            <w:r/>
            <w:r>
              <w:rPr>
                <w:rFonts w:ascii="Calibri" w:hAnsi="Calibri"/>
                <w:b w:val="0"/>
                <w:i w:val="0"/>
                <w:color w:val="000000"/>
                <w:sz w:val="20"/>
              </w:rPr>
              <w:t>/app/teachers</w:t>
            </w:r>
          </w:p>
        </w:tc>
        <w:tc>
          <w:tcPr>
            <w:tcW w:type="dxa" w:w="3120"/>
            <w:vAlign w:val="center"/>
          </w:tcPr>
          <w:p>
            <w:pPr>
              <w:spacing w:before="0" w:after="0" w:line="276" w:lineRule="auto"/>
              <w:jc w:val="left"/>
            </w:pPr>
            <w:r/>
            <w:r>
              <w:rPr>
                <w:rFonts w:ascii="Calibri" w:hAnsi="Calibri"/>
                <w:b w:val="0"/>
                <w:i w:val="0"/>
                <w:color w:val="000000"/>
                <w:sz w:val="20"/>
              </w:rPr>
              <w:t>Teacher records workspace covering directory, academic linkage, subject offerings, and portal invitations.</w:t>
            </w:r>
          </w:p>
        </w:tc>
      </w:tr>
      <w:tr>
        <w:tc>
          <w:tcPr>
            <w:tcW w:type="dxa" w:w="3120"/>
            <w:vAlign w:val="center"/>
          </w:tcPr>
          <w:p>
            <w:pPr>
              <w:spacing w:before="0" w:after="0" w:line="276" w:lineRule="auto"/>
              <w:jc w:val="left"/>
            </w:pPr>
            <w:r/>
            <w:r>
              <w:rPr>
                <w:rFonts w:ascii="Calibri" w:hAnsi="Calibri"/>
                <w:b/>
                <w:i w:val="0"/>
                <w:color w:val="000000"/>
                <w:sz w:val="20"/>
              </w:rPr>
              <w:t>Staff</w:t>
            </w:r>
          </w:p>
        </w:tc>
        <w:tc>
          <w:tcPr>
            <w:tcW w:type="dxa" w:w="3120"/>
            <w:vAlign w:val="center"/>
          </w:tcPr>
          <w:p>
            <w:pPr>
              <w:spacing w:before="0" w:after="0" w:line="276" w:lineRule="auto"/>
              <w:jc w:val="left"/>
            </w:pPr>
            <w:r/>
            <w:r>
              <w:rPr>
                <w:rFonts w:ascii="Calibri" w:hAnsi="Calibri"/>
                <w:b w:val="0"/>
                <w:i w:val="0"/>
                <w:color w:val="000000"/>
                <w:sz w:val="20"/>
              </w:rPr>
              <w:t>/app/staff</w:t>
            </w:r>
          </w:p>
        </w:tc>
        <w:tc>
          <w:tcPr>
            <w:tcW w:type="dxa" w:w="3120"/>
            <w:vAlign w:val="center"/>
          </w:tcPr>
          <w:p>
            <w:pPr>
              <w:spacing w:before="0" w:after="0" w:line="276" w:lineRule="auto"/>
              <w:jc w:val="left"/>
            </w:pPr>
            <w:r/>
            <w:r>
              <w:rPr>
                <w:rFonts w:ascii="Calibri" w:hAnsi="Calibri"/>
                <w:b w:val="0"/>
                <w:i w:val="0"/>
                <w:color w:val="000000"/>
                <w:sz w:val="20"/>
              </w:rPr>
              <w:t>Non-teaching staff workspace covering directory, drivers, facilities, operations roles, and employment status.</w:t>
            </w:r>
          </w:p>
        </w:tc>
      </w:tr>
      <w:tr>
        <w:tc>
          <w:tcPr>
            <w:tcW w:type="dxa" w:w="3120"/>
            <w:vAlign w:val="center"/>
          </w:tcPr>
          <w:p>
            <w:pPr>
              <w:spacing w:before="0" w:after="0" w:line="276" w:lineRule="auto"/>
              <w:jc w:val="left"/>
            </w:pPr>
            <w:r/>
            <w:r>
              <w:rPr>
                <w:rFonts w:ascii="Calibri" w:hAnsi="Calibri"/>
                <w:b/>
                <w:i w:val="0"/>
                <w:color w:val="000000"/>
                <w:sz w:val="20"/>
              </w:rPr>
              <w:t>Academics</w:t>
            </w:r>
          </w:p>
        </w:tc>
        <w:tc>
          <w:tcPr>
            <w:tcW w:type="dxa" w:w="3120"/>
            <w:vAlign w:val="center"/>
          </w:tcPr>
          <w:p>
            <w:pPr>
              <w:spacing w:before="0" w:after="0" w:line="276" w:lineRule="auto"/>
              <w:jc w:val="left"/>
            </w:pPr>
            <w:r/>
            <w:r>
              <w:rPr>
                <w:rFonts w:ascii="Calibri" w:hAnsi="Calibri"/>
                <w:b w:val="0"/>
                <w:i w:val="0"/>
                <w:color w:val="000000"/>
                <w:sz w:val="20"/>
              </w:rPr>
              <w:t>/app/academics</w:t>
            </w:r>
          </w:p>
        </w:tc>
        <w:tc>
          <w:tcPr>
            <w:tcW w:type="dxa" w:w="3120"/>
            <w:vAlign w:val="center"/>
          </w:tcPr>
          <w:p>
            <w:pPr>
              <w:spacing w:before="0" w:after="0" w:line="276" w:lineRule="auto"/>
              <w:jc w:val="left"/>
            </w:pPr>
            <w:r/>
            <w:r>
              <w:rPr>
                <w:rFonts w:ascii="Calibri" w:hAnsi="Calibri"/>
                <w:b w:val="0"/>
                <w:i w:val="0"/>
                <w:color w:val="000000"/>
                <w:sz w:val="20"/>
              </w:rPr>
              <w:t>Academic planning area for subject offerings, syllabus, teaching plans, timetable, and academic calendar dependencies.</w:t>
            </w:r>
          </w:p>
        </w:tc>
      </w:tr>
      <w:tr>
        <w:tc>
          <w:tcPr>
            <w:tcW w:type="dxa" w:w="3120"/>
            <w:vAlign w:val="center"/>
          </w:tcPr>
          <w:p>
            <w:pPr>
              <w:spacing w:before="0" w:after="0" w:line="276" w:lineRule="auto"/>
              <w:jc w:val="left"/>
            </w:pPr>
            <w:r/>
            <w:r>
              <w:rPr>
                <w:rFonts w:ascii="Calibri" w:hAnsi="Calibri"/>
                <w:b/>
                <w:i w:val="0"/>
                <w:color w:val="000000"/>
                <w:sz w:val="20"/>
              </w:rPr>
              <w:t>Attendance</w:t>
            </w:r>
          </w:p>
        </w:tc>
        <w:tc>
          <w:tcPr>
            <w:tcW w:type="dxa" w:w="3120"/>
            <w:vAlign w:val="center"/>
          </w:tcPr>
          <w:p>
            <w:pPr>
              <w:spacing w:before="0" w:after="0" w:line="276" w:lineRule="auto"/>
              <w:jc w:val="left"/>
            </w:pPr>
            <w:r/>
            <w:r>
              <w:rPr>
                <w:rFonts w:ascii="Calibri" w:hAnsi="Calibri"/>
                <w:b w:val="0"/>
                <w:i w:val="0"/>
                <w:color w:val="000000"/>
                <w:sz w:val="20"/>
              </w:rPr>
              <w:t>/app/attendance</w:t>
            </w:r>
          </w:p>
        </w:tc>
        <w:tc>
          <w:tcPr>
            <w:tcW w:type="dxa" w:w="3120"/>
            <w:vAlign w:val="center"/>
          </w:tcPr>
          <w:p>
            <w:pPr>
              <w:spacing w:before="0" w:after="0" w:line="276" w:lineRule="auto"/>
              <w:jc w:val="left"/>
            </w:pPr>
            <w:r/>
            <w:r>
              <w:rPr>
                <w:rFonts w:ascii="Calibri" w:hAnsi="Calibri"/>
                <w:b w:val="0"/>
                <w:i w:val="0"/>
                <w:color w:val="000000"/>
                <w:sz w:val="20"/>
              </w:rPr>
              <w:t>Attendance desk for daily status, reports, pending registers, and low-attendance review.</w:t>
            </w:r>
          </w:p>
        </w:tc>
      </w:tr>
      <w:tr>
        <w:tc>
          <w:tcPr>
            <w:tcW w:type="dxa" w:w="3120"/>
            <w:vAlign w:val="center"/>
          </w:tcPr>
          <w:p>
            <w:pPr>
              <w:spacing w:before="0" w:after="0" w:line="276" w:lineRule="auto"/>
              <w:jc w:val="left"/>
            </w:pPr>
            <w:r/>
            <w:r>
              <w:rPr>
                <w:rFonts w:ascii="Calibri" w:hAnsi="Calibri"/>
                <w:b/>
                <w:i w:val="0"/>
                <w:color w:val="000000"/>
                <w:sz w:val="20"/>
              </w:rPr>
              <w:t>Timetable</w:t>
            </w:r>
          </w:p>
        </w:tc>
        <w:tc>
          <w:tcPr>
            <w:tcW w:type="dxa" w:w="3120"/>
            <w:vAlign w:val="center"/>
          </w:tcPr>
          <w:p>
            <w:pPr>
              <w:spacing w:before="0" w:after="0" w:line="276" w:lineRule="auto"/>
              <w:jc w:val="left"/>
            </w:pPr>
            <w:r/>
            <w:r>
              <w:rPr>
                <w:rFonts w:ascii="Calibri" w:hAnsi="Calibri"/>
                <w:b w:val="0"/>
                <w:i w:val="0"/>
                <w:color w:val="000000"/>
                <w:sz w:val="20"/>
              </w:rPr>
              <w:t>/app/timetable</w:t>
            </w:r>
          </w:p>
        </w:tc>
        <w:tc>
          <w:tcPr>
            <w:tcW w:type="dxa" w:w="3120"/>
            <w:vAlign w:val="center"/>
          </w:tcPr>
          <w:p>
            <w:pPr>
              <w:spacing w:before="0" w:after="0" w:line="276" w:lineRule="auto"/>
              <w:jc w:val="left"/>
            </w:pPr>
            <w:r/>
            <w:r>
              <w:rPr>
                <w:rFonts w:ascii="Calibri" w:hAnsi="Calibri"/>
                <w:b w:val="0"/>
                <w:i w:val="0"/>
                <w:color w:val="000000"/>
                <w:sz w:val="20"/>
              </w:rPr>
              <w:t>Scheduling workspace with week view and slot management.</w:t>
            </w:r>
          </w:p>
        </w:tc>
      </w:tr>
      <w:tr>
        <w:tc>
          <w:tcPr>
            <w:tcW w:type="dxa" w:w="3120"/>
            <w:vAlign w:val="center"/>
          </w:tcPr>
          <w:p>
            <w:pPr>
              <w:spacing w:before="0" w:after="0" w:line="276" w:lineRule="auto"/>
              <w:jc w:val="left"/>
            </w:pPr>
            <w:r/>
            <w:r>
              <w:rPr>
                <w:rFonts w:ascii="Calibri" w:hAnsi="Calibri"/>
                <w:b/>
                <w:i w:val="0"/>
                <w:color w:val="000000"/>
                <w:sz w:val="20"/>
              </w:rPr>
              <w:t>Transport</w:t>
            </w:r>
          </w:p>
        </w:tc>
        <w:tc>
          <w:tcPr>
            <w:tcW w:type="dxa" w:w="3120"/>
            <w:vAlign w:val="center"/>
          </w:tcPr>
          <w:p>
            <w:pPr>
              <w:spacing w:before="0" w:after="0" w:line="276" w:lineRule="auto"/>
              <w:jc w:val="left"/>
            </w:pPr>
            <w:r/>
            <w:r>
              <w:rPr>
                <w:rFonts w:ascii="Calibri" w:hAnsi="Calibri"/>
                <w:b w:val="0"/>
                <w:i w:val="0"/>
                <w:color w:val="000000"/>
                <w:sz w:val="20"/>
              </w:rPr>
              <w:t>/app/transport</w:t>
            </w:r>
          </w:p>
        </w:tc>
        <w:tc>
          <w:tcPr>
            <w:tcW w:type="dxa" w:w="3120"/>
            <w:vAlign w:val="center"/>
          </w:tcPr>
          <w:p>
            <w:pPr>
              <w:spacing w:before="0" w:after="0" w:line="276" w:lineRule="auto"/>
              <w:jc w:val="left"/>
            </w:pPr>
            <w:r/>
            <w:r>
              <w:rPr>
                <w:rFonts w:ascii="Calibri" w:hAnsi="Calibri"/>
                <w:b w:val="0"/>
                <w:i w:val="0"/>
                <w:color w:val="000000"/>
                <w:sz w:val="20"/>
              </w:rPr>
              <w:t>Fleet and route operations area for vehicles, readiness, capacity, and route administration.</w:t>
            </w:r>
          </w:p>
        </w:tc>
      </w:tr>
      <w:tr>
        <w:tc>
          <w:tcPr>
            <w:tcW w:type="dxa" w:w="3120"/>
            <w:vAlign w:val="center"/>
          </w:tcPr>
          <w:p>
            <w:pPr>
              <w:spacing w:before="0" w:after="0" w:line="276" w:lineRule="auto"/>
              <w:jc w:val="left"/>
            </w:pPr>
            <w:r/>
            <w:r>
              <w:rPr>
                <w:rFonts w:ascii="Calibri" w:hAnsi="Calibri"/>
                <w:b/>
                <w:i w:val="0"/>
                <w:color w:val="000000"/>
                <w:sz w:val="20"/>
              </w:rPr>
              <w:t>Calendar</w:t>
            </w:r>
          </w:p>
        </w:tc>
        <w:tc>
          <w:tcPr>
            <w:tcW w:type="dxa" w:w="3120"/>
            <w:vAlign w:val="center"/>
          </w:tcPr>
          <w:p>
            <w:pPr>
              <w:spacing w:before="0" w:after="0" w:line="276" w:lineRule="auto"/>
              <w:jc w:val="left"/>
            </w:pPr>
            <w:r/>
            <w:r>
              <w:rPr>
                <w:rFonts w:ascii="Calibri" w:hAnsi="Calibri"/>
                <w:b w:val="0"/>
                <w:i w:val="0"/>
                <w:color w:val="000000"/>
                <w:sz w:val="20"/>
              </w:rPr>
              <w:t>/app/calendar</w:t>
            </w:r>
          </w:p>
        </w:tc>
        <w:tc>
          <w:tcPr>
            <w:tcW w:type="dxa" w:w="3120"/>
            <w:vAlign w:val="center"/>
          </w:tcPr>
          <w:p>
            <w:pPr>
              <w:spacing w:before="0" w:after="0" w:line="276" w:lineRule="auto"/>
              <w:jc w:val="left"/>
            </w:pPr>
            <w:r/>
            <w:r>
              <w:rPr>
                <w:rFonts w:ascii="Calibri" w:hAnsi="Calibri"/>
                <w:b w:val="0"/>
                <w:i w:val="0"/>
                <w:color w:val="000000"/>
                <w:sz w:val="20"/>
              </w:rPr>
              <w:t>Shared academic calendar for events, holidays, exams, and reminders.</w:t>
            </w:r>
          </w:p>
        </w:tc>
      </w:tr>
      <w:tr>
        <w:tc>
          <w:tcPr>
            <w:tcW w:type="dxa" w:w="3120"/>
            <w:vAlign w:val="center"/>
          </w:tcPr>
          <w:p>
            <w:pPr>
              <w:spacing w:before="0" w:after="0" w:line="276" w:lineRule="auto"/>
              <w:jc w:val="left"/>
            </w:pPr>
            <w:r/>
            <w:r>
              <w:rPr>
                <w:rFonts w:ascii="Calibri" w:hAnsi="Calibri"/>
                <w:b/>
                <w:i w:val="0"/>
                <w:color w:val="000000"/>
                <w:sz w:val="20"/>
              </w:rPr>
              <w:t>Leave Management</w:t>
            </w:r>
          </w:p>
        </w:tc>
        <w:tc>
          <w:tcPr>
            <w:tcW w:type="dxa" w:w="3120"/>
            <w:vAlign w:val="center"/>
          </w:tcPr>
          <w:p>
            <w:pPr>
              <w:spacing w:before="0" w:after="0" w:line="276" w:lineRule="auto"/>
              <w:jc w:val="left"/>
            </w:pPr>
            <w:r/>
            <w:r>
              <w:rPr>
                <w:rFonts w:ascii="Calibri" w:hAnsi="Calibri"/>
                <w:b w:val="0"/>
                <w:i w:val="0"/>
                <w:color w:val="000000"/>
                <w:sz w:val="20"/>
              </w:rPr>
              <w:t>/app/leaves</w:t>
            </w:r>
          </w:p>
        </w:tc>
        <w:tc>
          <w:tcPr>
            <w:tcW w:type="dxa" w:w="3120"/>
            <w:vAlign w:val="center"/>
          </w:tcPr>
          <w:p>
            <w:pPr>
              <w:spacing w:before="0" w:after="0" w:line="276" w:lineRule="auto"/>
              <w:jc w:val="left"/>
            </w:pPr>
            <w:r/>
            <w:r>
              <w:rPr>
                <w:rFonts w:ascii="Calibri" w:hAnsi="Calibri"/>
                <w:b w:val="0"/>
                <w:i w:val="0"/>
                <w:color w:val="000000"/>
                <w:sz w:val="20"/>
              </w:rPr>
              <w:t>Leave operations for approval queue, leave register, leave calendar, and leave policy.</w:t>
            </w:r>
          </w:p>
        </w:tc>
      </w:tr>
      <w:tr>
        <w:tc>
          <w:tcPr>
            <w:tcW w:type="dxa" w:w="3120"/>
            <w:vAlign w:val="center"/>
          </w:tcPr>
          <w:p>
            <w:pPr>
              <w:spacing w:before="0" w:after="0" w:line="276" w:lineRule="auto"/>
              <w:jc w:val="left"/>
            </w:pPr>
            <w:r/>
            <w:r>
              <w:rPr>
                <w:rFonts w:ascii="Calibri" w:hAnsi="Calibri"/>
                <w:b/>
                <w:i w:val="0"/>
                <w:color w:val="000000"/>
                <w:sz w:val="20"/>
              </w:rPr>
              <w:t>Fees</w:t>
            </w:r>
          </w:p>
        </w:tc>
        <w:tc>
          <w:tcPr>
            <w:tcW w:type="dxa" w:w="3120"/>
            <w:vAlign w:val="center"/>
          </w:tcPr>
          <w:p>
            <w:pPr>
              <w:spacing w:before="0" w:after="0" w:line="276" w:lineRule="auto"/>
              <w:jc w:val="left"/>
            </w:pPr>
            <w:r/>
            <w:r>
              <w:rPr>
                <w:rFonts w:ascii="Calibri" w:hAnsi="Calibri"/>
                <w:b w:val="0"/>
                <w:i w:val="0"/>
                <w:color w:val="000000"/>
                <w:sz w:val="20"/>
              </w:rPr>
              <w:t>/app/fees</w:t>
            </w:r>
          </w:p>
        </w:tc>
        <w:tc>
          <w:tcPr>
            <w:tcW w:type="dxa" w:w="3120"/>
            <w:vAlign w:val="center"/>
          </w:tcPr>
          <w:p>
            <w:pPr>
              <w:spacing w:before="0" w:after="0" w:line="276" w:lineRule="auto"/>
              <w:jc w:val="left"/>
            </w:pPr>
            <w:r/>
            <w:r>
              <w:rPr>
                <w:rFonts w:ascii="Calibri" w:hAnsi="Calibri"/>
                <w:b w:val="0"/>
                <w:i w:val="0"/>
                <w:color w:val="000000"/>
                <w:sz w:val="20"/>
              </w:rPr>
              <w:t>Fee collections workspace for invoices, payments, overdue tracking, and collection follow-up.</w:t>
            </w:r>
          </w:p>
        </w:tc>
      </w:tr>
      <w:tr>
        <w:tc>
          <w:tcPr>
            <w:tcW w:type="dxa" w:w="3120"/>
            <w:vAlign w:val="center"/>
          </w:tcPr>
          <w:p>
            <w:pPr>
              <w:spacing w:before="0" w:after="0" w:line="276" w:lineRule="auto"/>
              <w:jc w:val="left"/>
            </w:pPr>
            <w:r/>
            <w:r>
              <w:rPr>
                <w:rFonts w:ascii="Calibri" w:hAnsi="Calibri"/>
                <w:b/>
                <w:i w:val="0"/>
                <w:color w:val="000000"/>
                <w:sz w:val="20"/>
              </w:rPr>
              <w:t>Expenses</w:t>
            </w:r>
          </w:p>
        </w:tc>
        <w:tc>
          <w:tcPr>
            <w:tcW w:type="dxa" w:w="3120"/>
            <w:vAlign w:val="center"/>
          </w:tcPr>
          <w:p>
            <w:pPr>
              <w:spacing w:before="0" w:after="0" w:line="276" w:lineRule="auto"/>
              <w:jc w:val="left"/>
            </w:pPr>
            <w:r/>
            <w:r>
              <w:rPr>
                <w:rFonts w:ascii="Calibri" w:hAnsi="Calibri"/>
                <w:b w:val="0"/>
                <w:i w:val="0"/>
                <w:color w:val="000000"/>
                <w:sz w:val="20"/>
              </w:rPr>
              <w:t>/app/revenue/expenses</w:t>
            </w:r>
          </w:p>
        </w:tc>
        <w:tc>
          <w:tcPr>
            <w:tcW w:type="dxa" w:w="3120"/>
            <w:vAlign w:val="center"/>
          </w:tcPr>
          <w:p>
            <w:pPr>
              <w:spacing w:before="0" w:after="0" w:line="276" w:lineRule="auto"/>
              <w:jc w:val="left"/>
            </w:pPr>
            <w:r/>
            <w:r>
              <w:rPr>
                <w:rFonts w:ascii="Calibri" w:hAnsi="Calibri"/>
                <w:b w:val="0"/>
                <w:i w:val="0"/>
                <w:color w:val="000000"/>
                <w:sz w:val="20"/>
              </w:rPr>
              <w:t>Expense approval and reimbursement workspace for receipts, approvals, returns, and payment follow-up.</w:t>
            </w:r>
          </w:p>
        </w:tc>
      </w:tr>
      <w:tr>
        <w:tc>
          <w:tcPr>
            <w:tcW w:type="dxa" w:w="3120"/>
            <w:vAlign w:val="center"/>
          </w:tcPr>
          <w:p>
            <w:pPr>
              <w:spacing w:before="0" w:after="0" w:line="276" w:lineRule="auto"/>
              <w:jc w:val="left"/>
            </w:pPr>
            <w:r/>
            <w:r>
              <w:rPr>
                <w:rFonts w:ascii="Calibri" w:hAnsi="Calibri"/>
                <w:b/>
                <w:i w:val="0"/>
                <w:color w:val="000000"/>
                <w:sz w:val="20"/>
              </w:rPr>
              <w:t>Payroll</w:t>
            </w:r>
          </w:p>
        </w:tc>
        <w:tc>
          <w:tcPr>
            <w:tcW w:type="dxa" w:w="3120"/>
            <w:vAlign w:val="center"/>
          </w:tcPr>
          <w:p>
            <w:pPr>
              <w:spacing w:before="0" w:after="0" w:line="276" w:lineRule="auto"/>
              <w:jc w:val="left"/>
            </w:pPr>
            <w:r/>
            <w:r>
              <w:rPr>
                <w:rFonts w:ascii="Calibri" w:hAnsi="Calibri"/>
                <w:b w:val="0"/>
                <w:i w:val="0"/>
                <w:color w:val="000000"/>
                <w:sz w:val="20"/>
              </w:rPr>
              <w:t>/app/revenue/payroll</w:t>
            </w:r>
          </w:p>
        </w:tc>
        <w:tc>
          <w:tcPr>
            <w:tcW w:type="dxa" w:w="3120"/>
            <w:vAlign w:val="center"/>
          </w:tcPr>
          <w:p>
            <w:pPr>
              <w:spacing w:before="0" w:after="0" w:line="276" w:lineRule="auto"/>
              <w:jc w:val="left"/>
            </w:pPr>
            <w:r/>
            <w:r>
              <w:rPr>
                <w:rFonts w:ascii="Calibri" w:hAnsi="Calibri"/>
                <w:b w:val="0"/>
                <w:i w:val="0"/>
                <w:color w:val="000000"/>
                <w:sz w:val="20"/>
              </w:rPr>
              <w:t>Salary operations workspace for payroll runs, salary profiles, policy, and advances.</w:t>
            </w:r>
          </w:p>
        </w:tc>
      </w:tr>
      <w:tr>
        <w:tc>
          <w:tcPr>
            <w:tcW w:type="dxa" w:w="3120"/>
            <w:vAlign w:val="center"/>
          </w:tcPr>
          <w:p>
            <w:pPr>
              <w:spacing w:before="0" w:after="0" w:line="276" w:lineRule="auto"/>
              <w:jc w:val="left"/>
            </w:pPr>
            <w:r/>
            <w:r>
              <w:rPr>
                <w:rFonts w:ascii="Calibri" w:hAnsi="Calibri"/>
                <w:b/>
                <w:i w:val="0"/>
                <w:color w:val="000000"/>
                <w:sz w:val="20"/>
              </w:rPr>
              <w:t>Balance Sheet</w:t>
            </w:r>
          </w:p>
        </w:tc>
        <w:tc>
          <w:tcPr>
            <w:tcW w:type="dxa" w:w="3120"/>
            <w:vAlign w:val="center"/>
          </w:tcPr>
          <w:p>
            <w:pPr>
              <w:spacing w:before="0" w:after="0" w:line="276" w:lineRule="auto"/>
              <w:jc w:val="left"/>
            </w:pPr>
            <w:r/>
            <w:r>
              <w:rPr>
                <w:rFonts w:ascii="Calibri" w:hAnsi="Calibri"/>
                <w:b w:val="0"/>
                <w:i w:val="0"/>
                <w:color w:val="000000"/>
                <w:sz w:val="20"/>
              </w:rPr>
              <w:t>/app/revenue/balance-sheet</w:t>
            </w:r>
          </w:p>
        </w:tc>
        <w:tc>
          <w:tcPr>
            <w:tcW w:type="dxa" w:w="3120"/>
            <w:vAlign w:val="center"/>
          </w:tcPr>
          <w:p>
            <w:pPr>
              <w:spacing w:before="0" w:after="0" w:line="276" w:lineRule="auto"/>
              <w:jc w:val="left"/>
            </w:pPr>
            <w:r/>
            <w:r>
              <w:rPr>
                <w:rFonts w:ascii="Calibri" w:hAnsi="Calibri"/>
                <w:b w:val="0"/>
                <w:i w:val="0"/>
                <w:color w:val="000000"/>
                <w:sz w:val="20"/>
              </w:rPr>
              <w:t>Financial summary area with opening balance, filter periods, and overall financial totals.</w:t>
            </w:r>
          </w:p>
        </w:tc>
      </w:tr>
      <w:tr>
        <w:tc>
          <w:tcPr>
            <w:tcW w:type="dxa" w:w="3120"/>
            <w:vAlign w:val="center"/>
          </w:tcPr>
          <w:p>
            <w:pPr>
              <w:spacing w:before="0" w:after="0" w:line="276" w:lineRule="auto"/>
              <w:jc w:val="left"/>
            </w:pPr>
            <w:r/>
            <w:r>
              <w:rPr>
                <w:rFonts w:ascii="Calibri" w:hAnsi="Calibri"/>
                <w:b/>
                <w:i w:val="0"/>
                <w:color w:val="000000"/>
                <w:sz w:val="20"/>
              </w:rPr>
              <w:t>Announcements</w:t>
            </w:r>
          </w:p>
        </w:tc>
        <w:tc>
          <w:tcPr>
            <w:tcW w:type="dxa" w:w="3120"/>
            <w:vAlign w:val="center"/>
          </w:tcPr>
          <w:p>
            <w:pPr>
              <w:spacing w:before="0" w:after="0" w:line="276" w:lineRule="auto"/>
              <w:jc w:val="left"/>
            </w:pPr>
            <w:r/>
            <w:r>
              <w:rPr>
                <w:rFonts w:ascii="Calibri" w:hAnsi="Calibri"/>
                <w:b w:val="0"/>
                <w:i w:val="0"/>
                <w:color w:val="000000"/>
                <w:sz w:val="20"/>
              </w:rPr>
              <w:t>/app/announcements</w:t>
            </w:r>
          </w:p>
        </w:tc>
        <w:tc>
          <w:tcPr>
            <w:tcW w:type="dxa" w:w="3120"/>
            <w:vAlign w:val="center"/>
          </w:tcPr>
          <w:p>
            <w:pPr>
              <w:spacing w:before="0" w:after="0" w:line="276" w:lineRule="auto"/>
              <w:jc w:val="left"/>
            </w:pPr>
            <w:r/>
            <w:r>
              <w:rPr>
                <w:rFonts w:ascii="Calibri" w:hAnsi="Calibri"/>
                <w:b w:val="0"/>
                <w:i w:val="0"/>
                <w:color w:val="000000"/>
                <w:sz w:val="20"/>
              </w:rPr>
              <w:t>School communication module for notices, active announcements, and archived circulars.</w:t>
            </w:r>
          </w:p>
        </w:tc>
      </w:tr>
      <w:tr>
        <w:tc>
          <w:tcPr>
            <w:tcW w:type="dxa" w:w="3120"/>
            <w:vAlign w:val="center"/>
          </w:tcPr>
          <w:p>
            <w:pPr>
              <w:spacing w:before="0" w:after="0" w:line="276" w:lineRule="auto"/>
              <w:jc w:val="left"/>
            </w:pPr>
            <w:r/>
            <w:r>
              <w:rPr>
                <w:rFonts w:ascii="Calibri" w:hAnsi="Calibri"/>
                <w:b/>
                <w:i w:val="0"/>
                <w:color w:val="000000"/>
                <w:sz w:val="20"/>
              </w:rPr>
              <w:t>Setup</w:t>
            </w:r>
          </w:p>
        </w:tc>
        <w:tc>
          <w:tcPr>
            <w:tcW w:type="dxa" w:w="3120"/>
            <w:vAlign w:val="center"/>
          </w:tcPr>
          <w:p>
            <w:pPr>
              <w:spacing w:before="0" w:after="0" w:line="276" w:lineRule="auto"/>
              <w:jc w:val="left"/>
            </w:pPr>
            <w:r/>
            <w:r>
              <w:rPr>
                <w:rFonts w:ascii="Calibri" w:hAnsi="Calibri"/>
                <w:b w:val="0"/>
                <w:i w:val="0"/>
                <w:color w:val="000000"/>
                <w:sz w:val="20"/>
              </w:rPr>
              <w:t>/app/admin/academic</w:t>
            </w:r>
          </w:p>
        </w:tc>
        <w:tc>
          <w:tcPr>
            <w:tcW w:type="dxa" w:w="3120"/>
            <w:vAlign w:val="center"/>
          </w:tcPr>
          <w:p>
            <w:pPr>
              <w:spacing w:before="0" w:after="0" w:line="276" w:lineRule="auto"/>
              <w:jc w:val="left"/>
            </w:pPr>
            <w:r/>
            <w:r>
              <w:rPr>
                <w:rFonts w:ascii="Calibri" w:hAnsi="Calibri"/>
                <w:b w:val="0"/>
                <w:i w:val="0"/>
                <w:color w:val="000000"/>
                <w:sz w:val="20"/>
              </w:rPr>
              <w:t>Academic administration workspace for years, grades, classes, subjects, and readiness setup.</w:t>
            </w:r>
          </w:p>
        </w:tc>
      </w:tr>
      <w:tr>
        <w:tc>
          <w:tcPr>
            <w:tcW w:type="dxa" w:w="3120"/>
            <w:vAlign w:val="center"/>
          </w:tcPr>
          <w:p>
            <w:pPr>
              <w:spacing w:before="0" w:after="0" w:line="276" w:lineRule="auto"/>
              <w:jc w:val="left"/>
            </w:pPr>
            <w:r/>
            <w:r>
              <w:rPr>
                <w:rFonts w:ascii="Calibri" w:hAnsi="Calibri"/>
                <w:b/>
                <w:i w:val="0"/>
                <w:color w:val="000000"/>
                <w:sz w:val="20"/>
              </w:rPr>
              <w:t>Users</w:t>
            </w:r>
          </w:p>
        </w:tc>
        <w:tc>
          <w:tcPr>
            <w:tcW w:type="dxa" w:w="3120"/>
            <w:vAlign w:val="center"/>
          </w:tcPr>
          <w:p>
            <w:pPr>
              <w:spacing w:before="0" w:after="0" w:line="276" w:lineRule="auto"/>
              <w:jc w:val="left"/>
            </w:pPr>
            <w:r/>
            <w:r>
              <w:rPr>
                <w:rFonts w:ascii="Calibri" w:hAnsi="Calibri"/>
                <w:b w:val="0"/>
                <w:i w:val="0"/>
                <w:color w:val="000000"/>
                <w:sz w:val="20"/>
              </w:rPr>
              <w:t>/app/admin</w:t>
            </w:r>
          </w:p>
        </w:tc>
        <w:tc>
          <w:tcPr>
            <w:tcW w:type="dxa" w:w="3120"/>
            <w:vAlign w:val="center"/>
          </w:tcPr>
          <w:p>
            <w:pPr>
              <w:spacing w:before="0" w:after="0" w:line="276" w:lineRule="auto"/>
              <w:jc w:val="left"/>
            </w:pPr>
            <w:r/>
            <w:r>
              <w:rPr>
                <w:rFonts w:ascii="Calibri" w:hAnsi="Calibri"/>
                <w:b w:val="0"/>
                <w:i w:val="0"/>
                <w:color w:val="000000"/>
                <w:sz w:val="20"/>
              </w:rPr>
              <w:t>Access-control module for users, invitations, lock state, and account management.</w:t>
            </w:r>
          </w:p>
        </w:tc>
      </w:tr>
      <w:tr>
        <w:tc>
          <w:tcPr>
            <w:tcW w:type="dxa" w:w="3120"/>
            <w:vAlign w:val="center"/>
          </w:tcPr>
          <w:p>
            <w:pPr>
              <w:spacing w:before="0" w:after="0" w:line="276" w:lineRule="auto"/>
              <w:jc w:val="left"/>
            </w:pPr>
            <w:r/>
            <w:r>
              <w:rPr>
                <w:rFonts w:ascii="Calibri" w:hAnsi="Calibri"/>
                <w:b/>
                <w:i w:val="0"/>
                <w:color w:val="000000"/>
                <w:sz w:val="20"/>
              </w:rPr>
              <w:t>Settings</w:t>
            </w:r>
          </w:p>
        </w:tc>
        <w:tc>
          <w:tcPr>
            <w:tcW w:type="dxa" w:w="3120"/>
            <w:vAlign w:val="center"/>
          </w:tcPr>
          <w:p>
            <w:pPr>
              <w:spacing w:before="0" w:after="0" w:line="276" w:lineRule="auto"/>
              <w:jc w:val="left"/>
            </w:pPr>
            <w:r/>
            <w:r>
              <w:rPr>
                <w:rFonts w:ascii="Calibri" w:hAnsi="Calibri"/>
                <w:b w:val="0"/>
                <w:i w:val="0"/>
                <w:color w:val="000000"/>
                <w:sz w:val="20"/>
              </w:rPr>
              <w:t>/app/settings</w:t>
            </w:r>
          </w:p>
        </w:tc>
        <w:tc>
          <w:tcPr>
            <w:tcW w:type="dxa" w:w="3120"/>
            <w:vAlign w:val="center"/>
          </w:tcPr>
          <w:p>
            <w:pPr>
              <w:spacing w:before="0" w:after="0" w:line="276" w:lineRule="auto"/>
              <w:jc w:val="left"/>
            </w:pPr>
            <w:r/>
            <w:r>
              <w:rPr>
                <w:rFonts w:ascii="Calibri" w:hAnsi="Calibri"/>
                <w:b w:val="0"/>
                <w:i w:val="0"/>
                <w:color w:val="000000"/>
                <w:sz w:val="20"/>
              </w:rPr>
              <w:t>Administrative settings route exposed in the authenticated navigation.</w:t>
            </w:r>
          </w:p>
        </w:tc>
      </w:tr>
    </w:tbl>
    <w:p>
      <w:pPr>
        <w:spacing w:before="360" w:after="200" w:line="276" w:lineRule="auto"/>
        <w:jc w:val="left"/>
      </w:pPr>
      <w:r>
        <w:rPr>
          <w:rFonts w:ascii="Calibri" w:hAnsi="Calibri"/>
          <w:b/>
          <w:i w:val="0"/>
          <w:color w:val="2E74B5"/>
          <w:sz w:val="32"/>
        </w:rPr>
        <w:t>Key Functional Areas</w:t>
      </w:r>
    </w:p>
    <w:p>
      <w:pPr>
        <w:spacing w:before="0" w:after="120" w:line="300" w:lineRule="auto"/>
        <w:jc w:val="left"/>
      </w:pPr>
      <w:r>
        <w:rPr>
          <w:rFonts w:ascii="Calibri" w:hAnsi="Calibri"/>
          <w:b/>
          <w:i w:val="0"/>
          <w:color w:val="000000"/>
          <w:sz w:val="22"/>
        </w:rPr>
        <w:t xml:space="preserve">1. Authentication and access control. </w:t>
      </w:r>
      <w:r>
        <w:rPr>
          <w:rFonts w:ascii="Calibri" w:hAnsi="Calibri"/>
          <w:b w:val="0"/>
          <w:i w:val="0"/>
          <w:color w:val="000000"/>
          <w:sz w:val="22"/>
        </w:rPr>
        <w:t>Login, invalid credential handling, forgot password, direct-route protection, and user/session access management are foundational entry points.</w:t>
      </w:r>
    </w:p>
    <w:p>
      <w:pPr>
        <w:spacing w:before="0" w:after="120" w:line="300" w:lineRule="auto"/>
        <w:jc w:val="left"/>
      </w:pPr>
      <w:r>
        <w:rPr>
          <w:rFonts w:ascii="Calibri" w:hAnsi="Calibri"/>
          <w:b/>
          <w:i w:val="0"/>
          <w:color w:val="000000"/>
          <w:sz w:val="22"/>
        </w:rPr>
        <w:t xml:space="preserve">2. School operations dashboard. </w:t>
      </w:r>
      <w:r>
        <w:rPr>
          <w:rFonts w:ascii="Calibri" w:hAnsi="Calibri"/>
          <w:b w:val="0"/>
          <w:i w:val="0"/>
          <w:color w:val="000000"/>
          <w:sz w:val="22"/>
        </w:rPr>
        <w:t>The dashboard acts as the application overview layer and surfaces live operational metrics rather than static summaries.</w:t>
      </w:r>
    </w:p>
    <w:p>
      <w:pPr>
        <w:spacing w:before="0" w:after="120" w:line="300" w:lineRule="auto"/>
        <w:jc w:val="left"/>
      </w:pPr>
      <w:r>
        <w:rPr>
          <w:rFonts w:ascii="Calibri" w:hAnsi="Calibri"/>
          <w:b/>
          <w:i w:val="0"/>
          <w:color w:val="000000"/>
          <w:sz w:val="22"/>
        </w:rPr>
        <w:t xml:space="preserve">3. Student and guardian lifecycle. </w:t>
      </w:r>
      <w:r>
        <w:rPr>
          <w:rFonts w:ascii="Calibri" w:hAnsi="Calibri"/>
          <w:b w:val="0"/>
          <w:i w:val="0"/>
          <w:color w:val="000000"/>
          <w:sz w:val="22"/>
        </w:rPr>
        <w:t>Student creation, directory search, class enrollment, guardian creation, guardian linking, and leadership tracking are grouped inside the Students area.</w:t>
      </w:r>
    </w:p>
    <w:p>
      <w:pPr>
        <w:spacing w:before="0" w:after="120" w:line="300" w:lineRule="auto"/>
        <w:jc w:val="left"/>
      </w:pPr>
      <w:r>
        <w:rPr>
          <w:rFonts w:ascii="Calibri" w:hAnsi="Calibri"/>
          <w:b/>
          <w:i w:val="0"/>
          <w:color w:val="000000"/>
          <w:sz w:val="22"/>
        </w:rPr>
        <w:t xml:space="preserve">4. Teacher and staff administration. </w:t>
      </w:r>
      <w:r>
        <w:rPr>
          <w:rFonts w:ascii="Calibri" w:hAnsi="Calibri"/>
          <w:b w:val="0"/>
          <w:i w:val="0"/>
          <w:color w:val="000000"/>
          <w:sz w:val="22"/>
        </w:rPr>
        <w:t>Teacher and Staff modules separate academic staff management from non-teaching operational staff while still exposing role and readiness dependencies.</w:t>
      </w:r>
    </w:p>
    <w:p>
      <w:pPr>
        <w:spacing w:before="0" w:after="120" w:line="300" w:lineRule="auto"/>
        <w:jc w:val="left"/>
      </w:pPr>
      <w:r>
        <w:rPr>
          <w:rFonts w:ascii="Calibri" w:hAnsi="Calibri"/>
          <w:b/>
          <w:i w:val="0"/>
          <w:color w:val="000000"/>
          <w:sz w:val="22"/>
        </w:rPr>
        <w:t xml:space="preserve">5. Academic execution and scheduling. </w:t>
      </w:r>
      <w:r>
        <w:rPr>
          <w:rFonts w:ascii="Calibri" w:hAnsi="Calibri"/>
          <w:b w:val="0"/>
          <w:i w:val="0"/>
          <w:color w:val="000000"/>
          <w:sz w:val="22"/>
        </w:rPr>
        <w:t>Academics, Attendance, Timetable, Calendar, and Leave Management collectively support curriculum delivery, presence tracking, planning, and operational continuity.</w:t>
      </w:r>
    </w:p>
    <w:p>
      <w:pPr>
        <w:spacing w:before="0" w:after="120" w:line="300" w:lineRule="auto"/>
        <w:jc w:val="left"/>
      </w:pPr>
      <w:r>
        <w:rPr>
          <w:rFonts w:ascii="Calibri" w:hAnsi="Calibri"/>
          <w:b/>
          <w:i w:val="0"/>
          <w:color w:val="000000"/>
          <w:sz w:val="22"/>
        </w:rPr>
        <w:t xml:space="preserve">6. Finance and compliance workflow. </w:t>
      </w:r>
      <w:r>
        <w:rPr>
          <w:rFonts w:ascii="Calibri" w:hAnsi="Calibri"/>
          <w:b w:val="0"/>
          <w:i w:val="0"/>
          <w:color w:val="000000"/>
          <w:sz w:val="22"/>
        </w:rPr>
        <w:t>Fees, Expenses, Payroll, and Balance Sheet work together as the school financial operations layer.</w:t>
      </w:r>
    </w:p>
    <w:p>
      <w:pPr>
        <w:spacing w:before="0" w:after="120" w:line="300" w:lineRule="auto"/>
        <w:jc w:val="left"/>
      </w:pPr>
      <w:r>
        <w:rPr>
          <w:rFonts w:ascii="Calibri" w:hAnsi="Calibri"/>
          <w:b/>
          <w:i w:val="0"/>
          <w:color w:val="000000"/>
          <w:sz w:val="22"/>
        </w:rPr>
        <w:t xml:space="preserve">7. Communication and administration. </w:t>
      </w:r>
      <w:r>
        <w:rPr>
          <w:rFonts w:ascii="Calibri" w:hAnsi="Calibri"/>
          <w:b w:val="0"/>
          <w:i w:val="0"/>
          <w:color w:val="000000"/>
          <w:sz w:val="22"/>
        </w:rPr>
        <w:t>Announcements, Setup, Users, and Settings provide system-level governance, communication, onboarding, and configuration control.</w:t>
      </w:r>
    </w:p>
    <w:p>
      <w:pPr>
        <w:spacing w:before="360" w:after="200" w:line="276" w:lineRule="auto"/>
        <w:jc w:val="left"/>
      </w:pPr>
      <w:r>
        <w:rPr>
          <w:rFonts w:ascii="Calibri" w:hAnsi="Calibri"/>
          <w:b/>
          <w:i w:val="0"/>
          <w:color w:val="2E74B5"/>
          <w:sz w:val="32"/>
        </w:rPr>
        <w:t>Observed End-to-End Workflow Pattern</w:t>
      </w:r>
    </w:p>
    <w:p>
      <w:pPr>
        <w:spacing w:before="0" w:after="120" w:line="300" w:lineRule="auto"/>
        <w:jc w:val="left"/>
      </w:pPr>
      <w:r>
        <w:rPr>
          <w:rFonts w:ascii="Calibri" w:hAnsi="Calibri"/>
          <w:b w:val="0"/>
          <w:i w:val="0"/>
          <w:color w:val="000000"/>
          <w:sz w:val="22"/>
        </w:rPr>
        <w:t>Most modules appear to follow a repeatable enterprise workflow pattern: a landing desk, metric cards, directory or register access, creation or action shortcuts, and policy or setup dependencies. This consistency is valuable for onboarding, test design, and future documentation because teams can learn one interaction model and then apply it across modules.</w:t>
      </w:r>
    </w:p>
    <w:p>
      <w:pPr>
        <w:spacing w:before="0" w:after="120" w:line="300" w:lineRule="auto"/>
        <w:jc w:val="left"/>
      </w:pPr>
      <w:r>
        <w:rPr>
          <w:rFonts w:ascii="Calibri" w:hAnsi="Calibri"/>
          <w:b w:val="0"/>
          <w:i w:val="0"/>
          <w:color w:val="000000"/>
          <w:sz w:val="22"/>
        </w:rPr>
        <w:t>For example, Students, Teachers, Staff, Attendance, Fees, Expenses, Payroll, and Announcements all expose a high-level desk first and then lead users into deeper operational views. This suggests the application design prioritizes dashboard-to-task transitions rather than forcing users to start directly in raw tables.</w:t>
      </w:r>
    </w:p>
    <w:p>
      <w:pPr>
        <w:spacing w:before="360" w:after="200" w:line="276" w:lineRule="auto"/>
        <w:jc w:val="left"/>
      </w:pPr>
      <w:r>
        <w:rPr>
          <w:rFonts w:ascii="Calibri" w:hAnsi="Calibri"/>
          <w:b/>
          <w:i w:val="0"/>
          <w:color w:val="2E74B5"/>
          <w:sz w:val="32"/>
        </w:rPr>
        <w:t>Current Automation Alignment</w:t>
      </w:r>
    </w:p>
    <w:p>
      <w:pPr>
        <w:spacing w:before="0" w:after="120" w:line="300" w:lineRule="auto"/>
        <w:jc w:val="left"/>
      </w:pPr>
      <w:r>
        <w:rPr>
          <w:rFonts w:ascii="Calibri" w:hAnsi="Calibri"/>
          <w:b w:val="0"/>
          <w:i w:val="0"/>
          <w:color w:val="000000"/>
          <w:sz w:val="22"/>
        </w:rPr>
        <w:t>The existing Playwright automation repository already aligns with the first stage of this product structure. The current suite covers authentication, dashboard, navigation, and selected Student, Teacher, and Staff entry points. That means the repo is already useful as a technical companion to this document, even though application documentation itself was missing.</w:t>
      </w:r>
    </w:p>
    <w:p>
      <w:pPr>
        <w:spacing w:before="0" w:after="120" w:line="300" w:lineRule="auto"/>
        <w:jc w:val="left"/>
      </w:pPr>
      <w:r>
        <w:rPr>
          <w:rFonts w:ascii="Calibri" w:hAnsi="Calibri"/>
          <w:b w:val="0"/>
          <w:i w:val="0"/>
          <w:color w:val="000000"/>
          <w:sz w:val="22"/>
        </w:rPr>
        <w:t>This document can act as the business-facing or QA-facing overview, while the automation repository can continue growing as the executable proof of those workflows.</w:t>
      </w:r>
    </w:p>
    <w:p>
      <w:pPr>
        <w:spacing w:before="360" w:after="200" w:line="276" w:lineRule="auto"/>
        <w:jc w:val="left"/>
      </w:pPr>
      <w:r>
        <w:rPr>
          <w:rFonts w:ascii="Calibri" w:hAnsi="Calibri"/>
          <w:b/>
          <w:i w:val="0"/>
          <w:color w:val="2E74B5"/>
          <w:sz w:val="32"/>
        </w:rPr>
        <w:t>Recommended Documentation Structure for the Product Team</w:t>
      </w:r>
    </w:p>
    <w:p>
      <w:pPr>
        <w:spacing w:before="0" w:after="120" w:line="300" w:lineRule="auto"/>
        <w:jc w:val="left"/>
      </w:pPr>
      <w:r>
        <w:rPr>
          <w:rFonts w:ascii="Calibri" w:hAnsi="Calibri"/>
          <w:b w:val="0"/>
          <w:i w:val="0"/>
          <w:color w:val="000000"/>
          <w:sz w:val="22"/>
        </w:rPr>
        <w:t>Because the application did not yet have a formal document, the most practical next step is to treat this file as the first version of a living application overview. Future versions can extend it without changing its structure.</w:t>
      </w:r>
    </w:p>
    <w:p>
      <w:pPr>
        <w:spacing w:before="0" w:after="120" w:line="300" w:lineRule="auto"/>
        <w:jc w:val="left"/>
      </w:pPr>
      <w:r>
        <w:rPr>
          <w:rFonts w:ascii="Calibri" w:hAnsi="Calibri"/>
          <w:b/>
          <w:i w:val="0"/>
          <w:color w:val="000000"/>
          <w:sz w:val="22"/>
        </w:rPr>
        <w:t xml:space="preserve">Overview section. </w:t>
      </w:r>
      <w:r>
        <w:rPr>
          <w:rFonts w:ascii="Calibri" w:hAnsi="Calibri"/>
          <w:b w:val="0"/>
          <w:i w:val="0"/>
          <w:color w:val="000000"/>
          <w:sz w:val="22"/>
        </w:rPr>
        <w:t>Keep a short product summary, user context, environment details, and the module map.</w:t>
      </w:r>
    </w:p>
    <w:p>
      <w:pPr>
        <w:spacing w:before="0" w:after="120" w:line="300" w:lineRule="auto"/>
        <w:jc w:val="left"/>
      </w:pPr>
      <w:r>
        <w:rPr>
          <w:rFonts w:ascii="Calibri" w:hAnsi="Calibri"/>
          <w:b/>
          <w:i w:val="0"/>
          <w:color w:val="000000"/>
          <w:sz w:val="22"/>
        </w:rPr>
        <w:t xml:space="preserve">Module guide section. </w:t>
      </w:r>
      <w:r>
        <w:rPr>
          <w:rFonts w:ascii="Calibri" w:hAnsi="Calibri"/>
          <w:b w:val="0"/>
          <w:i w:val="0"/>
          <w:color w:val="000000"/>
          <w:sz w:val="22"/>
        </w:rPr>
        <w:t>Add one page or subsection per module with purpose, important screens, key actions, and common dependencies.</w:t>
      </w:r>
    </w:p>
    <w:p>
      <w:pPr>
        <w:spacing w:before="0" w:after="120" w:line="300" w:lineRule="auto"/>
        <w:jc w:val="left"/>
      </w:pPr>
      <w:r>
        <w:rPr>
          <w:rFonts w:ascii="Calibri" w:hAnsi="Calibri"/>
          <w:b/>
          <w:i w:val="0"/>
          <w:color w:val="000000"/>
          <w:sz w:val="22"/>
        </w:rPr>
        <w:t xml:space="preserve">Role and permission section. </w:t>
      </w:r>
      <w:r>
        <w:rPr>
          <w:rFonts w:ascii="Calibri" w:hAnsi="Calibri"/>
          <w:b w:val="0"/>
          <w:i w:val="0"/>
          <w:color w:val="000000"/>
          <w:sz w:val="22"/>
        </w:rPr>
        <w:t>Document what School Admin, Teacher, Staff, Student, and Guardian roles can access once those paths are validated.</w:t>
      </w:r>
    </w:p>
    <w:p>
      <w:pPr>
        <w:spacing w:before="0" w:after="120" w:line="300" w:lineRule="auto"/>
        <w:jc w:val="left"/>
      </w:pPr>
      <w:r>
        <w:rPr>
          <w:rFonts w:ascii="Calibri" w:hAnsi="Calibri"/>
          <w:b/>
          <w:i w:val="0"/>
          <w:color w:val="000000"/>
          <w:sz w:val="22"/>
        </w:rPr>
        <w:t xml:space="preserve">Workflow section. </w:t>
      </w:r>
      <w:r>
        <w:rPr>
          <w:rFonts w:ascii="Calibri" w:hAnsi="Calibri"/>
          <w:b w:val="0"/>
          <w:i w:val="0"/>
          <w:color w:val="000000"/>
          <w:sz w:val="22"/>
        </w:rPr>
        <w:t>Add common end-to-end paths such as student admission, teacher onboarding, attendance closure, fee collection, expense approval, payroll run, and user invitation.</w:t>
      </w:r>
    </w:p>
    <w:p>
      <w:pPr>
        <w:spacing w:before="0" w:after="120" w:line="300" w:lineRule="auto"/>
        <w:jc w:val="left"/>
      </w:pPr>
      <w:r>
        <w:rPr>
          <w:rFonts w:ascii="Calibri" w:hAnsi="Calibri"/>
          <w:b/>
          <w:i w:val="0"/>
          <w:color w:val="000000"/>
          <w:sz w:val="22"/>
        </w:rPr>
        <w:t xml:space="preserve">Known limitations and open issues. </w:t>
      </w:r>
      <w:r>
        <w:rPr>
          <w:rFonts w:ascii="Calibri" w:hAnsi="Calibri"/>
          <w:b w:val="0"/>
          <w:i w:val="0"/>
          <w:color w:val="000000"/>
          <w:sz w:val="22"/>
        </w:rPr>
        <w:t>Track issues such as broken links, layout defects, report failures, or configuration gaps observed during testing.</w:t>
      </w:r>
    </w:p>
    <w:p>
      <w:pPr>
        <w:spacing w:before="0" w:after="120" w:line="300" w:lineRule="auto"/>
        <w:jc w:val="left"/>
      </w:pPr>
      <w:r>
        <w:rPr>
          <w:rFonts w:ascii="Calibri" w:hAnsi="Calibri"/>
          <w:b/>
          <w:i w:val="0"/>
          <w:color w:val="000000"/>
          <w:sz w:val="22"/>
        </w:rPr>
        <w:t xml:space="preserve">Automation mapping. </w:t>
      </w:r>
      <w:r>
        <w:rPr>
          <w:rFonts w:ascii="Calibri" w:hAnsi="Calibri"/>
          <w:b w:val="0"/>
          <w:i w:val="0"/>
          <w:color w:val="000000"/>
          <w:sz w:val="22"/>
        </w:rPr>
        <w:t>Link every documented business workflow to matching manual tests and automated test coverage.</w:t>
      </w:r>
    </w:p>
    <w:p>
      <w:pPr>
        <w:spacing w:before="360" w:after="200" w:line="276" w:lineRule="auto"/>
        <w:jc w:val="left"/>
      </w:pPr>
      <w:r>
        <w:rPr>
          <w:rFonts w:ascii="Calibri" w:hAnsi="Calibri"/>
          <w:b/>
          <w:i w:val="0"/>
          <w:color w:val="2E74B5"/>
          <w:sz w:val="32"/>
        </w:rPr>
        <w:t>Documentation Notes and Boundaries</w:t>
      </w:r>
    </w:p>
    <w:p>
      <w:pPr>
        <w:spacing w:before="0" w:after="120" w:line="300" w:lineRule="auto"/>
        <w:jc w:val="left"/>
      </w:pPr>
      <w:r>
        <w:rPr>
          <w:rFonts w:ascii="Calibri" w:hAnsi="Calibri"/>
          <w:b w:val="0"/>
          <w:i w:val="0"/>
          <w:color w:val="000000"/>
          <w:sz w:val="22"/>
        </w:rPr>
        <w:t>This version is intentionally written from observed application behavior, visible routes, and the current repository context. It does not claim internal business rules that were not visible in the UI. Where the product clearly exposes a module name or workflow family, that information is included. Where business rules were not fully visible, the wording stays descriptive instead of speculative.</w:t>
      </w:r>
    </w:p>
    <w:p>
      <w:pPr>
        <w:spacing w:before="0" w:after="120" w:line="300" w:lineRule="auto"/>
        <w:jc w:val="left"/>
      </w:pPr>
      <w:r>
        <w:rPr>
          <w:rFonts w:ascii="Calibri" w:hAnsi="Calibri"/>
          <w:b w:val="0"/>
          <w:i w:val="0"/>
          <w:color w:val="000000"/>
          <w:sz w:val="22"/>
        </w:rPr>
        <w:t>That makes this document safe to use as a starting point for onboarding, QA understanding, and product walkthroughs while still leaving room for module owners to deepen it later.</w:t>
      </w:r>
    </w:p>
    <w:p>
      <w:pPr>
        <w:spacing w:before="360" w:after="200" w:line="276" w:lineRule="auto"/>
        <w:jc w:val="left"/>
      </w:pPr>
      <w:r>
        <w:rPr>
          <w:rFonts w:ascii="Calibri" w:hAnsi="Calibri"/>
          <w:b/>
          <w:i w:val="0"/>
          <w:color w:val="2E74B5"/>
          <w:sz w:val="32"/>
        </w:rPr>
        <w:t>Conclusion</w:t>
      </w:r>
    </w:p>
    <w:p>
      <w:pPr>
        <w:spacing w:before="0" w:after="120" w:line="300" w:lineRule="auto"/>
        <w:jc w:val="left"/>
      </w:pPr>
      <w:r>
        <w:rPr>
          <w:rFonts w:ascii="Calibri" w:hAnsi="Calibri"/>
          <w:b w:val="0"/>
          <w:i w:val="0"/>
          <w:color w:val="000000"/>
          <w:sz w:val="22"/>
        </w:rPr>
        <w:t>Vidhyan is already structured like a full school operations platform, and the application is mature enough to benefit from proper product documentation. This document establishes that missing foundation by summarizing the application in a clear, readable form that can be expanded into module-specific guides, SOPs, and test documentation over time.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Calibri" w:hAnsi="Calibri"/>
        <w:b w:val="0"/>
        <w:i w:val="0"/>
        <w:color w:val="666666"/>
        <w:sz w:val="18"/>
      </w:rPr>
      <w:t>Vidhyan Application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