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4"/>
        </w:rPr>
        <w:t>MARKET MEMORY</w:t>
      </w:r>
    </w:p>
    <w:p>
      <w:pPr>
        <w:jc w:val="center"/>
      </w:pPr>
      <w:r>
        <w:rPr>
          <w:color w:val="2F5597"/>
          <w:sz w:val="34"/>
        </w:rPr>
        <w:t>Personal ETF Prediction Engine, Daily Opportunity Scanner,</w:t>
        <w:br/>
        <w:t>Decision Journal, and Closed-Loop Learning System</w:t>
      </w:r>
    </w:p>
    <w:p>
      <w:pPr>
        <w:spacing w:before="400"/>
        <w:jc w:val="center"/>
      </w:pPr>
      <w:r>
        <w:rPr>
          <w:b/>
          <w:color w:val="5B6573"/>
          <w:sz w:val="22"/>
        </w:rPr>
        <w:t>BUILD SPECIFICATION + MASTER CODING-AGENT PROMPT</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60"/>
            </w:pPr>
            <w:r>
              <w:rPr>
                <w:b/>
                <w:color w:val="1F4E78"/>
              </w:rPr>
              <w:t>Primary objective</w:t>
            </w:r>
          </w:p>
          <w:p>
            <w:pPr>
              <w:spacing w:after="0"/>
            </w:pPr>
            <w:r>
              <w:t>Build a personal-use application that can retrieve an ETF price (or accept a user-supplied price), evaluate the current market state against historical analogs and calibrated models, present an evidence-based position suggestion, record what the user actually did, and later score both the model and the user against real outcomes.</w:t>
            </w:r>
          </w:p>
        </w:tc>
      </w:tr>
    </w:tbl>
    <w:p>
      <w:pPr>
        <w:spacing w:before="600"/>
        <w:jc w:val="center"/>
      </w:pPr>
      <w:r>
        <w:rPr>
          <w:i/>
          <w:sz w:val="20"/>
        </w:rPr>
        <w:t>Prepared for an existing GitHub repository and Supabase project</w:t>
      </w:r>
    </w:p>
    <w:p>
      <w:pPr>
        <w:jc w:val="center"/>
      </w:pPr>
      <w:r>
        <w:rPr>
          <w:color w:val="6B7280"/>
          <w:sz w:val="18"/>
        </w:rPr>
        <w:t>Version 1.0  |  July 12, 2026</w:t>
      </w:r>
    </w:p>
    <w:p>
      <w:r>
        <w:br w:type="page"/>
      </w:r>
    </w:p>
    <w:p>
      <w:pPr>
        <w:pStyle w:val="Heading1"/>
      </w:pPr>
      <w:r>
        <w:t>1. How to Use This Document</w:t>
      </w:r>
    </w:p>
    <w:p>
      <w:r>
        <w:rPr>
          <w:i w:val="0"/>
        </w:rPr>
        <w:t>This document is both a product and engineering specification and a ready-to-paste prompt for a coding agent. It assumes the owner already has a GitHub repository and Supabase project. The recommended implementation is a small monorepo using Next.js for the application, Supabase for Postgres/Auth/pgvector/scheduling, and Python for quantitative analysis.</w:t>
      </w:r>
    </w:p>
    <w:p>
      <w:pPr>
        <w:pStyle w:val="ListBullet"/>
      </w:pPr>
      <w:r>
        <w:t>Give the entire document to the coding agent as project context.</w:t>
      </w:r>
    </w:p>
    <w:p>
      <w:pPr>
        <w:pStyle w:val="ListBullet"/>
      </w:pPr>
      <w:r>
        <w:t>Ask the agent to inspect the existing repository before changing files.</w:t>
      </w:r>
    </w:p>
    <w:p>
      <w:pPr>
        <w:pStyle w:val="ListBullet"/>
      </w:pPr>
      <w:r>
        <w:t>Have it implement milestones in order; do not ask it to build the entire system in one unreviewed pass.</w:t>
      </w:r>
    </w:p>
    <w:p>
      <w:pPr>
        <w:pStyle w:val="ListBullet"/>
      </w:pPr>
      <w:r>
        <w:t>Keep forecasts informational and manually executed. Do not connect brokerage execution in the MVP.</w:t>
      </w:r>
    </w:p>
    <w:p>
      <w:pPr>
        <w:pStyle w:val="ListBullet"/>
      </w:pPr>
      <w:r>
        <w:t>Use point-in-time data and immutable prediction records so all recommendations can be reproduced later.</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60"/>
            </w:pPr>
            <w:r>
              <w:rPr>
                <w:b/>
                <w:color w:val="1F4E78"/>
              </w:rPr>
              <w:t>Important design correction</w:t>
            </w:r>
          </w:p>
          <w:p>
            <w:pPr>
              <w:spacing w:after="0"/>
            </w:pPr>
            <w:r>
              <w:t>The system must not “learn” by rewriting itself after every trade. Outcomes should enter a controlled research dataset. Candidate models are retrained offline, evaluated with time-respecting tests, compared against the production model, and promoted only after passing explicit thresholds.</w:t>
            </w:r>
          </w:p>
        </w:tc>
      </w:tr>
    </w:tbl>
    <w:p>
      <w:pPr>
        <w:pStyle w:val="Heading1"/>
      </w:pPr>
      <w:r>
        <w:t>2. Master Product Prompt</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6"/>
              </w:rPr>
              <w:t>You are the founding engineer and quantitative systems architect for Market Memory.</w:t>
              <w:br/>
            </w:r>
            <w:r>
              <w:rPr>
                <w:rFonts w:ascii="Liberation Mono" w:hAnsi="Liberation Mono"/>
                <w:sz w:val="16"/>
              </w:rPr>
              <w:br/>
            </w:r>
            <w:r>
              <w:rPr>
                <w:rFonts w:ascii="Liberation Mono" w:hAnsi="Liberation Mono"/>
                <w:sz w:val="16"/>
              </w:rPr>
              <w:t>Build a personal-use ETF decision-intelligence application in an existing GitHub repository and existing Supabase project.</w:t>
              <w:br/>
            </w:r>
            <w:r>
              <w:rPr>
                <w:rFonts w:ascii="Liberation Mono" w:hAnsi="Liberation Mono"/>
                <w:sz w:val="16"/>
              </w:rPr>
              <w:br/>
            </w:r>
            <w:r>
              <w:rPr>
                <w:rFonts w:ascii="Liberation Mono" w:hAnsi="Liberation Mono"/>
                <w:sz w:val="16"/>
              </w:rPr>
              <w:t>The application must:</w:t>
              <w:br/>
            </w:r>
            <w:r>
              <w:rPr>
                <w:rFonts w:ascii="Liberation Mono" w:hAnsi="Liberation Mono"/>
                <w:sz w:val="16"/>
              </w:rPr>
              <w:t>1. Retrieve a current or delayed ETF quote through a replaceable market-data provider.</w:t>
              <w:br/>
            </w:r>
            <w:r>
              <w:rPr>
                <w:rFonts w:ascii="Liberation Mono" w:hAnsi="Liberation Mono"/>
                <w:sz w:val="16"/>
              </w:rPr>
              <w:t>2. Always allow the user to enter or override the analysis price manually.</w:t>
              <w:br/>
            </w:r>
            <w:r>
              <w:rPr>
                <w:rFonts w:ascii="Liberation Mono" w:hAnsi="Liberation Mono"/>
                <w:sz w:val="16"/>
              </w:rPr>
              <w:t>3. Store the price, provider, provider timestamp, retrieval timestamp, staleness, and manual override separately.</w:t>
              <w:br/>
            </w:r>
            <w:r>
              <w:rPr>
                <w:rFonts w:ascii="Liberation Mono" w:hAnsi="Liberation Mono"/>
                <w:sz w:val="16"/>
              </w:rPr>
              <w:t>4. Analyze the ETF using price behavior, technical features, cross-ETF behavior, macro data, current regime, historical analogs, and structured news.</w:t>
              <w:br/>
            </w:r>
            <w:r>
              <w:rPr>
                <w:rFonts w:ascii="Liberation Mono" w:hAnsi="Liberation Mono"/>
                <w:sz w:val="16"/>
              </w:rPr>
              <w:t>5. Produce calibrated probability forecasts over defined horizons rather than unsupported deterministic claims.</w:t>
              <w:br/>
            </w:r>
            <w:r>
              <w:rPr>
                <w:rFonts w:ascii="Liberation Mono" w:hAnsi="Liberation Mono"/>
                <w:sz w:val="16"/>
              </w:rPr>
              <w:t>6. Surface ranked daily ETF setups after the market close and support on-demand analysis at any user-entered price.</w:t>
              <w:br/>
            </w:r>
            <w:r>
              <w:rPr>
                <w:rFonts w:ascii="Liberation Mono" w:hAnsi="Liberation Mono"/>
                <w:sz w:val="16"/>
              </w:rPr>
              <w:t>7. Record the model output before showing the user-decision form.</w:t>
              <w:br/>
            </w:r>
            <w:r>
              <w:rPr>
                <w:rFonts w:ascii="Liberation Mono" w:hAnsi="Liberation Mono"/>
                <w:sz w:val="16"/>
              </w:rPr>
              <w:t>8. Allow the user to log Buy, Sell, Hold, Watch, or Stand Down, including size, price, horizon, confidence, thesis, invalidation, and reason for agreeing or disagreeing.</w:t>
              <w:br/>
            </w:r>
            <w:r>
              <w:rPr>
                <w:rFonts w:ascii="Liberation Mono" w:hAnsi="Liberation Mono"/>
                <w:sz w:val="16"/>
              </w:rPr>
              <w:t>9. Revisit predictions and decisions at scheduled horizons, calculate real outcomes, score forecast calibration, and compare model, user, and combined results.</w:t>
              <w:br/>
            </w:r>
            <w:r>
              <w:rPr>
                <w:rFonts w:ascii="Liberation Mono" w:hAnsi="Liberation Mono"/>
                <w:sz w:val="16"/>
              </w:rPr>
              <w:t>10. Provide a ChatGPT-style search interface grounded in stored prices, macro data, news, market states, forecasts, user decisions, outcomes, and model evaluations.</w:t>
              <w:br/>
            </w:r>
            <w:r>
              <w:rPr>
                <w:rFonts w:ascii="Liberation Mono" w:hAnsi="Liberation Mono"/>
                <w:sz w:val="16"/>
              </w:rPr>
              <w:t>11. Keep numerical forecasts in deterministic/statistical code. Use the LLM only for query routing, news structuring, retrieval, and explanation.</w:t>
              <w:br/>
            </w:r>
            <w:r>
              <w:rPr>
                <w:rFonts w:ascii="Liberation Mono" w:hAnsi="Liberation Mono"/>
                <w:sz w:val="16"/>
              </w:rPr>
              <w:t>12. Preserve all model versions, feature snapshots, forecast inputs, and outcome records so every recommendation is replayable.</w:t>
              <w:br/>
            </w:r>
            <w:r>
              <w:rPr>
                <w:rFonts w:ascii="Liberation Mono" w:hAnsi="Liberation Mono"/>
                <w:sz w:val="16"/>
              </w:rPr>
              <w:t>13. Use Supabase Postgres, Auth, Row Level Security, pgvector, Cron, and Edge Functions where appropriate.</w:t>
              <w:br/>
            </w:r>
            <w:r>
              <w:rPr>
                <w:rFonts w:ascii="Liberation Mono" w:hAnsi="Liberation Mono"/>
                <w:sz w:val="16"/>
              </w:rPr>
              <w:t>14. Use a Python quantitative service and scheduled Python jobs for feature generation, model inference, evaluation, and retraining.</w:t>
              <w:br/>
            </w:r>
            <w:r>
              <w:rPr>
                <w:rFonts w:ascii="Liberation Mono" w:hAnsi="Liberation Mono"/>
                <w:sz w:val="16"/>
              </w:rPr>
              <w:t>15. Implement the work in milestones with migrations, tests, seed data, documentation, and clear acceptance criteria.</w:t>
              <w:br/>
            </w:r>
            <w:r>
              <w:rPr>
                <w:rFonts w:ascii="Liberation Mono" w:hAnsi="Liberation Mono"/>
                <w:sz w:val="16"/>
              </w:rPr>
              <w:br/>
            </w:r>
            <w:r>
              <w:rPr>
                <w:rFonts w:ascii="Liberation Mono" w:hAnsi="Liberation Mono"/>
                <w:sz w:val="16"/>
              </w:rPr>
              <w:t>The application is for one investor's personal portfolio. It should be rigorous, explainable, inexpensive to run, and intentionally narrower than an institutional market-data terminal.</w:t>
            </w:r>
          </w:p>
        </w:tc>
      </w:tr>
    </w:tbl>
    <w:p>
      <w:pPr>
        <w:spacing w:after="0"/>
      </w:pPr>
    </w:p>
    <w:p>
      <w:pPr>
        <w:pStyle w:val="Heading1"/>
      </w:pPr>
      <w:r>
        <w:t>3. Revised Product Definition</w:t>
      </w:r>
    </w:p>
    <w:p>
      <w:pPr>
        <w:pStyle w:val="Heading2"/>
      </w:pPr>
      <w:r>
        <w:t>3.1 What Market Memory Is</w:t>
      </w:r>
    </w:p>
    <w:p>
      <w:r>
        <w:rPr>
          <w:i w:val="0"/>
        </w:rPr>
        <w:t>Market Memory is a personal forecasting and decision-accountability system for ETF investing. Its core loop is: observe the market, create a versioned forecast, record the user decision, observe what happened, score both, and use accumulated evidence to test controlled model improvements.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tcPr>
          <w:p>
            <w:r>
              <w:rPr>
                <w:b/>
                <w:color w:val="FFFFFF"/>
              </w:rPr>
              <w:t>Item</w:t>
            </w:r>
          </w:p>
        </w:tc>
        <w:tc>
          <w:tcPr>
            <w:tcW w:type="dxa" w:w="7848"/>
            <w:shd w:fill="1F4E78"/>
          </w:tcPr>
          <w:p>
            <w:r>
              <w:rPr>
                <w:b/>
                <w:color w:val="FFFFFF"/>
              </w:rPr>
              <w:t>Specification</w:t>
            </w:r>
          </w:p>
        </w:tc>
      </w:tr>
      <w:tr>
        <w:tc>
          <w:tcPr>
            <w:tcW w:type="dxa" w:w="2232"/>
            <w:vAlign w:val="top"/>
            <w:tcMar>
              <w:top w:w="80" w:type="dxa"/>
              <w:start w:w="90" w:type="dxa"/>
              <w:bottom w:w="80" w:type="dxa"/>
              <w:end w:w="90" w:type="dxa"/>
            </w:tcMar>
          </w:tcPr>
          <w:p>
            <w:r>
              <w:t>Primary user</w:t>
            </w:r>
          </w:p>
        </w:tc>
        <w:tc>
          <w:tcPr>
            <w:tcW w:type="dxa" w:w="7848"/>
            <w:vAlign w:val="top"/>
            <w:tcMar>
              <w:top w:w="80" w:type="dxa"/>
              <w:start w:w="90" w:type="dxa"/>
              <w:bottom w:w="80" w:type="dxa"/>
              <w:end w:w="90" w:type="dxa"/>
            </w:tcMar>
          </w:tcPr>
          <w:p>
            <w:r>
              <w:t>One authenticated owner using the tool for a personal portfolio.</w:t>
            </w:r>
          </w:p>
        </w:tc>
      </w:tr>
      <w:tr>
        <w:tc>
          <w:tcPr>
            <w:tcW w:type="dxa" w:w="2232"/>
            <w:vAlign w:val="top"/>
            <w:tcMar>
              <w:top w:w="80" w:type="dxa"/>
              <w:start w:w="90" w:type="dxa"/>
              <w:bottom w:w="80" w:type="dxa"/>
              <w:end w:w="90" w:type="dxa"/>
            </w:tcMar>
          </w:tcPr>
          <w:p>
            <w:r>
              <w:t>Primary asset type</w:t>
            </w:r>
          </w:p>
        </w:tc>
        <w:tc>
          <w:tcPr>
            <w:tcW w:type="dxa" w:w="7848"/>
            <w:vAlign w:val="top"/>
            <w:tcMar>
              <w:top w:w="80" w:type="dxa"/>
              <w:start w:w="90" w:type="dxa"/>
              <w:bottom w:w="80" w:type="dxa"/>
              <w:end w:w="90" w:type="dxa"/>
            </w:tcMar>
          </w:tcPr>
          <w:p>
            <w:r>
              <w:t>Liquid ETFs representing broad markets, sectors, styles, sizes, countries, rates, credit, and commodities.</w:t>
            </w:r>
          </w:p>
        </w:tc>
      </w:tr>
      <w:tr>
        <w:tc>
          <w:tcPr>
            <w:tcW w:type="dxa" w:w="2232"/>
            <w:vAlign w:val="top"/>
            <w:tcMar>
              <w:top w:w="80" w:type="dxa"/>
              <w:start w:w="90" w:type="dxa"/>
              <w:bottom w:w="80" w:type="dxa"/>
              <w:end w:w="90" w:type="dxa"/>
            </w:tcMar>
          </w:tcPr>
          <w:p>
            <w:r>
              <w:t>Primary interface</w:t>
            </w:r>
          </w:p>
        </w:tc>
        <w:tc>
          <w:tcPr>
            <w:tcW w:type="dxa" w:w="7848"/>
            <w:vAlign w:val="top"/>
            <w:tcMar>
              <w:top w:w="80" w:type="dxa"/>
              <w:start w:w="90" w:type="dxa"/>
              <w:bottom w:w="80" w:type="dxa"/>
              <w:end w:w="90" w:type="dxa"/>
            </w:tcMar>
          </w:tcPr>
          <w:p>
            <w:r>
              <w:t>A home dashboard with Today’s Setups and an Ask Market Memory search box.</w:t>
            </w:r>
          </w:p>
        </w:tc>
      </w:tr>
      <w:tr>
        <w:tc>
          <w:tcPr>
            <w:tcW w:type="dxa" w:w="2232"/>
            <w:vAlign w:val="top"/>
            <w:tcMar>
              <w:top w:w="80" w:type="dxa"/>
              <w:start w:w="90" w:type="dxa"/>
              <w:bottom w:w="80" w:type="dxa"/>
              <w:end w:w="90" w:type="dxa"/>
            </w:tcMar>
          </w:tcPr>
          <w:p>
            <w:r>
              <w:t>Primary decision unit</w:t>
            </w:r>
          </w:p>
        </w:tc>
        <w:tc>
          <w:tcPr>
            <w:tcW w:type="dxa" w:w="7848"/>
            <w:vAlign w:val="top"/>
            <w:tcMar>
              <w:top w:w="80" w:type="dxa"/>
              <w:start w:w="90" w:type="dxa"/>
              <w:bottom w:w="80" w:type="dxa"/>
              <w:end w:w="90" w:type="dxa"/>
            </w:tcMar>
          </w:tcPr>
          <w:p>
            <w:r>
              <w:t>A timestamped ETF setup with explicit horizon, benchmark, probability, return range, downside range, and evidence.</w:t>
            </w:r>
          </w:p>
        </w:tc>
      </w:tr>
      <w:tr>
        <w:tc>
          <w:tcPr>
            <w:tcW w:type="dxa" w:w="2232"/>
            <w:vAlign w:val="top"/>
            <w:tcMar>
              <w:top w:w="80" w:type="dxa"/>
              <w:start w:w="90" w:type="dxa"/>
              <w:bottom w:w="80" w:type="dxa"/>
              <w:end w:w="90" w:type="dxa"/>
            </w:tcMar>
          </w:tcPr>
          <w:p>
            <w:r>
              <w:t>Primary moat</w:t>
            </w:r>
          </w:p>
        </w:tc>
        <w:tc>
          <w:tcPr>
            <w:tcW w:type="dxa" w:w="7848"/>
            <w:vAlign w:val="top"/>
            <w:tcMar>
              <w:top w:w="80" w:type="dxa"/>
              <w:start w:w="90" w:type="dxa"/>
              <w:bottom w:w="80" w:type="dxa"/>
              <w:end w:w="90" w:type="dxa"/>
            </w:tcMar>
          </w:tcPr>
          <w:p>
            <w:r>
              <w:t>The accumulated point-in-time record of market states, model predictions, user decisions, overrides, and subsequent outcomes.</w:t>
            </w:r>
          </w:p>
        </w:tc>
      </w:tr>
      <w:tr>
        <w:tc>
          <w:tcPr>
            <w:tcW w:type="dxa" w:w="2232"/>
            <w:vAlign w:val="top"/>
            <w:tcMar>
              <w:top w:w="80" w:type="dxa"/>
              <w:start w:w="90" w:type="dxa"/>
              <w:bottom w:w="80" w:type="dxa"/>
              <w:end w:w="90" w:type="dxa"/>
            </w:tcMar>
          </w:tcPr>
          <w:p>
            <w:r>
              <w:t>Primary success condition</w:t>
            </w:r>
          </w:p>
        </w:tc>
        <w:tc>
          <w:tcPr>
            <w:tcW w:type="dxa" w:w="7848"/>
            <w:vAlign w:val="top"/>
            <w:tcMar>
              <w:top w:w="80" w:type="dxa"/>
              <w:start w:w="90" w:type="dxa"/>
              <w:bottom w:w="80" w:type="dxa"/>
              <w:end w:w="90" w:type="dxa"/>
            </w:tcMar>
          </w:tcPr>
          <w:p>
            <w:r>
              <w:t>The product becomes measurably better at calibrated forecasting and helps the user identify when their judgment adds or destroys value.</w:t>
            </w:r>
          </w:p>
        </w:tc>
      </w:tr>
    </w:tbl>
    <w:p>
      <w:pPr>
        <w:pStyle w:val="Heading2"/>
      </w:pPr>
      <w:r>
        <w:t>3.2 What It Is Not</w:t>
      </w:r>
    </w:p>
    <w:p>
      <w:pPr>
        <w:pStyle w:val="ListBullet"/>
      </w:pPr>
      <w:r>
        <w:t>Not an autonomous trading bot.</w:t>
      </w:r>
    </w:p>
    <w:p>
      <w:pPr>
        <w:pStyle w:val="ListBullet"/>
      </w:pPr>
      <w:r>
        <w:t>Not a generic financial-document chatbot.</w:t>
      </w:r>
    </w:p>
    <w:p>
      <w:pPr>
        <w:pStyle w:val="ListBullet"/>
      </w:pPr>
      <w:r>
        <w:t>Not an LLM that fabricates confidence scores.</w:t>
      </w:r>
    </w:p>
    <w:p>
      <w:pPr>
        <w:pStyle w:val="ListBullet"/>
      </w:pPr>
      <w:r>
        <w:t>Not a promise to outperform the market.</w:t>
      </w:r>
    </w:p>
    <w:p>
      <w:pPr>
        <w:pStyle w:val="ListBullet"/>
      </w:pPr>
      <w:r>
        <w:t>Not a system that changes production models after each outcome.</w:t>
      </w:r>
    </w:p>
    <w:p>
      <w:pPr>
        <w:pStyle w:val="ListBullet"/>
      </w:pPr>
      <w:r>
        <w:t>Not an intraday high-frequency trading platform in V1.</w:t>
      </w:r>
    </w:p>
    <w:p>
      <w:pPr>
        <w:pStyle w:val="Heading2"/>
      </w:pPr>
      <w:r>
        <w:t>3.3 Product Constitution</w:t>
      </w:r>
    </w:p>
    <w:p>
      <w:pPr>
        <w:ind w:left="346" w:hanging="346"/>
      </w:pPr>
      <w:r>
        <w:rPr>
          <w:b w:val="0"/>
        </w:rPr>
        <w:t xml:space="preserve">1. </w:t>
      </w:r>
      <w:r>
        <w:t>Every forecast must define the asset, as-of time, analysis price, target horizon, benchmark, event definition, probability, expected return range, downside range, sample size, and model version.</w:t>
      </w:r>
    </w:p>
    <w:p>
      <w:pPr>
        <w:ind w:left="346" w:hanging="346"/>
      </w:pPr>
      <w:r>
        <w:rPr>
          <w:b w:val="0"/>
        </w:rPr>
        <w:t xml:space="preserve">2. </w:t>
      </w:r>
      <w:r>
        <w:t>The system must clearly label whether the price came from a provider or the user.</w:t>
      </w:r>
    </w:p>
    <w:p>
      <w:pPr>
        <w:ind w:left="346" w:hanging="346"/>
      </w:pPr>
      <w:r>
        <w:rPr>
          <w:b w:val="0"/>
        </w:rPr>
        <w:t xml:space="preserve">3. </w:t>
      </w:r>
      <w:r>
        <w:t>A manually entered price is valid but must never overwrite a provider quote or historical market record.</w:t>
      </w:r>
    </w:p>
    <w:p>
      <w:pPr>
        <w:ind w:left="346" w:hanging="346"/>
      </w:pPr>
      <w:r>
        <w:rPr>
          <w:b w:val="0"/>
        </w:rPr>
        <w:t xml:space="preserve">4. </w:t>
      </w:r>
      <w:r>
        <w:t>The model may recommend Buy Candidate, Sell/Reduce Candidate, Hold, Watch, or Stand Down; it must also be able to return No Reliable Signal.</w:t>
      </w:r>
    </w:p>
    <w:p>
      <w:pPr>
        <w:ind w:left="346" w:hanging="346"/>
      </w:pPr>
      <w:r>
        <w:rPr>
          <w:b w:val="0"/>
        </w:rPr>
        <w:t xml:space="preserve">5. </w:t>
      </w:r>
      <w:r>
        <w:t>The statistical engine creates probabilities. The LLM explains and retrieves evidence.</w:t>
      </w:r>
    </w:p>
    <w:p>
      <w:pPr>
        <w:ind w:left="346" w:hanging="346"/>
      </w:pPr>
      <w:r>
        <w:rPr>
          <w:b w:val="0"/>
        </w:rPr>
        <w:t xml:space="preserve">6. </w:t>
      </w:r>
      <w:r>
        <w:t>Only information available at the forecast timestamp may be used.</w:t>
      </w:r>
    </w:p>
    <w:p>
      <w:pPr>
        <w:ind w:left="346" w:hanging="346"/>
      </w:pPr>
      <w:r>
        <w:rPr>
          <w:b w:val="0"/>
        </w:rPr>
        <w:t xml:space="preserve">7. </w:t>
      </w:r>
      <w:r>
        <w:t>Predictions and user decisions are immutable; amendments create new records linked to the original.</w:t>
      </w:r>
    </w:p>
    <w:p>
      <w:pPr>
        <w:ind w:left="346" w:hanging="346"/>
      </w:pPr>
      <w:r>
        <w:rPr>
          <w:b w:val="0"/>
        </w:rPr>
        <w:t xml:space="preserve">8. </w:t>
      </w:r>
      <w:r>
        <w:t>Model feedback and user feedback are stored separately.</w:t>
      </w:r>
    </w:p>
    <w:p>
      <w:pPr>
        <w:ind w:left="346" w:hanging="346"/>
      </w:pPr>
      <w:r>
        <w:rPr>
          <w:b w:val="0"/>
        </w:rPr>
        <w:t xml:space="preserve">9. </w:t>
      </w:r>
      <w:r>
        <w:t>A production model changes only through a versioned champion-challenger process.</w:t>
      </w:r>
    </w:p>
    <w:p>
      <w:pPr>
        <w:ind w:left="346" w:hanging="346"/>
      </w:pPr>
      <w:r>
        <w:rPr>
          <w:b w:val="0"/>
        </w:rPr>
        <w:t xml:space="preserve">10. </w:t>
      </w:r>
      <w:r>
        <w:t>The user must be able to inspect why a signal appeared and how similar signals performed.</w:t>
      </w:r>
    </w:p>
    <w:p>
      <w:r>
        <w:br w:type="page"/>
      </w:r>
    </w:p>
    <w:p>
      <w:pPr>
        <w:pStyle w:val="Heading1"/>
      </w:pPr>
      <w:r>
        <w:t>4. Core User Experiences</w:t>
      </w:r>
    </w:p>
    <w:p>
      <w:pPr>
        <w:pStyle w:val="Heading2"/>
      </w:pPr>
      <w:r>
        <w:t>4.1 Home: Today’s Setups</w:t>
      </w:r>
    </w:p>
    <w:p>
      <w:r>
        <w:rPr>
          <w:i w:val="0"/>
        </w:rPr>
        <w:t>After the market close, a scheduled scanner evaluates the ETF universe and creates a short ranked list of opportunities and risk warnings. It should deliberately return only the strongest three to five setups rather than manufacturing constant activity.</w:t>
      </w:r>
    </w:p>
    <w:p>
      <w:pPr>
        <w:pStyle w:val="ListBullet"/>
      </w:pPr>
      <w:r>
        <w:t>Top ranked opportunities with direction, horizon, probability, expected return range, downside range, and confidence tier.</w:t>
      </w:r>
    </w:p>
    <w:p>
      <w:pPr>
        <w:pStyle w:val="ListBullet"/>
      </w:pPr>
      <w:r>
        <w:t>What changed today: major feature changes, regime changes, and new data-quality warnings.</w:t>
      </w:r>
    </w:p>
    <w:p>
      <w:pPr>
        <w:pStyle w:val="ListBullet"/>
      </w:pPr>
      <w:r>
        <w:t>Open decisions approaching an evaluation date.</w:t>
      </w:r>
    </w:p>
    <w:p>
      <w:pPr>
        <w:pStyle w:val="ListBullet"/>
      </w:pPr>
      <w:r>
        <w:t>Recent forecast misses or confidence-calibration warnings.</w:t>
      </w:r>
    </w:p>
    <w:p>
      <w:pPr>
        <w:pStyle w:val="ListBullet"/>
      </w:pPr>
      <w:r>
        <w:t>Ask Market Memory search box.</w:t>
      </w:r>
    </w:p>
    <w:p>
      <w:pPr>
        <w:pStyle w:val="Heading2"/>
      </w:pPr>
      <w:r>
        <w:t>4.2 On-Demand ETF Analysis</w:t>
      </w:r>
    </w:p>
    <w:p>
      <w:r>
        <w:rPr>
          <w:i w:val="0"/>
        </w:rPr>
        <w:t>The user enters an ETF ticker and optionally a price. The app attempts to retrieve a quote. The user can accept it, refresh it, or override it. The selected effective analysis price is then used to create a point-in-time recommendation.</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Example request</w:t>
              <w:br/>
            </w:r>
            <w:r>
              <w:rPr>
                <w:rFonts w:ascii="Liberation Mono" w:hAnsi="Liberation Mono"/>
                <w:sz w:val="17"/>
              </w:rPr>
              <w:t>Ticker: SMH</w:t>
              <w:br/>
            </w:r>
            <w:r>
              <w:rPr>
                <w:rFonts w:ascii="Liberation Mono" w:hAnsi="Liberation Mono"/>
                <w:sz w:val="17"/>
              </w:rPr>
              <w:t>Price mode: Fetch quote</w:t>
              <w:br/>
            </w:r>
            <w:r>
              <w:rPr>
                <w:rFonts w:ascii="Liberation Mono" w:hAnsi="Liberation Mono"/>
                <w:sz w:val="17"/>
              </w:rPr>
              <w:t>Fetched price: 281.44</w:t>
              <w:br/>
            </w:r>
            <w:r>
              <w:rPr>
                <w:rFonts w:ascii="Liberation Mono" w:hAnsi="Liberation Mono"/>
                <w:sz w:val="17"/>
              </w:rPr>
              <w:t>Provider timestamp: 2026-07-12 15:21:07 America/New_York</w:t>
              <w:br/>
            </w:r>
            <w:r>
              <w:rPr>
                <w:rFonts w:ascii="Liberation Mono" w:hAnsi="Liberation Mono"/>
                <w:sz w:val="17"/>
              </w:rPr>
              <w:t>Quote status: delayed 15 minutes</w:t>
              <w:br/>
            </w:r>
            <w:r>
              <w:rPr>
                <w:rFonts w:ascii="Liberation Mono" w:hAnsi="Liberation Mono"/>
                <w:sz w:val="17"/>
              </w:rPr>
              <w:t>Manual override: 280.90</w:t>
              <w:br/>
            </w:r>
            <w:r>
              <w:rPr>
                <w:rFonts w:ascii="Liberation Mono" w:hAnsi="Liberation Mono"/>
                <w:sz w:val="17"/>
              </w:rPr>
              <w:t>Effective analysis price: 280.90</w:t>
              <w:br/>
            </w:r>
            <w:r>
              <w:rPr>
                <w:rFonts w:ascii="Liberation Mono" w:hAnsi="Liberation Mono"/>
                <w:sz w:val="17"/>
              </w:rPr>
              <w:t>User horizon: 5 trading days</w:t>
              <w:br/>
            </w:r>
            <w:r>
              <w:rPr>
                <w:rFonts w:ascii="Liberation Mono" w:hAnsi="Liberation Mono"/>
                <w:sz w:val="17"/>
              </w:rPr>
              <w:t>Benchmark: SPY</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60"/>
            </w:pPr>
            <w:r>
              <w:rPr>
                <w:b/>
                <w:color w:val="1F4E78"/>
              </w:rPr>
              <w:t>Intraday limitation</w:t>
            </w:r>
          </w:p>
          <w:p>
            <w:pPr>
              <w:spacing w:after="0"/>
            </w:pPr>
            <w:r>
              <w:t>V1 is trained primarily on daily observations. During market hours, the current price can be treated as a provisional close to estimate today’s return, RSI, and distance from moving averages. The result must be labeled “intraday proxy” and confidence must be discounted because historical comparisons are end-of-day observations. Same-time intraday analogs require a separate intraday dataset and model.</w:t>
            </w:r>
          </w:p>
        </w:tc>
      </w:tr>
    </w:tbl>
    <w:p>
      <w:pPr>
        <w:pStyle w:val="Heading2"/>
      </w:pPr>
      <w:r>
        <w:t>4.3 Recommendation Card</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SMH | Tactical Long Candidate | 5 trading days</w:t>
              <w:br/>
            </w:r>
            <w:r>
              <w:rPr>
                <w:rFonts w:ascii="Liberation Mono" w:hAnsi="Liberation Mono"/>
                <w:sz w:val="17"/>
              </w:rPr>
              <w:t>As of: 2026-07-12 15:21 ET</w:t>
              <w:br/>
            </w:r>
            <w:r>
              <w:rPr>
                <w:rFonts w:ascii="Liberation Mono" w:hAnsi="Liberation Mono"/>
                <w:sz w:val="17"/>
              </w:rPr>
              <w:t>Effective analysis price: $280.90 (manual override)</w:t>
              <w:br/>
            </w:r>
            <w:r>
              <w:rPr>
                <w:rFonts w:ascii="Liberation Mono" w:hAnsi="Liberation Mono"/>
                <w:sz w:val="17"/>
              </w:rPr>
              <w:br/>
            </w:r>
            <w:r>
              <w:rPr>
                <w:rFonts w:ascii="Liberation Mono" w:hAnsi="Liberation Mono"/>
                <w:sz w:val="17"/>
              </w:rPr>
              <w:t>Probability positive: 68%</w:t>
              <w:br/>
            </w:r>
            <w:r>
              <w:rPr>
                <w:rFonts w:ascii="Liberation Mono" w:hAnsi="Liberation Mono"/>
                <w:sz w:val="17"/>
              </w:rPr>
              <w:t>Probability outperforming SPY: 61%</w:t>
              <w:br/>
            </w:r>
            <w:r>
              <w:rPr>
                <w:rFonts w:ascii="Liberation Mono" w:hAnsi="Liberation Mono"/>
                <w:sz w:val="17"/>
              </w:rPr>
              <w:t>Median expected return: +2.7%</w:t>
              <w:br/>
            </w:r>
            <w:r>
              <w:rPr>
                <w:rFonts w:ascii="Liberation Mono" w:hAnsi="Liberation Mono"/>
                <w:sz w:val="17"/>
              </w:rPr>
              <w:t>20th–80th percentile: -3.4% to +7.9%</w:t>
              <w:br/>
            </w:r>
            <w:r>
              <w:rPr>
                <w:rFonts w:ascii="Liberation Mono" w:hAnsi="Liberation Mono"/>
                <w:sz w:val="17"/>
              </w:rPr>
              <w:t>Expected maximum adverse excursion: -4.6%</w:t>
              <w:br/>
            </w:r>
            <w:r>
              <w:rPr>
                <w:rFonts w:ascii="Liberation Mono" w:hAnsi="Liberation Mono"/>
                <w:sz w:val="17"/>
              </w:rPr>
              <w:t>Independent historical episodes: 29</w:t>
              <w:br/>
            </w:r>
            <w:r>
              <w:rPr>
                <w:rFonts w:ascii="Liberation Mono" w:hAnsi="Liberation Mono"/>
                <w:sz w:val="17"/>
              </w:rPr>
              <w:t>Confidence: Moderate</w:t>
              <w:br/>
            </w:r>
            <w:r>
              <w:rPr>
                <w:rFonts w:ascii="Liberation Mono" w:hAnsi="Liberation Mono"/>
                <w:sz w:val="17"/>
              </w:rPr>
              <w:br/>
            </w:r>
            <w:r>
              <w:rPr>
                <w:rFonts w:ascii="Liberation Mono" w:hAnsi="Liberation Mono"/>
                <w:sz w:val="17"/>
              </w:rPr>
              <w:t>Why it triggered</w:t>
              <w:br/>
            </w:r>
            <w:r>
              <w:rPr>
                <w:rFonts w:ascii="Liberation Mono" w:hAnsi="Liberation Mono"/>
                <w:sz w:val="17"/>
              </w:rPr>
              <w:t>- Current decline is in SMH's worst historical 3% of days.</w:t>
              <w:br/>
            </w:r>
            <w:r>
              <w:rPr>
                <w:rFonts w:ascii="Liberation Mono" w:hAnsi="Liberation Mono"/>
                <w:sz w:val="17"/>
              </w:rPr>
              <w:t>- Provisional RSI-14 is 28.7.</w:t>
              <w:br/>
            </w:r>
            <w:r>
              <w:rPr>
                <w:rFonts w:ascii="Liberation Mono" w:hAnsi="Liberation Mono"/>
                <w:sz w:val="17"/>
              </w:rPr>
              <w:t>- Credit spreads are stable.</w:t>
              <w:br/>
            </w:r>
            <w:r>
              <w:rPr>
                <w:rFonts w:ascii="Liberation Mono" w:hAnsi="Liberation Mono"/>
                <w:sz w:val="17"/>
              </w:rPr>
              <w:t>- Treasury-rate change is supportive for duration-sensitive assets.</w:t>
              <w:br/>
            </w:r>
            <w:r>
              <w:rPr>
                <w:rFonts w:ascii="Liberation Mono" w:hAnsi="Liberation Mono"/>
                <w:sz w:val="17"/>
              </w:rPr>
              <w:t>- Semiconductors are underperforming SPY by 2.2 percentage points.</w:t>
              <w:br/>
            </w:r>
            <w:r>
              <w:rPr>
                <w:rFonts w:ascii="Liberation Mono" w:hAnsi="Liberation Mono"/>
                <w:sz w:val="17"/>
              </w:rPr>
              <w:br/>
            </w:r>
            <w:r>
              <w:rPr>
                <w:rFonts w:ascii="Liberation Mono" w:hAnsi="Liberation Mono"/>
                <w:sz w:val="17"/>
              </w:rPr>
              <w:t>Regime</w:t>
              <w:br/>
            </w:r>
            <w:r>
              <w:rPr>
                <w:rFonts w:ascii="Liberation Mono" w:hAnsi="Liberation Mono"/>
                <w:sz w:val="17"/>
              </w:rPr>
              <w:t>Growth slowing | Inflation falling | Rates stable/easing | Credit calm | Risk-off</w:t>
              <w:br/>
            </w:r>
            <w:r>
              <w:rPr>
                <w:rFonts w:ascii="Liberation Mono" w:hAnsi="Liberation Mono"/>
                <w:sz w:val="17"/>
              </w:rPr>
              <w:br/>
            </w:r>
            <w:r>
              <w:rPr>
                <w:rFonts w:ascii="Liberation Mono" w:hAnsi="Liberation Mono"/>
                <w:sz w:val="17"/>
              </w:rPr>
              <w:t>Invalidation risks</w:t>
              <w:br/>
            </w:r>
            <w:r>
              <w:rPr>
                <w:rFonts w:ascii="Liberation Mono" w:hAnsi="Liberation Mono"/>
                <w:sz w:val="17"/>
              </w:rPr>
              <w:t>- New structural semiconductor-demand shock.</w:t>
              <w:br/>
            </w:r>
            <w:r>
              <w:rPr>
                <w:rFonts w:ascii="Liberation Mono" w:hAnsi="Liberation Mono"/>
                <w:sz w:val="17"/>
              </w:rPr>
              <w:t>- Credit-spread widening.</w:t>
              <w:br/>
            </w:r>
            <w:r>
              <w:rPr>
                <w:rFonts w:ascii="Liberation Mono" w:hAnsi="Liberation Mono"/>
                <w:sz w:val="17"/>
              </w:rPr>
              <w:t>- Rate reversal.</w:t>
              <w:br/>
            </w:r>
            <w:r>
              <w:rPr>
                <w:rFonts w:ascii="Liberation Mono" w:hAnsi="Liberation Mono"/>
                <w:sz w:val="17"/>
              </w:rPr>
              <w:t>- Weak earnings revisions.</w:t>
              <w:br/>
            </w:r>
            <w:r>
              <w:rPr>
                <w:rFonts w:ascii="Liberation Mono" w:hAnsi="Liberation Mono"/>
                <w:sz w:val="17"/>
              </w:rPr>
              <w:br/>
            </w:r>
            <w:r>
              <w:rPr>
                <w:rFonts w:ascii="Liberation Mono" w:hAnsi="Liberation Mono"/>
                <w:sz w:val="17"/>
              </w:rPr>
              <w:t>Model action</w:t>
              <w:br/>
            </w:r>
            <w:r>
              <w:rPr>
                <w:rFonts w:ascii="Liberation Mono" w:hAnsi="Liberation Mono"/>
                <w:sz w:val="17"/>
              </w:rPr>
              <w:t>Moderate-conviction tactical long candidate. Consider staged entry; do not treat as certainty.</w:t>
            </w:r>
          </w:p>
        </w:tc>
      </w:tr>
    </w:tbl>
    <w:p>
      <w:pPr>
        <w:spacing w:after="0"/>
      </w:pPr>
    </w:p>
    <w:p>
      <w:pPr>
        <w:pStyle w:val="Heading2"/>
      </w:pPr>
      <w:r>
        <w:t>4.4 Decision Journal</w:t>
      </w:r>
    </w:p>
    <w:p>
      <w:pPr>
        <w:pStyle w:val="ListBullet"/>
      </w:pPr>
      <w:r>
        <w:t>Action: Buy, Sell, Hold, Watch, or Stand Down.</w:t>
      </w:r>
    </w:p>
    <w:p>
      <w:pPr>
        <w:pStyle w:val="ListBullet"/>
      </w:pPr>
      <w:r>
        <w:t>Decision timestamp and effective execution price.</w:t>
      </w:r>
    </w:p>
    <w:p>
      <w:pPr>
        <w:pStyle w:val="ListBullet"/>
      </w:pPr>
      <w:r>
        <w:t>Units, notional amount, and portfolio percentage.</w:t>
      </w:r>
    </w:p>
    <w:p>
      <w:pPr>
        <w:pStyle w:val="ListBullet"/>
      </w:pPr>
      <w:r>
        <w:t>Expected holding period and exit plan.</w:t>
      </w:r>
    </w:p>
    <w:p>
      <w:pPr>
        <w:pStyle w:val="ListBullet"/>
      </w:pPr>
      <w:r>
        <w:t>User confidence from 0 to 100.</w:t>
      </w:r>
    </w:p>
    <w:p>
      <w:pPr>
        <w:pStyle w:val="ListBullet"/>
      </w:pPr>
      <w:r>
        <w:t>Thesis and invalidation condition.</w:t>
      </w:r>
    </w:p>
    <w:p>
      <w:pPr>
        <w:pStyle w:val="ListBullet"/>
      </w:pPr>
      <w:r>
        <w:t>Reason for agreeing or disagreeing with the model.</w:t>
      </w:r>
    </w:p>
    <w:p>
      <w:pPr>
        <w:pStyle w:val="ListBullet"/>
      </w:pPr>
      <w:r>
        <w:t>Whether the user used outside information not present in the platform.</w:t>
      </w:r>
    </w:p>
    <w:p>
      <w:pPr>
        <w:pStyle w:val="ListBullet"/>
      </w:pPr>
      <w:r>
        <w:t>Optional follow-up notes and later execution records.</w:t>
      </w:r>
    </w:p>
    <w:p>
      <w:pPr>
        <w:pStyle w:val="Heading2"/>
      </w:pPr>
      <w:r>
        <w:t>4.5 Prediction Review</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Original model statement</w:t>
              <w:br/>
            </w:r>
            <w:r>
              <w:rPr>
                <w:rFonts w:ascii="Liberation Mono" w:hAnsi="Liberation Mono"/>
                <w:sz w:val="17"/>
              </w:rPr>
              <w:t>68% probability of a positive 5-day return at $280.90.</w:t>
              <w:br/>
            </w:r>
            <w:r>
              <w:rPr>
                <w:rFonts w:ascii="Liberation Mono" w:hAnsi="Liberation Mono"/>
                <w:sz w:val="17"/>
              </w:rPr>
              <w:br/>
            </w:r>
            <w:r>
              <w:rPr>
                <w:rFonts w:ascii="Liberation Mono" w:hAnsi="Liberation Mono"/>
                <w:sz w:val="17"/>
              </w:rPr>
              <w:t>User action</w:t>
              <w:br/>
            </w:r>
            <w:r>
              <w:rPr>
                <w:rFonts w:ascii="Liberation Mono" w:hAnsi="Liberation Mono"/>
                <w:sz w:val="17"/>
              </w:rPr>
              <w:t>Stood down because a major semiconductor earnings release was due the next day.</w:t>
              <w:br/>
            </w:r>
            <w:r>
              <w:rPr>
                <w:rFonts w:ascii="Liberation Mono" w:hAnsi="Liberation Mono"/>
                <w:sz w:val="17"/>
              </w:rPr>
              <w:br/>
            </w:r>
            <w:r>
              <w:rPr>
                <w:rFonts w:ascii="Liberation Mono" w:hAnsi="Liberation Mono"/>
                <w:sz w:val="17"/>
              </w:rPr>
              <w:t>What happened</w:t>
              <w:br/>
            </w:r>
            <w:r>
              <w:rPr>
                <w:rFonts w:ascii="Liberation Mono" w:hAnsi="Liberation Mono"/>
                <w:sz w:val="17"/>
              </w:rPr>
              <w:t>SMH 5-day return: -5.1%</w:t>
              <w:br/>
            </w:r>
            <w:r>
              <w:rPr>
                <w:rFonts w:ascii="Liberation Mono" w:hAnsi="Liberation Mono"/>
                <w:sz w:val="17"/>
              </w:rPr>
              <w:t>SMH relative to SPY: -3.8%</w:t>
              <w:br/>
            </w:r>
            <w:r>
              <w:rPr>
                <w:rFonts w:ascii="Liberation Mono" w:hAnsi="Liberation Mono"/>
                <w:sz w:val="17"/>
              </w:rPr>
              <w:t>Maximum adverse excursion: -7.0%</w:t>
              <w:br/>
            </w:r>
            <w:r>
              <w:rPr>
                <w:rFonts w:ascii="Liberation Mono" w:hAnsi="Liberation Mono"/>
                <w:sz w:val="17"/>
              </w:rPr>
              <w:br/>
            </w:r>
            <w:r>
              <w:rPr>
                <w:rFonts w:ascii="Liberation Mono" w:hAnsi="Liberation Mono"/>
                <w:sz w:val="17"/>
              </w:rPr>
              <w:t>Evaluation</w:t>
              <w:br/>
            </w:r>
            <w:r>
              <w:rPr>
                <w:rFonts w:ascii="Liberation Mono" w:hAnsi="Liberation Mono"/>
                <w:sz w:val="17"/>
              </w:rPr>
              <w:t>Model: incorrect and overconfident for this event.</w:t>
              <w:br/>
            </w:r>
            <w:r>
              <w:rPr>
                <w:rFonts w:ascii="Liberation Mono" w:hAnsi="Liberation Mono"/>
                <w:sz w:val="17"/>
              </w:rPr>
              <w:t>User: stand-down preserved capital.</w:t>
              <w:br/>
            </w:r>
            <w:r>
              <w:rPr>
                <w:rFonts w:ascii="Liberation Mono" w:hAnsi="Liberation Mono"/>
                <w:sz w:val="17"/>
              </w:rPr>
              <w:t>Combined: user override added value.</w:t>
              <w:br/>
            </w:r>
            <w:r>
              <w:rPr>
                <w:rFonts w:ascii="Liberation Mono" w:hAnsi="Liberation Mono"/>
                <w:sz w:val="17"/>
              </w:rPr>
              <w:t>Potential lesson: binary earnings-event risk was not adequately represented.</w:t>
              <w:br/>
            </w:r>
            <w:r>
              <w:rPr>
                <w:rFonts w:ascii="Liberation Mono" w:hAnsi="Liberation Mono"/>
                <w:sz w:val="17"/>
              </w:rPr>
              <w:t>Status: research finding only; no automatic production-model change.</w:t>
            </w:r>
          </w:p>
        </w:tc>
      </w:tr>
    </w:tbl>
    <w:p>
      <w:pPr>
        <w:spacing w:after="0"/>
      </w:pPr>
    </w:p>
    <w:p>
      <w:r>
        <w:br w:type="page"/>
      </w:r>
    </w:p>
    <w:p>
      <w:pPr>
        <w:pStyle w:val="Heading1"/>
      </w:pPr>
      <w:r>
        <w:t>5. Price Retrieval and User-Price Override</w:t>
      </w:r>
    </w:p>
    <w:p>
      <w:pPr>
        <w:pStyle w:val="Heading2"/>
      </w:pPr>
      <w:r>
        <w:t>5.1 Required Behavior</w:t>
      </w:r>
    </w:p>
    <w:p>
      <w:pPr>
        <w:ind w:left="346" w:hanging="346"/>
      </w:pPr>
      <w:r>
        <w:rPr>
          <w:b w:val="0"/>
        </w:rPr>
        <w:t xml:space="preserve">1. </w:t>
      </w:r>
      <w:r>
        <w:t>Resolve the ticker against the asset table.</w:t>
      </w:r>
    </w:p>
    <w:p>
      <w:pPr>
        <w:ind w:left="346" w:hanging="346"/>
      </w:pPr>
      <w:r>
        <w:rPr>
          <w:b w:val="0"/>
        </w:rPr>
        <w:t xml:space="preserve">2. </w:t>
      </w:r>
      <w:r>
        <w:t>Attempt to fetch the latest available quote through the configured provider adapter.</w:t>
      </w:r>
    </w:p>
    <w:p>
      <w:pPr>
        <w:ind w:left="346" w:hanging="346"/>
      </w:pPr>
      <w:r>
        <w:rPr>
          <w:b w:val="0"/>
        </w:rPr>
        <w:t xml:space="preserve">3. </w:t>
      </w:r>
      <w:r>
        <w:t>Display price, market status, provider timestamp, retrieval timestamp, delay/staleness, and source.</w:t>
      </w:r>
    </w:p>
    <w:p>
      <w:pPr>
        <w:ind w:left="346" w:hanging="346"/>
      </w:pPr>
      <w:r>
        <w:rPr>
          <w:b w:val="0"/>
        </w:rPr>
        <w:t xml:space="preserve">4. </w:t>
      </w:r>
      <w:r>
        <w:t>Allow the user to accept the quote, refresh, or enter another price.</w:t>
      </w:r>
    </w:p>
    <w:p>
      <w:pPr>
        <w:ind w:left="346" w:hanging="346"/>
      </w:pPr>
      <w:r>
        <w:rPr>
          <w:b w:val="0"/>
        </w:rPr>
        <w:t xml:space="preserve">5. </w:t>
      </w:r>
      <w:r>
        <w:t>Store the provider quote and manual input in separate fields.</w:t>
      </w:r>
    </w:p>
    <w:p>
      <w:pPr>
        <w:ind w:left="346" w:hanging="346"/>
      </w:pPr>
      <w:r>
        <w:rPr>
          <w:b w:val="0"/>
        </w:rPr>
        <w:t xml:space="preserve">6. </w:t>
      </w:r>
      <w:r>
        <w:t>Set effective_analysis_price to the accepted or overridden value.</w:t>
      </w:r>
    </w:p>
    <w:p>
      <w:pPr>
        <w:ind w:left="346" w:hanging="346"/>
      </w:pPr>
      <w:r>
        <w:rPr>
          <w:b w:val="0"/>
        </w:rPr>
        <w:t xml:space="preserve">7. </w:t>
      </w:r>
      <w:r>
        <w:t>Create an immutable quote snapshot linked to the forecast run.</w:t>
      </w:r>
    </w:p>
    <w:p>
      <w:pPr>
        <w:ind w:left="346" w:hanging="346"/>
      </w:pPr>
      <w:r>
        <w:rPr>
          <w:b w:val="0"/>
        </w:rPr>
        <w:t xml:space="preserve">8. </w:t>
      </w:r>
      <w:r>
        <w:t>If provider retrieval fails, continue with manual input instead of blocking analysis.</w:t>
      </w:r>
    </w:p>
    <w:p>
      <w:pPr>
        <w:ind w:left="346" w:hanging="346"/>
      </w:pPr>
      <w:r>
        <w:rPr>
          <w:b w:val="0"/>
        </w:rPr>
        <w:t xml:space="preserve">9. </w:t>
      </w:r>
      <w:r>
        <w:t>If neither a valid quote nor manual price is available, do not make a recommendation.</w:t>
      </w:r>
    </w:p>
    <w:p>
      <w:pPr>
        <w:pStyle w:val="Heading2"/>
      </w:pPr>
      <w:r>
        <w:t>5.2 Provider Abstraction</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interface MarketPriceProvider {</w:t>
              <w:br/>
            </w:r>
            <w:r>
              <w:rPr>
                <w:rFonts w:ascii="Liberation Mono" w:hAnsi="Liberation Mono"/>
                <w:sz w:val="17"/>
              </w:rPr>
              <w:t xml:space="preserve">  name: string;</w:t>
              <w:br/>
            </w:r>
            <w:r>
              <w:rPr>
                <w:rFonts w:ascii="Liberation Mono" w:hAnsi="Liberation Mono"/>
                <w:sz w:val="17"/>
              </w:rPr>
              <w:t xml:space="preserve">  getQuote(symbol: string): Promise&lt;QuoteResult&gt;;</w:t>
              <w:br/>
            </w:r>
            <w:r>
              <w:rPr>
                <w:rFonts w:ascii="Liberation Mono" w:hAnsi="Liberation Mono"/>
                <w:sz w:val="17"/>
              </w:rPr>
              <w:t xml:space="preserve">  getDailyBars(symbol: string, start: string, end: string): Promise&lt;PriceBar[]&gt;;</w:t>
              <w:br/>
            </w:r>
            <w:r>
              <w:rPr>
                <w:rFonts w:ascii="Liberation Mono" w:hAnsi="Liberation Mono"/>
                <w:sz w:val="17"/>
              </w:rPr>
              <w:t>}</w:t>
              <w:br/>
            </w:r>
            <w:r>
              <w:rPr>
                <w:rFonts w:ascii="Liberation Mono" w:hAnsi="Liberation Mono"/>
                <w:sz w:val="17"/>
              </w:rPr>
              <w:br/>
            </w:r>
            <w:r>
              <w:rPr>
                <w:rFonts w:ascii="Liberation Mono" w:hAnsi="Liberation Mono"/>
                <w:sz w:val="17"/>
              </w:rPr>
              <w:t>type QuoteResult = {</w:t>
              <w:br/>
            </w:r>
            <w:r>
              <w:rPr>
                <w:rFonts w:ascii="Liberation Mono" w:hAnsi="Liberation Mono"/>
                <w:sz w:val="17"/>
              </w:rPr>
              <w:t xml:space="preserve">  symbol: string;</w:t>
              <w:br/>
            </w:r>
            <w:r>
              <w:rPr>
                <w:rFonts w:ascii="Liberation Mono" w:hAnsi="Liberation Mono"/>
                <w:sz w:val="17"/>
              </w:rPr>
              <w:t xml:space="preserve">  price: number;</w:t>
              <w:br/>
            </w:r>
            <w:r>
              <w:rPr>
                <w:rFonts w:ascii="Liberation Mono" w:hAnsi="Liberation Mono"/>
                <w:sz w:val="17"/>
              </w:rPr>
              <w:t xml:space="preserve">  currency: string;</w:t>
              <w:br/>
            </w:r>
            <w:r>
              <w:rPr>
                <w:rFonts w:ascii="Liberation Mono" w:hAnsi="Liberation Mono"/>
                <w:sz w:val="17"/>
              </w:rPr>
              <w:t xml:space="preserve">  providerTimestamp: string | null;</w:t>
              <w:br/>
            </w:r>
            <w:r>
              <w:rPr>
                <w:rFonts w:ascii="Liberation Mono" w:hAnsi="Liberation Mono"/>
                <w:sz w:val="17"/>
              </w:rPr>
              <w:t xml:space="preserve">  retrievedAt: string;</w:t>
              <w:br/>
            </w:r>
            <w:r>
              <w:rPr>
                <w:rFonts w:ascii="Liberation Mono" w:hAnsi="Liberation Mono"/>
                <w:sz w:val="17"/>
              </w:rPr>
              <w:t xml:space="preserve">  marketStatus: 'open' | 'closed' | 'pre' | 'post' | 'unknown';</w:t>
              <w:br/>
            </w:r>
            <w:r>
              <w:rPr>
                <w:rFonts w:ascii="Liberation Mono" w:hAnsi="Liberation Mono"/>
                <w:sz w:val="17"/>
              </w:rPr>
              <w:t xml:space="preserve">  delaySeconds: number | null;</w:t>
              <w:br/>
            </w:r>
            <w:r>
              <w:rPr>
                <w:rFonts w:ascii="Liberation Mono" w:hAnsi="Liberation Mono"/>
                <w:sz w:val="17"/>
              </w:rPr>
              <w:t xml:space="preserve">  isIndicative: boolean;</w:t>
              <w:br/>
            </w:r>
            <w:r>
              <w:rPr>
                <w:rFonts w:ascii="Liberation Mono" w:hAnsi="Liberation Mono"/>
                <w:sz w:val="17"/>
              </w:rPr>
              <w:t xml:space="preserve">  rawPayloadHash: string;</w:t>
              <w:br/>
            </w:r>
            <w:r>
              <w:rPr>
                <w:rFonts w:ascii="Liberation Mono" w:hAnsi="Liberation Mono"/>
                <w:sz w:val="17"/>
              </w:rPr>
              <w:t>};</w:t>
            </w:r>
          </w:p>
        </w:tc>
      </w:tr>
    </w:tbl>
    <w:p>
      <w:pPr>
        <w:spacing w:after="0"/>
      </w:pPr>
    </w:p>
    <w:p>
      <w:pPr>
        <w:pStyle w:val="ListBullet"/>
      </w:pPr>
      <w:r>
        <w:t>Implement one provider first, but never couple business logic to its response schema.</w:t>
      </w:r>
    </w:p>
    <w:p>
      <w:pPr>
        <w:pStyle w:val="ListBullet"/>
      </w:pPr>
      <w:r>
        <w:t>Support environment-based switching: MARKET_DATA_PROVIDER=alpha_vantage, twelve_data, mock, or manual.</w:t>
      </w:r>
    </w:p>
    <w:p>
      <w:pPr>
        <w:pStyle w:val="ListBullet"/>
      </w:pPr>
      <w:r>
        <w:t>Implement a deterministic MockPriceProvider for tests.</w:t>
      </w:r>
    </w:p>
    <w:p>
      <w:pPr>
        <w:pStyle w:val="ListBullet"/>
      </w:pPr>
      <w:r>
        <w:t>Do not silently scrape consumer finance websites in production code.</w:t>
      </w:r>
    </w:p>
    <w:p>
      <w:pPr>
        <w:pStyle w:val="ListBullet"/>
      </w:pPr>
      <w:r>
        <w:t>Cache quotes briefly to avoid unnecessary API calls, but allow explicit refresh.</w:t>
      </w:r>
    </w:p>
    <w:p>
      <w:pPr>
        <w:pStyle w:val="Heading2"/>
      </w:pPr>
      <w:r>
        <w:t>5.3 Intraday Feature Construction</w:t>
      </w:r>
    </w:p>
    <w:p>
      <w:r>
        <w:rPr>
          <w:i w:val="0"/>
        </w:rPr>
        <w:t>For on-demand analysis during the session, use the previous completed close plus the effective analysis price to produce provisional daily features:</w:t>
      </w:r>
    </w:p>
    <w:p>
      <w:pPr>
        <w:pStyle w:val="ListBullet"/>
      </w:pPr>
      <w:r>
        <w:t>Provisional daily return.</w:t>
      </w:r>
    </w:p>
    <w:p>
      <w:pPr>
        <w:pStyle w:val="ListBullet"/>
      </w:pPr>
      <w:r>
        <w:t>Provisional RSI-14.</w:t>
      </w:r>
    </w:p>
    <w:p>
      <w:pPr>
        <w:pStyle w:val="ListBullet"/>
      </w:pPr>
      <w:r>
        <w:t>Distance to 20-, 50-, and 200-day moving averages.</w:t>
      </w:r>
    </w:p>
    <w:p>
      <w:pPr>
        <w:pStyle w:val="ListBullet"/>
      </w:pPr>
      <w:r>
        <w:t>Current drawdown from trailing peak.</w:t>
      </w:r>
    </w:p>
    <w:p>
      <w:pPr>
        <w:pStyle w:val="ListBullet"/>
      </w:pPr>
      <w:r>
        <w:t>Relative same-day movement versus SPY and relevant sector peers when same-timestamp quotes are available.</w:t>
      </w:r>
    </w:p>
    <w:p>
      <w:pPr>
        <w:pStyle w:val="ListBullet"/>
      </w:pPr>
      <w:r>
        <w:t>Provisional volume features only if trustworthy current volume is supplied.</w:t>
      </w:r>
    </w:p>
    <w:p>
      <w:pPr>
        <w:pStyle w:val="ListBullet"/>
      </w:pPr>
      <w:r>
        <w:t>An intraday_proxy boolean and confidence_discount field.</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60"/>
            </w:pPr>
            <w:r>
              <w:rPr>
                <w:b/>
                <w:color w:val="1F4E78"/>
              </w:rPr>
              <w:t>Do not create false precision</w:t>
            </w:r>
          </w:p>
          <w:p>
            <w:pPr>
              <w:spacing w:after="0"/>
            </w:pPr>
            <w:r>
              <w:t>If the quote is delayed, the benchmark quote has a different timestamp, or current volume is unavailable, omit or penalize those features. The recommendation card should show these limitations rather than silently substituting data.</w:t>
            </w:r>
          </w:p>
        </w:tc>
      </w:tr>
    </w:tbl>
    <w:p>
      <w:r>
        <w:br w:type="page"/>
      </w:r>
    </w:p>
    <w:p>
      <w:pPr>
        <w:pStyle w:val="Heading1"/>
      </w:pPr>
      <w:r>
        <w:t>6. Data Scope and ETF Universe</w:t>
      </w:r>
    </w:p>
    <w:p>
      <w:pPr>
        <w:pStyle w:val="Heading2"/>
      </w:pPr>
      <w:r>
        <w:t>6.1 Initial Universe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12"/>
            <w:shd w:fill="1F4E78"/>
          </w:tcPr>
          <w:p>
            <w:r>
              <w:rPr>
                <w:b/>
                <w:color w:val="FFFFFF"/>
                <w:sz w:val="16"/>
              </w:rPr>
              <w:t>Category</w:t>
            </w:r>
          </w:p>
        </w:tc>
        <w:tc>
          <w:tcPr>
            <w:tcW w:type="dxa" w:w="2376"/>
            <w:shd w:fill="1F4E78"/>
          </w:tcPr>
          <w:p>
            <w:r>
              <w:rPr>
                <w:b/>
                <w:color w:val="FFFFFF"/>
                <w:sz w:val="16"/>
              </w:rPr>
              <w:t>Purpose</w:t>
            </w:r>
          </w:p>
        </w:tc>
        <w:tc>
          <w:tcPr>
            <w:tcW w:type="dxa" w:w="3528"/>
            <w:shd w:fill="1F4E78"/>
          </w:tcPr>
          <w:p>
            <w:r>
              <w:rPr>
                <w:b/>
                <w:color w:val="FFFFFF"/>
                <w:sz w:val="16"/>
              </w:rPr>
              <w:t>Representative ETFs</w:t>
            </w:r>
          </w:p>
        </w:tc>
        <w:tc>
          <w:tcPr>
            <w:tcW w:type="dxa" w:w="2016"/>
            <w:shd w:fill="1F4E78"/>
          </w:tcPr>
          <w:p>
            <w:r>
              <w:rPr>
                <w:b/>
                <w:color w:val="FFFFFF"/>
                <w:sz w:val="16"/>
              </w:rPr>
              <w:t>MVP guidance</w:t>
            </w:r>
          </w:p>
        </w:tc>
      </w:tr>
      <w:tr>
        <w:tc>
          <w:tcPr>
            <w:tcW w:type="dxa" w:w="1512"/>
            <w:vAlign w:val="top"/>
            <w:tcMar>
              <w:top w:w="60" w:type="dxa"/>
              <w:start w:w="70" w:type="dxa"/>
              <w:bottom w:w="60" w:type="dxa"/>
              <w:end w:w="70" w:type="dxa"/>
            </w:tcMar>
          </w:tcPr>
          <w:p>
            <w:r>
              <w:rPr>
                <w:sz w:val="15"/>
              </w:rPr>
              <w:t>Broad market</w:t>
            </w:r>
          </w:p>
        </w:tc>
        <w:tc>
          <w:tcPr>
            <w:tcW w:type="dxa" w:w="2376"/>
            <w:vAlign w:val="top"/>
            <w:tcMar>
              <w:top w:w="60" w:type="dxa"/>
              <w:start w:w="70" w:type="dxa"/>
              <w:bottom w:w="60" w:type="dxa"/>
              <w:end w:w="70" w:type="dxa"/>
            </w:tcMar>
          </w:tcPr>
          <w:p>
            <w:r>
              <w:rPr>
                <w:sz w:val="15"/>
              </w:rPr>
              <w:t>Core risk appetite and benchmark</w:t>
            </w:r>
          </w:p>
        </w:tc>
        <w:tc>
          <w:tcPr>
            <w:tcW w:type="dxa" w:w="3528"/>
            <w:vAlign w:val="top"/>
            <w:tcMar>
              <w:top w:w="60" w:type="dxa"/>
              <w:start w:w="70" w:type="dxa"/>
              <w:bottom w:w="60" w:type="dxa"/>
              <w:end w:w="70" w:type="dxa"/>
            </w:tcMar>
          </w:tcPr>
          <w:p>
            <w:r>
              <w:rPr>
                <w:sz w:val="15"/>
              </w:rPr>
              <w:t>SPY, QQQ, IWM, DIA</w:t>
            </w:r>
          </w:p>
        </w:tc>
        <w:tc>
          <w:tcPr>
            <w:tcW w:type="dxa" w:w="2016"/>
            <w:vAlign w:val="top"/>
            <w:tcMar>
              <w:top w:w="60" w:type="dxa"/>
              <w:start w:w="70" w:type="dxa"/>
              <w:bottom w:w="60" w:type="dxa"/>
              <w:end w:w="70" w:type="dxa"/>
            </w:tcMar>
          </w:tcPr>
          <w:p>
            <w:r>
              <w:rPr>
                <w:sz w:val="15"/>
              </w:rPr>
              <w:t>Required</w:t>
            </w:r>
          </w:p>
        </w:tc>
      </w:tr>
      <w:tr>
        <w:tc>
          <w:tcPr>
            <w:tcW w:type="dxa" w:w="1512"/>
            <w:vAlign w:val="top"/>
            <w:tcMar>
              <w:top w:w="60" w:type="dxa"/>
              <w:start w:w="70" w:type="dxa"/>
              <w:bottom w:w="60" w:type="dxa"/>
              <w:end w:w="70" w:type="dxa"/>
            </w:tcMar>
          </w:tcPr>
          <w:p>
            <w:r>
              <w:rPr>
                <w:sz w:val="15"/>
              </w:rPr>
              <w:t>Size/style</w:t>
            </w:r>
          </w:p>
        </w:tc>
        <w:tc>
          <w:tcPr>
            <w:tcW w:type="dxa" w:w="2376"/>
            <w:vAlign w:val="top"/>
            <w:tcMar>
              <w:top w:w="60" w:type="dxa"/>
              <w:start w:w="70" w:type="dxa"/>
              <w:bottom w:w="60" w:type="dxa"/>
              <w:end w:w="70" w:type="dxa"/>
            </w:tcMar>
          </w:tcPr>
          <w:p>
            <w:r>
              <w:rPr>
                <w:sz w:val="15"/>
              </w:rPr>
              <w:t>Size and factor rotation</w:t>
            </w:r>
          </w:p>
        </w:tc>
        <w:tc>
          <w:tcPr>
            <w:tcW w:type="dxa" w:w="3528"/>
            <w:vAlign w:val="top"/>
            <w:tcMar>
              <w:top w:w="60" w:type="dxa"/>
              <w:start w:w="70" w:type="dxa"/>
              <w:bottom w:w="60" w:type="dxa"/>
              <w:end w:w="70" w:type="dxa"/>
            </w:tcMar>
          </w:tcPr>
          <w:p>
            <w:r>
              <w:rPr>
                <w:sz w:val="15"/>
              </w:rPr>
              <w:t>IWB, IWM, IWD, IWF, MTUM, QUAL, USMV</w:t>
            </w:r>
          </w:p>
        </w:tc>
        <w:tc>
          <w:tcPr>
            <w:tcW w:type="dxa" w:w="2016"/>
            <w:vAlign w:val="top"/>
            <w:tcMar>
              <w:top w:w="60" w:type="dxa"/>
              <w:start w:w="70" w:type="dxa"/>
              <w:bottom w:w="60" w:type="dxa"/>
              <w:end w:w="70" w:type="dxa"/>
            </w:tcMar>
          </w:tcPr>
          <w:p>
            <w:r>
              <w:rPr>
                <w:sz w:val="15"/>
              </w:rPr>
              <w:t>Required subset</w:t>
            </w:r>
          </w:p>
        </w:tc>
      </w:tr>
      <w:tr>
        <w:tc>
          <w:tcPr>
            <w:tcW w:type="dxa" w:w="1512"/>
            <w:vAlign w:val="top"/>
            <w:tcMar>
              <w:top w:w="60" w:type="dxa"/>
              <w:start w:w="70" w:type="dxa"/>
              <w:bottom w:w="60" w:type="dxa"/>
              <w:end w:w="70" w:type="dxa"/>
            </w:tcMar>
          </w:tcPr>
          <w:p>
            <w:r>
              <w:rPr>
                <w:sz w:val="15"/>
              </w:rPr>
              <w:t>Sectors</w:t>
            </w:r>
          </w:p>
        </w:tc>
        <w:tc>
          <w:tcPr>
            <w:tcW w:type="dxa" w:w="2376"/>
            <w:vAlign w:val="top"/>
            <w:tcMar>
              <w:top w:w="60" w:type="dxa"/>
              <w:start w:w="70" w:type="dxa"/>
              <w:bottom w:w="60" w:type="dxa"/>
              <w:end w:w="70" w:type="dxa"/>
            </w:tcMar>
          </w:tcPr>
          <w:p>
            <w:r>
              <w:rPr>
                <w:sz w:val="15"/>
              </w:rPr>
              <w:t>Sector opportunities</w:t>
            </w:r>
          </w:p>
        </w:tc>
        <w:tc>
          <w:tcPr>
            <w:tcW w:type="dxa" w:w="3528"/>
            <w:vAlign w:val="top"/>
            <w:tcMar>
              <w:top w:w="60" w:type="dxa"/>
              <w:start w:w="70" w:type="dxa"/>
              <w:bottom w:w="60" w:type="dxa"/>
              <w:end w:w="70" w:type="dxa"/>
            </w:tcMar>
          </w:tcPr>
          <w:p>
            <w:r>
              <w:rPr>
                <w:sz w:val="15"/>
              </w:rPr>
              <w:t>XLK, XLF, XLE, XLV, XLI, XLU, XLP, XLY, XLRE, XLB, XLC</w:t>
            </w:r>
          </w:p>
        </w:tc>
        <w:tc>
          <w:tcPr>
            <w:tcW w:type="dxa" w:w="2016"/>
            <w:vAlign w:val="top"/>
            <w:tcMar>
              <w:top w:w="60" w:type="dxa"/>
              <w:start w:w="70" w:type="dxa"/>
              <w:bottom w:w="60" w:type="dxa"/>
              <w:end w:w="70" w:type="dxa"/>
            </w:tcMar>
          </w:tcPr>
          <w:p>
            <w:r>
              <w:rPr>
                <w:sz w:val="15"/>
              </w:rPr>
              <w:t>Required</w:t>
            </w:r>
          </w:p>
        </w:tc>
      </w:tr>
      <w:tr>
        <w:tc>
          <w:tcPr>
            <w:tcW w:type="dxa" w:w="1512"/>
            <w:vAlign w:val="top"/>
            <w:tcMar>
              <w:top w:w="60" w:type="dxa"/>
              <w:start w:w="70" w:type="dxa"/>
              <w:bottom w:w="60" w:type="dxa"/>
              <w:end w:w="70" w:type="dxa"/>
            </w:tcMar>
          </w:tcPr>
          <w:p>
            <w:r>
              <w:rPr>
                <w:sz w:val="15"/>
              </w:rPr>
              <w:t>Semiconductors</w:t>
            </w:r>
          </w:p>
        </w:tc>
        <w:tc>
          <w:tcPr>
            <w:tcW w:type="dxa" w:w="2376"/>
            <w:vAlign w:val="top"/>
            <w:tcMar>
              <w:top w:w="60" w:type="dxa"/>
              <w:start w:w="70" w:type="dxa"/>
              <w:bottom w:w="60" w:type="dxa"/>
              <w:end w:w="70" w:type="dxa"/>
            </w:tcMar>
          </w:tcPr>
          <w:p>
            <w:r>
              <w:rPr>
                <w:sz w:val="15"/>
              </w:rPr>
              <w:t>Initial example and cyclical signal testing</w:t>
            </w:r>
          </w:p>
        </w:tc>
        <w:tc>
          <w:tcPr>
            <w:tcW w:type="dxa" w:w="3528"/>
            <w:vAlign w:val="top"/>
            <w:tcMar>
              <w:top w:w="60" w:type="dxa"/>
              <w:start w:w="70" w:type="dxa"/>
              <w:bottom w:w="60" w:type="dxa"/>
              <w:end w:w="70" w:type="dxa"/>
            </w:tcMar>
          </w:tcPr>
          <w:p>
            <w:r>
              <w:rPr>
                <w:sz w:val="15"/>
              </w:rPr>
              <w:t>SMH, SOXX, XSD</w:t>
            </w:r>
          </w:p>
        </w:tc>
        <w:tc>
          <w:tcPr>
            <w:tcW w:type="dxa" w:w="2016"/>
            <w:vAlign w:val="top"/>
            <w:tcMar>
              <w:top w:w="60" w:type="dxa"/>
              <w:start w:w="70" w:type="dxa"/>
              <w:bottom w:w="60" w:type="dxa"/>
              <w:end w:w="70" w:type="dxa"/>
            </w:tcMar>
          </w:tcPr>
          <w:p>
            <w:r>
              <w:rPr>
                <w:sz w:val="15"/>
              </w:rPr>
              <w:t>Required</w:t>
            </w:r>
          </w:p>
        </w:tc>
      </w:tr>
      <w:tr>
        <w:tc>
          <w:tcPr>
            <w:tcW w:type="dxa" w:w="1512"/>
            <w:vAlign w:val="top"/>
            <w:tcMar>
              <w:top w:w="60" w:type="dxa"/>
              <w:start w:w="70" w:type="dxa"/>
              <w:bottom w:w="60" w:type="dxa"/>
              <w:end w:w="70" w:type="dxa"/>
            </w:tcMar>
          </w:tcPr>
          <w:p>
            <w:r>
              <w:rPr>
                <w:sz w:val="15"/>
              </w:rPr>
              <w:t>International</w:t>
            </w:r>
          </w:p>
        </w:tc>
        <w:tc>
          <w:tcPr>
            <w:tcW w:type="dxa" w:w="2376"/>
            <w:vAlign w:val="top"/>
            <w:tcMar>
              <w:top w:w="60" w:type="dxa"/>
              <w:start w:w="70" w:type="dxa"/>
              <w:bottom w:w="60" w:type="dxa"/>
              <w:end w:w="70" w:type="dxa"/>
            </w:tcMar>
          </w:tcPr>
          <w:p>
            <w:r>
              <w:rPr>
                <w:sz w:val="15"/>
              </w:rPr>
              <w:t>Global risk and regional rotation</w:t>
            </w:r>
          </w:p>
        </w:tc>
        <w:tc>
          <w:tcPr>
            <w:tcW w:type="dxa" w:w="3528"/>
            <w:vAlign w:val="top"/>
            <w:tcMar>
              <w:top w:w="60" w:type="dxa"/>
              <w:start w:w="70" w:type="dxa"/>
              <w:bottom w:w="60" w:type="dxa"/>
              <w:end w:w="70" w:type="dxa"/>
            </w:tcMar>
          </w:tcPr>
          <w:p>
            <w:r>
              <w:rPr>
                <w:sz w:val="15"/>
              </w:rPr>
              <w:t>EFA, EEM, EWJ, FEZ, MCHI</w:t>
            </w:r>
          </w:p>
        </w:tc>
        <w:tc>
          <w:tcPr>
            <w:tcW w:type="dxa" w:w="2016"/>
            <w:vAlign w:val="top"/>
            <w:tcMar>
              <w:top w:w="60" w:type="dxa"/>
              <w:start w:w="70" w:type="dxa"/>
              <w:bottom w:w="60" w:type="dxa"/>
              <w:end w:w="70" w:type="dxa"/>
            </w:tcMar>
          </w:tcPr>
          <w:p>
            <w:r>
              <w:rPr>
                <w:sz w:val="15"/>
              </w:rPr>
              <w:t>Optional subset</w:t>
            </w:r>
          </w:p>
        </w:tc>
      </w:tr>
      <w:tr>
        <w:tc>
          <w:tcPr>
            <w:tcW w:type="dxa" w:w="1512"/>
            <w:vAlign w:val="top"/>
            <w:tcMar>
              <w:top w:w="60" w:type="dxa"/>
              <w:start w:w="70" w:type="dxa"/>
              <w:bottom w:w="60" w:type="dxa"/>
              <w:end w:w="70" w:type="dxa"/>
            </w:tcMar>
          </w:tcPr>
          <w:p>
            <w:r>
              <w:rPr>
                <w:sz w:val="15"/>
              </w:rPr>
              <w:t>Rates/credit</w:t>
            </w:r>
          </w:p>
        </w:tc>
        <w:tc>
          <w:tcPr>
            <w:tcW w:type="dxa" w:w="2376"/>
            <w:vAlign w:val="top"/>
            <w:tcMar>
              <w:top w:w="60" w:type="dxa"/>
              <w:start w:w="70" w:type="dxa"/>
              <w:bottom w:w="60" w:type="dxa"/>
              <w:end w:w="70" w:type="dxa"/>
            </w:tcMar>
          </w:tcPr>
          <w:p>
            <w:r>
              <w:rPr>
                <w:sz w:val="15"/>
              </w:rPr>
              <w:t>Macro regime and cross-asset signals</w:t>
            </w:r>
          </w:p>
        </w:tc>
        <w:tc>
          <w:tcPr>
            <w:tcW w:type="dxa" w:w="3528"/>
            <w:vAlign w:val="top"/>
            <w:tcMar>
              <w:top w:w="60" w:type="dxa"/>
              <w:start w:w="70" w:type="dxa"/>
              <w:bottom w:w="60" w:type="dxa"/>
              <w:end w:w="70" w:type="dxa"/>
            </w:tcMar>
          </w:tcPr>
          <w:p>
            <w:r>
              <w:rPr>
                <w:sz w:val="15"/>
              </w:rPr>
              <w:t>SHY, IEF, TLT, LQD, HYG</w:t>
            </w:r>
          </w:p>
        </w:tc>
        <w:tc>
          <w:tcPr>
            <w:tcW w:type="dxa" w:w="2016"/>
            <w:vAlign w:val="top"/>
            <w:tcMar>
              <w:top w:w="60" w:type="dxa"/>
              <w:start w:w="70" w:type="dxa"/>
              <w:bottom w:w="60" w:type="dxa"/>
              <w:end w:w="70" w:type="dxa"/>
            </w:tcMar>
          </w:tcPr>
          <w:p>
            <w:r>
              <w:rPr>
                <w:sz w:val="15"/>
              </w:rPr>
              <w:t>Required</w:t>
            </w:r>
          </w:p>
        </w:tc>
      </w:tr>
      <w:tr>
        <w:tc>
          <w:tcPr>
            <w:tcW w:type="dxa" w:w="1512"/>
            <w:vAlign w:val="top"/>
            <w:tcMar>
              <w:top w:w="60" w:type="dxa"/>
              <w:start w:w="70" w:type="dxa"/>
              <w:bottom w:w="60" w:type="dxa"/>
              <w:end w:w="70" w:type="dxa"/>
            </w:tcMar>
          </w:tcPr>
          <w:p>
            <w:r>
              <w:rPr>
                <w:sz w:val="15"/>
              </w:rPr>
              <w:t>Commodities</w:t>
            </w:r>
          </w:p>
        </w:tc>
        <w:tc>
          <w:tcPr>
            <w:tcW w:type="dxa" w:w="2376"/>
            <w:vAlign w:val="top"/>
            <w:tcMar>
              <w:top w:w="60" w:type="dxa"/>
              <w:start w:w="70" w:type="dxa"/>
              <w:bottom w:w="60" w:type="dxa"/>
              <w:end w:w="70" w:type="dxa"/>
            </w:tcMar>
          </w:tcPr>
          <w:p>
            <w:r>
              <w:rPr>
                <w:sz w:val="15"/>
              </w:rPr>
              <w:t>Inflation and real-asset regimes</w:t>
            </w:r>
          </w:p>
        </w:tc>
        <w:tc>
          <w:tcPr>
            <w:tcW w:type="dxa" w:w="3528"/>
            <w:vAlign w:val="top"/>
            <w:tcMar>
              <w:top w:w="60" w:type="dxa"/>
              <w:start w:w="70" w:type="dxa"/>
              <w:bottom w:w="60" w:type="dxa"/>
              <w:end w:w="70" w:type="dxa"/>
            </w:tcMar>
          </w:tcPr>
          <w:p>
            <w:r>
              <w:rPr>
                <w:sz w:val="15"/>
              </w:rPr>
              <w:t>GLD, SLV, USO, CPER, DBA</w:t>
            </w:r>
          </w:p>
        </w:tc>
        <w:tc>
          <w:tcPr>
            <w:tcW w:type="dxa" w:w="2016"/>
            <w:vAlign w:val="top"/>
            <w:tcMar>
              <w:top w:w="60" w:type="dxa"/>
              <w:start w:w="70" w:type="dxa"/>
              <w:bottom w:w="60" w:type="dxa"/>
              <w:end w:w="70" w:type="dxa"/>
            </w:tcMar>
          </w:tcPr>
          <w:p>
            <w:r>
              <w:rPr>
                <w:sz w:val="15"/>
              </w:rPr>
              <w:t>Optional subset</w:t>
            </w:r>
          </w:p>
        </w:tc>
      </w:tr>
      <w:tr>
        <w:tc>
          <w:tcPr>
            <w:tcW w:type="dxa" w:w="1512"/>
            <w:vAlign w:val="top"/>
            <w:tcMar>
              <w:top w:w="60" w:type="dxa"/>
              <w:start w:w="70" w:type="dxa"/>
              <w:bottom w:w="60" w:type="dxa"/>
              <w:end w:w="70" w:type="dxa"/>
            </w:tcMar>
          </w:tcPr>
          <w:p>
            <w:r>
              <w:rPr>
                <w:sz w:val="15"/>
              </w:rPr>
              <w:t>Themes</w:t>
            </w:r>
          </w:p>
        </w:tc>
        <w:tc>
          <w:tcPr>
            <w:tcW w:type="dxa" w:w="2376"/>
            <w:vAlign w:val="top"/>
            <w:tcMar>
              <w:top w:w="60" w:type="dxa"/>
              <w:start w:w="70" w:type="dxa"/>
              <w:bottom w:w="60" w:type="dxa"/>
              <w:end w:w="70" w:type="dxa"/>
            </w:tcMar>
          </w:tcPr>
          <w:p>
            <w:r>
              <w:rPr>
                <w:sz w:val="15"/>
              </w:rPr>
              <w:t>User-interest coverage</w:t>
            </w:r>
          </w:p>
        </w:tc>
        <w:tc>
          <w:tcPr>
            <w:tcW w:type="dxa" w:w="3528"/>
            <w:vAlign w:val="top"/>
            <w:tcMar>
              <w:top w:w="60" w:type="dxa"/>
              <w:start w:w="70" w:type="dxa"/>
              <w:bottom w:w="60" w:type="dxa"/>
              <w:end w:w="70" w:type="dxa"/>
            </w:tcMar>
          </w:tcPr>
          <w:p>
            <w:r>
              <w:rPr>
                <w:sz w:val="15"/>
              </w:rPr>
              <w:t>URA, CIBR, BOTZ, PAVE, ITA</w:t>
            </w:r>
          </w:p>
        </w:tc>
        <w:tc>
          <w:tcPr>
            <w:tcW w:type="dxa" w:w="2016"/>
            <w:vAlign w:val="top"/>
            <w:tcMar>
              <w:top w:w="60" w:type="dxa"/>
              <w:start w:w="70" w:type="dxa"/>
              <w:bottom w:w="60" w:type="dxa"/>
              <w:end w:w="70" w:type="dxa"/>
            </w:tcMar>
          </w:tcPr>
          <w:p>
            <w:r>
              <w:rPr>
                <w:sz w:val="15"/>
              </w:rPr>
              <w:t>Keep limited</w:t>
            </w:r>
          </w:p>
        </w:tc>
      </w:tr>
    </w:tbl>
    <w:p>
      <w:pPr>
        <w:pStyle w:val="Heading2"/>
      </w:pPr>
      <w:r>
        <w:t>6.2 Macro Features</w:t>
      </w:r>
    </w:p>
    <w:p>
      <w:pPr>
        <w:pStyle w:val="ListBullet"/>
      </w:pPr>
      <w:r>
        <w:t>Policy rate and policy-rate trend.</w:t>
      </w:r>
    </w:p>
    <w:p>
      <w:pPr>
        <w:pStyle w:val="ListBullet"/>
      </w:pPr>
      <w:r>
        <w:t>2-year and 10-year Treasury yields and daily/weekly changes.</w:t>
      </w:r>
    </w:p>
    <w:p>
      <w:pPr>
        <w:pStyle w:val="ListBullet"/>
      </w:pPr>
      <w:r>
        <w:t>2s10s curve slope.</w:t>
      </w:r>
    </w:p>
    <w:p>
      <w:pPr>
        <w:pStyle w:val="ListBullet"/>
      </w:pPr>
      <w:r>
        <w:t>Inflation: CPI/PCE level, direction, surprise where available, and archival vintage.</w:t>
      </w:r>
    </w:p>
    <w:p>
      <w:pPr>
        <w:pStyle w:val="ListBullet"/>
      </w:pPr>
      <w:r>
        <w:t>Growth: unemployment, payrolls, PMI/ISM, industrial production, and growth trend.</w:t>
      </w:r>
    </w:p>
    <w:p>
      <w:pPr>
        <w:pStyle w:val="ListBullet"/>
      </w:pPr>
      <w:r>
        <w:t>Credit: investment-grade and high-yield option-adjusted spreads.</w:t>
      </w:r>
    </w:p>
    <w:p>
      <w:pPr>
        <w:pStyle w:val="ListBullet"/>
      </w:pPr>
      <w:r>
        <w:t>Dollar and broad financial-conditions proxies.</w:t>
      </w:r>
    </w:p>
    <w:p>
      <w:pPr>
        <w:pStyle w:val="ListBullet"/>
      </w:pPr>
      <w:r>
        <w:t>Volatility and breadth proxies derived from ETFs/indices.</w:t>
      </w:r>
    </w:p>
    <w:p>
      <w:pPr>
        <w:pStyle w:val="Heading2"/>
      </w:pPr>
      <w:r>
        <w:t>6.3 News Data</w:t>
      </w:r>
    </w:p>
    <w:p>
      <w:r>
        <w:rPr>
          <w:i w:val="0"/>
        </w:rPr>
        <w:t>News is a structured risk and catalyst layer, not the source of the numerical probability. The system should retrieve current articles, classify event type and affected assets, and store source text metadata, timestamps, and extraction confidence.</w:t>
      </w:r>
    </w:p>
    <w:p>
      <w:pPr>
        <w:pStyle w:val="ListBullet"/>
      </w:pPr>
      <w:r>
        <w:t>Event categories: earnings/guidance, policy/regulation, supply chain, demand, financing/liquidity, geopolitical, legal, product/technology, commodity supply, and macro.</w:t>
      </w:r>
    </w:p>
    <w:p>
      <w:pPr>
        <w:pStyle w:val="ListBullet"/>
      </w:pPr>
      <w:r>
        <w:t>Attributes: direction, expected duration, affected ETFs, structural versus temporary, novelty, source count, and event risk.</w:t>
      </w:r>
    </w:p>
    <w:p>
      <w:pPr>
        <w:pStyle w:val="ListBullet"/>
      </w:pPr>
      <w:r>
        <w:t>Point-in-time rule: only articles published before the forecast timestamp may enter the analysis.</w:t>
      </w:r>
    </w:p>
    <w:p>
      <w:pPr>
        <w:pStyle w:val="ListBullet"/>
      </w:pPr>
      <w:r>
        <w:t>Store citations and retrieved snippets so the explanation can show evidence.</w:t>
      </w:r>
    </w:p>
    <w:p>
      <w:r>
        <w:br w:type="page"/>
      </w:r>
    </w:p>
    <w:p>
      <w:pPr>
        <w:pStyle w:val="Heading1"/>
      </w:pPr>
      <w:r>
        <w:t>7. Prediction Engine</w:t>
      </w:r>
    </w:p>
    <w:p>
      <w:pPr>
        <w:pStyle w:val="Heading2"/>
      </w:pPr>
      <w:r>
        <w:t>7.1 Forecast Targets</w:t>
      </w:r>
    </w:p>
    <w:p>
      <w:r>
        <w:rPr>
          <w:i w:val="0"/>
        </w:rPr>
        <w:t>Every target must be encoded before training. V1 should support the following horizons and outputs: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1F4E78"/>
          </w:tcPr>
          <w:p>
            <w:r>
              <w:rPr>
                <w:b/>
                <w:color w:val="FFFFFF"/>
                <w:sz w:val="16"/>
              </w:rPr>
              <w:t>Target</w:t>
            </w:r>
          </w:p>
        </w:tc>
        <w:tc>
          <w:tcPr>
            <w:tcW w:type="dxa" w:w="1728"/>
            <w:shd w:fill="1F4E78"/>
          </w:tcPr>
          <w:p>
            <w:r>
              <w:rPr>
                <w:b/>
                <w:color w:val="FFFFFF"/>
                <w:sz w:val="16"/>
              </w:rPr>
              <w:t>Horizons</w:t>
            </w:r>
          </w:p>
        </w:tc>
        <w:tc>
          <w:tcPr>
            <w:tcW w:type="dxa" w:w="3816"/>
            <w:shd w:fill="1F4E78"/>
          </w:tcPr>
          <w:p>
            <w:r>
              <w:rPr>
                <w:b/>
                <w:color w:val="FFFFFF"/>
                <w:sz w:val="16"/>
              </w:rPr>
              <w:t>Definition</w:t>
            </w:r>
          </w:p>
        </w:tc>
        <w:tc>
          <w:tcPr>
            <w:tcW w:type="dxa" w:w="2232"/>
            <w:shd w:fill="1F4E78"/>
          </w:tcPr>
          <w:p>
            <w:r>
              <w:rPr>
                <w:b/>
                <w:color w:val="FFFFFF"/>
                <w:sz w:val="16"/>
              </w:rPr>
              <w:t>Primary use</w:t>
            </w:r>
          </w:p>
        </w:tc>
      </w:tr>
      <w:tr>
        <w:tc>
          <w:tcPr>
            <w:tcW w:type="dxa" w:w="1728"/>
            <w:vAlign w:val="top"/>
            <w:tcMar>
              <w:top w:w="60" w:type="dxa"/>
              <w:start w:w="70" w:type="dxa"/>
              <w:bottom w:w="60" w:type="dxa"/>
              <w:end w:w="70" w:type="dxa"/>
            </w:tcMar>
          </w:tcPr>
          <w:p>
            <w:r>
              <w:rPr>
                <w:sz w:val="16"/>
              </w:rPr>
              <w:t>Positive return</w:t>
            </w:r>
          </w:p>
        </w:tc>
        <w:tc>
          <w:tcPr>
            <w:tcW w:type="dxa" w:w="1728"/>
            <w:vAlign w:val="top"/>
            <w:tcMar>
              <w:top w:w="60" w:type="dxa"/>
              <w:start w:w="70" w:type="dxa"/>
              <w:bottom w:w="60" w:type="dxa"/>
              <w:end w:w="70" w:type="dxa"/>
            </w:tcMar>
          </w:tcPr>
          <w:p>
            <w:r>
              <w:rPr>
                <w:sz w:val="16"/>
              </w:rPr>
              <w:t>1, 5, 20, 60 trading days</w:t>
            </w:r>
          </w:p>
        </w:tc>
        <w:tc>
          <w:tcPr>
            <w:tcW w:type="dxa" w:w="3816"/>
            <w:vAlign w:val="top"/>
            <w:tcMar>
              <w:top w:w="60" w:type="dxa"/>
              <w:start w:w="70" w:type="dxa"/>
              <w:bottom w:w="60" w:type="dxa"/>
              <w:end w:w="70" w:type="dxa"/>
            </w:tcMar>
          </w:tcPr>
          <w:p>
            <w:r>
              <w:rPr>
                <w:sz w:val="16"/>
              </w:rPr>
              <w:t>P(ETF forward return &gt; 0)</w:t>
            </w:r>
          </w:p>
        </w:tc>
        <w:tc>
          <w:tcPr>
            <w:tcW w:type="dxa" w:w="2232"/>
            <w:vAlign w:val="top"/>
            <w:tcMar>
              <w:top w:w="60" w:type="dxa"/>
              <w:start w:w="70" w:type="dxa"/>
              <w:bottom w:w="60" w:type="dxa"/>
              <w:end w:w="70" w:type="dxa"/>
            </w:tcMar>
          </w:tcPr>
          <w:p>
            <w:r>
              <w:rPr>
                <w:sz w:val="16"/>
              </w:rPr>
              <w:t>Direction</w:t>
            </w:r>
          </w:p>
        </w:tc>
      </w:tr>
      <w:tr>
        <w:tc>
          <w:tcPr>
            <w:tcW w:type="dxa" w:w="1728"/>
            <w:vAlign w:val="top"/>
            <w:tcMar>
              <w:top w:w="60" w:type="dxa"/>
              <w:start w:w="70" w:type="dxa"/>
              <w:bottom w:w="60" w:type="dxa"/>
              <w:end w:w="70" w:type="dxa"/>
            </w:tcMar>
          </w:tcPr>
          <w:p>
            <w:r>
              <w:rPr>
                <w:sz w:val="16"/>
              </w:rPr>
              <w:t>Positive excess return</w:t>
            </w:r>
          </w:p>
        </w:tc>
        <w:tc>
          <w:tcPr>
            <w:tcW w:type="dxa" w:w="1728"/>
            <w:vAlign w:val="top"/>
            <w:tcMar>
              <w:top w:w="60" w:type="dxa"/>
              <w:start w:w="70" w:type="dxa"/>
              <w:bottom w:w="60" w:type="dxa"/>
              <w:end w:w="70" w:type="dxa"/>
            </w:tcMar>
          </w:tcPr>
          <w:p>
            <w:r>
              <w:rPr>
                <w:sz w:val="16"/>
              </w:rPr>
              <w:t>5, 20, 60 trading days</w:t>
            </w:r>
          </w:p>
        </w:tc>
        <w:tc>
          <w:tcPr>
            <w:tcW w:type="dxa" w:w="3816"/>
            <w:vAlign w:val="top"/>
            <w:tcMar>
              <w:top w:w="60" w:type="dxa"/>
              <w:start w:w="70" w:type="dxa"/>
              <w:bottom w:w="60" w:type="dxa"/>
              <w:end w:w="70" w:type="dxa"/>
            </w:tcMar>
          </w:tcPr>
          <w:p>
            <w:r>
              <w:rPr>
                <w:sz w:val="16"/>
              </w:rPr>
              <w:t>P(ETF return - benchmark return &gt; 0)</w:t>
            </w:r>
          </w:p>
        </w:tc>
        <w:tc>
          <w:tcPr>
            <w:tcW w:type="dxa" w:w="2232"/>
            <w:vAlign w:val="top"/>
            <w:tcMar>
              <w:top w:w="60" w:type="dxa"/>
              <w:start w:w="70" w:type="dxa"/>
              <w:bottom w:w="60" w:type="dxa"/>
              <w:end w:w="70" w:type="dxa"/>
            </w:tcMar>
          </w:tcPr>
          <w:p>
            <w:r>
              <w:rPr>
                <w:sz w:val="16"/>
              </w:rPr>
              <w:t>Relative opportunity</w:t>
            </w:r>
          </w:p>
        </w:tc>
      </w:tr>
      <w:tr>
        <w:tc>
          <w:tcPr>
            <w:tcW w:type="dxa" w:w="1728"/>
            <w:vAlign w:val="top"/>
            <w:tcMar>
              <w:top w:w="60" w:type="dxa"/>
              <w:start w:w="70" w:type="dxa"/>
              <w:bottom w:w="60" w:type="dxa"/>
              <w:end w:w="70" w:type="dxa"/>
            </w:tcMar>
          </w:tcPr>
          <w:p>
            <w:r>
              <w:rPr>
                <w:sz w:val="16"/>
              </w:rPr>
              <w:t>Return quantiles</w:t>
            </w:r>
          </w:p>
        </w:tc>
        <w:tc>
          <w:tcPr>
            <w:tcW w:type="dxa" w:w="1728"/>
            <w:vAlign w:val="top"/>
            <w:tcMar>
              <w:top w:w="60" w:type="dxa"/>
              <w:start w:w="70" w:type="dxa"/>
              <w:bottom w:w="60" w:type="dxa"/>
              <w:end w:w="70" w:type="dxa"/>
            </w:tcMar>
          </w:tcPr>
          <w:p>
            <w:r>
              <w:rPr>
                <w:sz w:val="16"/>
              </w:rPr>
              <w:t>5, 20, 60 trading days</w:t>
            </w:r>
          </w:p>
        </w:tc>
        <w:tc>
          <w:tcPr>
            <w:tcW w:type="dxa" w:w="3816"/>
            <w:vAlign w:val="top"/>
            <w:tcMar>
              <w:top w:w="60" w:type="dxa"/>
              <w:start w:w="70" w:type="dxa"/>
              <w:bottom w:w="60" w:type="dxa"/>
              <w:end w:w="70" w:type="dxa"/>
            </w:tcMar>
          </w:tcPr>
          <w:p>
            <w:r>
              <w:rPr>
                <w:sz w:val="16"/>
              </w:rPr>
              <w:t>20th, 50th, 80th percentile forward return</w:t>
            </w:r>
          </w:p>
        </w:tc>
        <w:tc>
          <w:tcPr>
            <w:tcW w:type="dxa" w:w="2232"/>
            <w:vAlign w:val="top"/>
            <w:tcMar>
              <w:top w:w="60" w:type="dxa"/>
              <w:start w:w="70" w:type="dxa"/>
              <w:bottom w:w="60" w:type="dxa"/>
              <w:end w:w="70" w:type="dxa"/>
            </w:tcMar>
          </w:tcPr>
          <w:p>
            <w:r>
              <w:rPr>
                <w:sz w:val="16"/>
              </w:rPr>
              <w:t>Upside/downside range</w:t>
            </w:r>
          </w:p>
        </w:tc>
      </w:tr>
      <w:tr>
        <w:tc>
          <w:tcPr>
            <w:tcW w:type="dxa" w:w="1728"/>
            <w:vAlign w:val="top"/>
            <w:tcMar>
              <w:top w:w="60" w:type="dxa"/>
              <w:start w:w="70" w:type="dxa"/>
              <w:bottom w:w="60" w:type="dxa"/>
              <w:end w:w="70" w:type="dxa"/>
            </w:tcMar>
          </w:tcPr>
          <w:p>
            <w:r>
              <w:rPr>
                <w:sz w:val="16"/>
              </w:rPr>
              <w:t>Drawdown event</w:t>
            </w:r>
          </w:p>
        </w:tc>
        <w:tc>
          <w:tcPr>
            <w:tcW w:type="dxa" w:w="1728"/>
            <w:vAlign w:val="top"/>
            <w:tcMar>
              <w:top w:w="60" w:type="dxa"/>
              <w:start w:w="70" w:type="dxa"/>
              <w:bottom w:w="60" w:type="dxa"/>
              <w:end w:w="70" w:type="dxa"/>
            </w:tcMar>
          </w:tcPr>
          <w:p>
            <w:r>
              <w:rPr>
                <w:sz w:val="16"/>
              </w:rPr>
              <w:t>5, 20, 60 trading days</w:t>
            </w:r>
          </w:p>
        </w:tc>
        <w:tc>
          <w:tcPr>
            <w:tcW w:type="dxa" w:w="3816"/>
            <w:vAlign w:val="top"/>
            <w:tcMar>
              <w:top w:w="60" w:type="dxa"/>
              <w:start w:w="70" w:type="dxa"/>
              <w:bottom w:w="60" w:type="dxa"/>
              <w:end w:w="70" w:type="dxa"/>
            </w:tcMar>
          </w:tcPr>
          <w:p>
            <w:r>
              <w:rPr>
                <w:sz w:val="16"/>
              </w:rPr>
              <w:t>P(max adverse excursion &lt; defined threshold)</w:t>
            </w:r>
          </w:p>
        </w:tc>
        <w:tc>
          <w:tcPr>
            <w:tcW w:type="dxa" w:w="2232"/>
            <w:vAlign w:val="top"/>
            <w:tcMar>
              <w:top w:w="60" w:type="dxa"/>
              <w:start w:w="70" w:type="dxa"/>
              <w:bottom w:w="60" w:type="dxa"/>
              <w:end w:w="70" w:type="dxa"/>
            </w:tcMar>
          </w:tcPr>
          <w:p>
            <w:r>
              <w:rPr>
                <w:sz w:val="16"/>
              </w:rPr>
              <w:t>Risk gating</w:t>
            </w:r>
          </w:p>
        </w:tc>
      </w:tr>
      <w:tr>
        <w:tc>
          <w:tcPr>
            <w:tcW w:type="dxa" w:w="1728"/>
            <w:vAlign w:val="top"/>
            <w:tcMar>
              <w:top w:w="60" w:type="dxa"/>
              <w:start w:w="70" w:type="dxa"/>
              <w:bottom w:w="60" w:type="dxa"/>
              <w:end w:w="70" w:type="dxa"/>
            </w:tcMar>
          </w:tcPr>
          <w:p>
            <w:r>
              <w:rPr>
                <w:sz w:val="16"/>
              </w:rPr>
              <w:t>Recovery event</w:t>
            </w:r>
          </w:p>
        </w:tc>
        <w:tc>
          <w:tcPr>
            <w:tcW w:type="dxa" w:w="1728"/>
            <w:vAlign w:val="top"/>
            <w:tcMar>
              <w:top w:w="60" w:type="dxa"/>
              <w:start w:w="70" w:type="dxa"/>
              <w:bottom w:w="60" w:type="dxa"/>
              <w:end w:w="70" w:type="dxa"/>
            </w:tcMar>
          </w:tcPr>
          <w:p>
            <w:r>
              <w:rPr>
                <w:sz w:val="16"/>
              </w:rPr>
              <w:t>5, 20, 60 trading days</w:t>
            </w:r>
          </w:p>
        </w:tc>
        <w:tc>
          <w:tcPr>
            <w:tcW w:type="dxa" w:w="3816"/>
            <w:vAlign w:val="top"/>
            <w:tcMar>
              <w:top w:w="60" w:type="dxa"/>
              <w:start w:w="70" w:type="dxa"/>
              <w:bottom w:w="60" w:type="dxa"/>
              <w:end w:w="70" w:type="dxa"/>
            </w:tcMar>
          </w:tcPr>
          <w:p>
            <w:r>
              <w:rPr>
                <w:sz w:val="16"/>
              </w:rPr>
              <w:t>P(return to pre-drop reference level)</w:t>
            </w:r>
          </w:p>
        </w:tc>
        <w:tc>
          <w:tcPr>
            <w:tcW w:type="dxa" w:w="2232"/>
            <w:vAlign w:val="top"/>
            <w:tcMar>
              <w:top w:w="60" w:type="dxa"/>
              <w:start w:w="70" w:type="dxa"/>
              <w:bottom w:w="60" w:type="dxa"/>
              <w:end w:w="70" w:type="dxa"/>
            </w:tcMar>
          </w:tcPr>
          <w:p>
            <w:r>
              <w:rPr>
                <w:sz w:val="16"/>
              </w:rPr>
              <w:t>Dip-recovery analysis</w:t>
            </w:r>
          </w:p>
        </w:tc>
      </w:tr>
    </w:tbl>
    <w:p>
      <w:pPr>
        <w:pStyle w:val="Heading2"/>
      </w:pPr>
      <w:r>
        <w:t>7.2 Feature Families</w:t>
      </w:r>
    </w:p>
    <w:p>
      <w:pPr>
        <w:pStyle w:val="ListBullet"/>
        <w:ind w:left="0"/>
      </w:pPr>
      <w:r>
        <w:t>Price and technical</w:t>
      </w:r>
    </w:p>
    <w:p>
      <w:pPr>
        <w:pStyle w:val="ListBullet2"/>
      </w:pPr>
      <w:r>
        <w:t>1/5/20/60/120-day returns</w:t>
      </w:r>
    </w:p>
    <w:p>
      <w:pPr>
        <w:pStyle w:val="ListBullet2"/>
      </w:pPr>
      <w:r>
        <w:t>drawdown and recovery distance</w:t>
      </w:r>
    </w:p>
    <w:p>
      <w:pPr>
        <w:pStyle w:val="ListBullet2"/>
      </w:pPr>
      <w:r>
        <w:t>RSI and moving-average distance</w:t>
      </w:r>
    </w:p>
    <w:p>
      <w:pPr>
        <w:pStyle w:val="ListBullet2"/>
      </w:pPr>
      <w:r>
        <w:t>realized volatility</w:t>
      </w:r>
    </w:p>
    <w:p>
      <w:pPr>
        <w:pStyle w:val="ListBullet2"/>
      </w:pPr>
      <w:r>
        <w:t>volume percentile</w:t>
      </w:r>
    </w:p>
    <w:p>
      <w:pPr>
        <w:pStyle w:val="ListBullet2"/>
      </w:pPr>
      <w:r>
        <w:t>gap and reversal features</w:t>
      </w:r>
    </w:p>
    <w:p>
      <w:pPr>
        <w:pStyle w:val="ListBullet"/>
        <w:ind w:left="0"/>
      </w:pPr>
      <w:r>
        <w:t>Cross-sectional</w:t>
      </w:r>
    </w:p>
    <w:p>
      <w:pPr>
        <w:pStyle w:val="ListBullet2"/>
      </w:pPr>
      <w:r>
        <w:t>relative return versus SPY</w:t>
      </w:r>
    </w:p>
    <w:p>
      <w:pPr>
        <w:pStyle w:val="ListBullet2"/>
      </w:pPr>
      <w:r>
        <w:t>relative return versus sector peers</w:t>
      </w:r>
    </w:p>
    <w:p>
      <w:pPr>
        <w:pStyle w:val="ListBullet2"/>
      </w:pPr>
      <w:r>
        <w:t>breadth within the ETF universe</w:t>
      </w:r>
    </w:p>
    <w:p>
      <w:pPr>
        <w:pStyle w:val="ListBullet2"/>
      </w:pPr>
      <w:r>
        <w:t>size/style rotation</w:t>
      </w:r>
    </w:p>
    <w:p>
      <w:pPr>
        <w:pStyle w:val="ListBullet2"/>
      </w:pPr>
      <w:r>
        <w:t>correlation changes</w:t>
      </w:r>
    </w:p>
    <w:p>
      <w:pPr>
        <w:pStyle w:val="ListBullet"/>
        <w:ind w:left="0"/>
      </w:pPr>
      <w:r>
        <w:t>Macro and regime</w:t>
      </w:r>
    </w:p>
    <w:p>
      <w:pPr>
        <w:pStyle w:val="ListBullet2"/>
      </w:pPr>
      <w:r>
        <w:t>rate levels and changes</w:t>
      </w:r>
    </w:p>
    <w:p>
      <w:pPr>
        <w:pStyle w:val="ListBullet2"/>
      </w:pPr>
      <w:r>
        <w:t>credit-spread state</w:t>
      </w:r>
    </w:p>
    <w:p>
      <w:pPr>
        <w:pStyle w:val="ListBullet2"/>
      </w:pPr>
      <w:r>
        <w:t>growth and inflation direction</w:t>
      </w:r>
    </w:p>
    <w:p>
      <w:pPr>
        <w:pStyle w:val="ListBullet2"/>
      </w:pPr>
      <w:r>
        <w:t>liquidity state</w:t>
      </w:r>
    </w:p>
    <w:p>
      <w:pPr>
        <w:pStyle w:val="ListBullet2"/>
      </w:pPr>
      <w:r>
        <w:t>dollar and commodity trends</w:t>
      </w:r>
    </w:p>
    <w:p>
      <w:pPr>
        <w:pStyle w:val="ListBullet"/>
        <w:ind w:left="0"/>
      </w:pPr>
      <w:r>
        <w:t>News and event risk</w:t>
      </w:r>
    </w:p>
    <w:p>
      <w:pPr>
        <w:pStyle w:val="ListBullet2"/>
      </w:pPr>
      <w:r>
        <w:t>event type</w:t>
      </w:r>
    </w:p>
    <w:p>
      <w:pPr>
        <w:pStyle w:val="ListBullet2"/>
      </w:pPr>
      <w:r>
        <w:t>direction</w:t>
      </w:r>
    </w:p>
    <w:p>
      <w:pPr>
        <w:pStyle w:val="ListBullet2"/>
      </w:pPr>
      <w:r>
        <w:t>novelty</w:t>
      </w:r>
    </w:p>
    <w:p>
      <w:pPr>
        <w:pStyle w:val="ListBullet2"/>
      </w:pPr>
      <w:r>
        <w:t>source agreement</w:t>
      </w:r>
    </w:p>
    <w:p>
      <w:pPr>
        <w:pStyle w:val="ListBullet2"/>
      </w:pPr>
      <w:r>
        <w:t>binary-event flag</w:t>
      </w:r>
    </w:p>
    <w:p>
      <w:pPr>
        <w:pStyle w:val="ListBullet2"/>
      </w:pPr>
      <w:r>
        <w:t>structural-shock flag</w:t>
      </w:r>
    </w:p>
    <w:p>
      <w:pPr>
        <w:pStyle w:val="ListBullet"/>
        <w:ind w:left="0"/>
      </w:pPr>
      <w:r>
        <w:t>Data quality</w:t>
      </w:r>
    </w:p>
    <w:p>
      <w:pPr>
        <w:pStyle w:val="ListBullet2"/>
      </w:pPr>
      <w:r>
        <w:t>missingness</w:t>
      </w:r>
    </w:p>
    <w:p>
      <w:pPr>
        <w:pStyle w:val="ListBullet2"/>
      </w:pPr>
      <w:r>
        <w:t>quote staleness</w:t>
      </w:r>
    </w:p>
    <w:p>
      <w:pPr>
        <w:pStyle w:val="ListBullet2"/>
      </w:pPr>
      <w:r>
        <w:t>intraday proxy</w:t>
      </w:r>
    </w:p>
    <w:p>
      <w:pPr>
        <w:pStyle w:val="ListBullet2"/>
      </w:pPr>
      <w:r>
        <w:t>out-of-distribution distance</w:t>
      </w:r>
    </w:p>
    <w:p>
      <w:pPr>
        <w:pStyle w:val="Heading2"/>
      </w:pPr>
      <w:r>
        <w:t>7.3 Ensemble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F4E78"/>
          </w:tcPr>
          <w:p>
            <w:r>
              <w:rPr>
                <w:b/>
                <w:color w:val="FFFFFF"/>
              </w:rPr>
              <w:t>Item</w:t>
            </w:r>
          </w:p>
        </w:tc>
        <w:tc>
          <w:tcPr>
            <w:tcW w:type="dxa" w:w="7704"/>
            <w:shd w:fill="1F4E78"/>
          </w:tcPr>
          <w:p>
            <w:r>
              <w:rPr>
                <w:b/>
                <w:color w:val="FFFFFF"/>
              </w:rPr>
              <w:t>Specification</w:t>
            </w:r>
          </w:p>
        </w:tc>
      </w:tr>
      <w:tr>
        <w:tc>
          <w:tcPr>
            <w:tcW w:type="dxa" w:w="2376"/>
            <w:vAlign w:val="top"/>
            <w:tcMar>
              <w:top w:w="80" w:type="dxa"/>
              <w:start w:w="90" w:type="dxa"/>
              <w:bottom w:w="80" w:type="dxa"/>
              <w:end w:w="90" w:type="dxa"/>
            </w:tcMar>
          </w:tcPr>
          <w:p>
            <w:r>
              <w:t>Historical analog model</w:t>
            </w:r>
          </w:p>
        </w:tc>
        <w:tc>
          <w:tcPr>
            <w:tcW w:type="dxa" w:w="7704"/>
            <w:vAlign w:val="top"/>
            <w:tcMar>
              <w:top w:w="80" w:type="dxa"/>
              <w:start w:w="90" w:type="dxa"/>
              <w:bottom w:w="80" w:type="dxa"/>
              <w:end w:w="90" w:type="dxa"/>
            </w:tcMar>
          </w:tcPr>
          <w:p>
            <w:r>
              <w:t>Nearest independent market episodes in normalized feature space. Produces empirical forward-return distributions and analog dispersion.</w:t>
            </w:r>
          </w:p>
        </w:tc>
      </w:tr>
      <w:tr>
        <w:tc>
          <w:tcPr>
            <w:tcW w:type="dxa" w:w="2376"/>
            <w:vAlign w:val="top"/>
            <w:tcMar>
              <w:top w:w="80" w:type="dxa"/>
              <w:start w:w="90" w:type="dxa"/>
              <w:bottom w:w="80" w:type="dxa"/>
              <w:end w:w="90" w:type="dxa"/>
            </w:tcMar>
          </w:tcPr>
          <w:p>
            <w:r>
              <w:t>Regime-conditioned base-rate model</w:t>
            </w:r>
          </w:p>
        </w:tc>
        <w:tc>
          <w:tcPr>
            <w:tcW w:type="dxa" w:w="7704"/>
            <w:vAlign w:val="top"/>
            <w:tcMar>
              <w:top w:w="80" w:type="dxa"/>
              <w:start w:w="90" w:type="dxa"/>
              <w:bottom w:w="80" w:type="dxa"/>
              <w:end w:w="90" w:type="dxa"/>
            </w:tcMar>
          </w:tcPr>
          <w:p>
            <w:r>
              <w:t>Provides ETF-specific historical outcomes conditional on interpretable growth, inflation, rates, liquidity, credit, and risk-appetite states.</w:t>
            </w:r>
          </w:p>
        </w:tc>
      </w:tr>
      <w:tr>
        <w:tc>
          <w:tcPr>
            <w:tcW w:type="dxa" w:w="2376"/>
            <w:vAlign w:val="top"/>
            <w:tcMar>
              <w:top w:w="80" w:type="dxa"/>
              <w:start w:w="90" w:type="dxa"/>
              <w:bottom w:w="80" w:type="dxa"/>
              <w:end w:w="90" w:type="dxa"/>
            </w:tcMar>
          </w:tcPr>
          <w:p>
            <w:r>
              <w:t>Supervised probability model</w:t>
            </w:r>
          </w:p>
        </w:tc>
        <w:tc>
          <w:tcPr>
            <w:tcW w:type="dxa" w:w="7704"/>
            <w:vAlign w:val="top"/>
            <w:tcMar>
              <w:top w:w="80" w:type="dxa"/>
              <w:start w:w="90" w:type="dxa"/>
              <w:bottom w:w="80" w:type="dxa"/>
              <w:end w:w="90" w:type="dxa"/>
            </w:tcMar>
          </w:tcPr>
          <w:p>
            <w:r>
              <w:t>Regularized logistic regression first; gradient-boosted trees as challenger. Predicts event probabilities using point-in-time features.</w:t>
            </w:r>
          </w:p>
        </w:tc>
      </w:tr>
      <w:tr>
        <w:tc>
          <w:tcPr>
            <w:tcW w:type="dxa" w:w="2376"/>
            <w:vAlign w:val="top"/>
            <w:tcMar>
              <w:top w:w="80" w:type="dxa"/>
              <w:start w:w="90" w:type="dxa"/>
              <w:bottom w:w="80" w:type="dxa"/>
              <w:end w:w="90" w:type="dxa"/>
            </w:tcMar>
          </w:tcPr>
          <w:p>
            <w:r>
              <w:t>Quantile model</w:t>
            </w:r>
          </w:p>
        </w:tc>
        <w:tc>
          <w:tcPr>
            <w:tcW w:type="dxa" w:w="7704"/>
            <w:vAlign w:val="top"/>
            <w:tcMar>
              <w:top w:w="80" w:type="dxa"/>
              <w:start w:w="90" w:type="dxa"/>
              <w:bottom w:w="80" w:type="dxa"/>
              <w:end w:w="90" w:type="dxa"/>
            </w:tcMar>
          </w:tcPr>
          <w:p>
            <w:r>
              <w:t>Predicts forward-return quantiles and expected adverse excursion.</w:t>
            </w:r>
          </w:p>
        </w:tc>
      </w:tr>
      <w:tr>
        <w:tc>
          <w:tcPr>
            <w:tcW w:type="dxa" w:w="2376"/>
            <w:vAlign w:val="top"/>
            <w:tcMar>
              <w:top w:w="80" w:type="dxa"/>
              <w:start w:w="90" w:type="dxa"/>
              <w:bottom w:w="80" w:type="dxa"/>
              <w:end w:w="90" w:type="dxa"/>
            </w:tcMar>
          </w:tcPr>
          <w:p>
            <w:r>
              <w:t>News-risk adjustment</w:t>
            </w:r>
          </w:p>
        </w:tc>
        <w:tc>
          <w:tcPr>
            <w:tcW w:type="dxa" w:w="7704"/>
            <w:vAlign w:val="top"/>
            <w:tcMar>
              <w:top w:w="80" w:type="dxa"/>
              <w:start w:w="90" w:type="dxa"/>
              <w:bottom w:w="80" w:type="dxa"/>
              <w:end w:w="90" w:type="dxa"/>
            </w:tcMar>
          </w:tcPr>
          <w:p>
            <w:r>
              <w:t>Rule/model-based confidence reduction for binary or structural events; never an unconstrained LLM adjustment.</w:t>
            </w:r>
          </w:p>
        </w:tc>
      </w:tr>
      <w:tr>
        <w:tc>
          <w:tcPr>
            <w:tcW w:type="dxa" w:w="2376"/>
            <w:vAlign w:val="top"/>
            <w:tcMar>
              <w:top w:w="80" w:type="dxa"/>
              <w:start w:w="90" w:type="dxa"/>
              <w:bottom w:w="80" w:type="dxa"/>
              <w:end w:w="90" w:type="dxa"/>
            </w:tcMar>
          </w:tcPr>
          <w:p>
            <w:r>
              <w:t>Calibration layer</w:t>
            </w:r>
          </w:p>
        </w:tc>
        <w:tc>
          <w:tcPr>
            <w:tcW w:type="dxa" w:w="7704"/>
            <w:vAlign w:val="top"/>
            <w:tcMar>
              <w:top w:w="80" w:type="dxa"/>
              <w:start w:w="90" w:type="dxa"/>
              <w:bottom w:w="80" w:type="dxa"/>
              <w:end w:w="90" w:type="dxa"/>
            </w:tcMar>
          </w:tcPr>
          <w:p>
            <w:r>
              <w:t>Calibrates out-of-sample probabilities using isotonic or Platt calibration selected in validation.</w:t>
            </w:r>
          </w:p>
        </w:tc>
      </w:tr>
      <w:tr>
        <w:tc>
          <w:tcPr>
            <w:tcW w:type="dxa" w:w="2376"/>
            <w:vAlign w:val="top"/>
            <w:tcMar>
              <w:top w:w="80" w:type="dxa"/>
              <w:start w:w="90" w:type="dxa"/>
              <w:bottom w:w="80" w:type="dxa"/>
              <w:end w:w="90" w:type="dxa"/>
            </w:tcMar>
          </w:tcPr>
          <w:p>
            <w:r>
              <w:t>No-signal gate</w:t>
            </w:r>
          </w:p>
        </w:tc>
        <w:tc>
          <w:tcPr>
            <w:tcW w:type="dxa" w:w="7704"/>
            <w:vAlign w:val="top"/>
            <w:tcMar>
              <w:top w:w="80" w:type="dxa"/>
              <w:start w:w="90" w:type="dxa"/>
              <w:bottom w:w="80" w:type="dxa"/>
              <w:end w:w="90" w:type="dxa"/>
            </w:tcMar>
          </w:tcPr>
          <w:p>
            <w:r>
              <w:t>Suppresses recommendations when sample size, model agreement, data quality, expected payoff, or distribution-shift tests fail.</w:t>
            </w:r>
          </w:p>
        </w:tc>
      </w:tr>
    </w:tbl>
    <w:p>
      <w:pPr>
        <w:pStyle w:val="Heading2"/>
      </w:pPr>
      <w:r>
        <w:t>7.4 Historical Analog Methodology</w:t>
      </w:r>
    </w:p>
    <w:p>
      <w:pPr>
        <w:ind w:left="346" w:hanging="346"/>
      </w:pPr>
      <w:r>
        <w:rPr>
          <w:b w:val="0"/>
        </w:rPr>
        <w:t xml:space="preserve">1. </w:t>
      </w:r>
      <w:r>
        <w:t>Build a feature vector using only data available at the analysis timestamp.</w:t>
      </w:r>
    </w:p>
    <w:p>
      <w:pPr>
        <w:ind w:left="346" w:hanging="346"/>
      </w:pPr>
      <w:r>
        <w:rPr>
          <w:b w:val="0"/>
        </w:rPr>
        <w:t xml:space="preserve">2. </w:t>
      </w:r>
      <w:r>
        <w:t>Normalize features using training-window statistics, not full-history statistics.</w:t>
      </w:r>
    </w:p>
    <w:p>
      <w:pPr>
        <w:ind w:left="346" w:hanging="346"/>
      </w:pPr>
      <w:r>
        <w:rPr>
          <w:b w:val="0"/>
        </w:rPr>
        <w:t xml:space="preserve">3. </w:t>
      </w:r>
      <w:r>
        <w:t>Apply feature-family weights documented in the model version.</w:t>
      </w:r>
    </w:p>
    <w:p>
      <w:pPr>
        <w:ind w:left="346" w:hanging="346"/>
      </w:pPr>
      <w:r>
        <w:rPr>
          <w:b w:val="0"/>
        </w:rPr>
        <w:t xml:space="preserve">4. </w:t>
      </w:r>
      <w:r>
        <w:t>Retrieve the nearest dates by distance or learned similarity.</w:t>
      </w:r>
    </w:p>
    <w:p>
      <w:pPr>
        <w:ind w:left="346" w:hanging="346"/>
      </w:pPr>
      <w:r>
        <w:rPr>
          <w:b w:val="0"/>
        </w:rPr>
        <w:t xml:space="preserve">5. </w:t>
      </w:r>
      <w:r>
        <w:t>Collapse nearby dates into independent episodes using an episode gap, such as 20 trading days.</w:t>
      </w:r>
    </w:p>
    <w:p>
      <w:pPr>
        <w:ind w:left="346" w:hanging="346"/>
      </w:pPr>
      <w:r>
        <w:rPr>
          <w:b w:val="0"/>
        </w:rPr>
        <w:t xml:space="preserve">6. </w:t>
      </w:r>
      <w:r>
        <w:t>Exclude observations whose feature quality is below threshold.</w:t>
      </w:r>
    </w:p>
    <w:p>
      <w:pPr>
        <w:ind w:left="346" w:hanging="346"/>
      </w:pPr>
      <w:r>
        <w:rPr>
          <w:b w:val="0"/>
        </w:rPr>
        <w:t xml:space="preserve">7. </w:t>
      </w:r>
      <w:r>
        <w:t>Calculate future returns, excess returns, adverse excursion, favorable excursion, and recovery time.</w:t>
      </w:r>
    </w:p>
    <w:p>
      <w:pPr>
        <w:ind w:left="346" w:hanging="346"/>
      </w:pPr>
      <w:r>
        <w:rPr>
          <w:b w:val="0"/>
        </w:rPr>
        <w:t xml:space="preserve">8. </w:t>
      </w:r>
      <w:r>
        <w:t>Return sample size, episode count, dispersion, top analogs, and differences from the current state.</w:t>
      </w:r>
    </w:p>
    <w:p>
      <w:pPr>
        <w:ind w:left="346" w:hanging="346"/>
      </w:pPr>
      <w:r>
        <w:rPr>
          <w:b w:val="0"/>
        </w:rPr>
        <w:t xml:space="preserve">9. </w:t>
      </w:r>
      <w:r>
        <w:t>Discount confidence when the current observation is outside the historical distribution.</w:t>
      </w:r>
    </w:p>
    <w:p>
      <w:pPr>
        <w:pStyle w:val="Heading2"/>
      </w:pPr>
      <w:r>
        <w:t>7.5 Confidence</w:t>
      </w:r>
    </w:p>
    <w:p>
      <w:r>
        <w:rPr>
          <w:i w:val="0"/>
        </w:rPr>
        <w:t>Confidence is not the probability itself. Confidence is a separate quality measure combining:</w:t>
      </w:r>
    </w:p>
    <w:p>
      <w:pPr>
        <w:pStyle w:val="ListBullet"/>
      </w:pPr>
      <w:r>
        <w:t>Calibrated probability strength relative to 50%.</w:t>
      </w:r>
    </w:p>
    <w:p>
      <w:pPr>
        <w:pStyle w:val="ListBullet"/>
      </w:pPr>
      <w:r>
        <w:t>Independent historical episode count.</w:t>
      </w:r>
    </w:p>
    <w:p>
      <w:pPr>
        <w:pStyle w:val="ListBullet"/>
      </w:pPr>
      <w:r>
        <w:t>Agreement among ensemble components.</w:t>
      </w:r>
    </w:p>
    <w:p>
      <w:pPr>
        <w:pStyle w:val="ListBullet"/>
      </w:pPr>
      <w:r>
        <w:t>Analog similarity density and dispersion.</w:t>
      </w:r>
    </w:p>
    <w:p>
      <w:pPr>
        <w:pStyle w:val="ListBullet"/>
      </w:pPr>
      <w:r>
        <w:t>Point-in-time data completeness.</w:t>
      </w:r>
    </w:p>
    <w:p>
      <w:pPr>
        <w:pStyle w:val="ListBullet"/>
      </w:pPr>
      <w:r>
        <w:t>Distance from the model’s training distribution.</w:t>
      </w:r>
    </w:p>
    <w:p>
      <w:pPr>
        <w:pStyle w:val="ListBullet"/>
      </w:pPr>
      <w:r>
        <w:t>Historical model performance for that ETF, horizon, and regime.</w:t>
      </w:r>
    </w:p>
    <w:p>
      <w:pPr>
        <w:pStyle w:val="ListBullet"/>
      </w:pPr>
      <w:r>
        <w:t>Intraday and quote-staleness discounts.</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confidence_score =</w:t>
              <w:br/>
            </w:r>
            <w:r>
              <w:rPr>
                <w:rFonts w:ascii="Liberation Mono" w:hAnsi="Liberation Mono"/>
                <w:sz w:val="17"/>
              </w:rPr>
              <w:t xml:space="preserve">  probability_strength_weight * probability_strength</w:t>
              <w:br/>
            </w:r>
            <w:r>
              <w:rPr>
                <w:rFonts w:ascii="Liberation Mono" w:hAnsi="Liberation Mono"/>
                <w:sz w:val="17"/>
              </w:rPr>
              <w:t>+ sample_weight               * sample_quality</w:t>
              <w:br/>
            </w:r>
            <w:r>
              <w:rPr>
                <w:rFonts w:ascii="Liberation Mono" w:hAnsi="Liberation Mono"/>
                <w:sz w:val="17"/>
              </w:rPr>
              <w:t>+ agreement_weight            * model_agreement</w:t>
              <w:br/>
            </w:r>
            <w:r>
              <w:rPr>
                <w:rFonts w:ascii="Liberation Mono" w:hAnsi="Liberation Mono"/>
                <w:sz w:val="17"/>
              </w:rPr>
              <w:t>+ analog_weight               * analog_density</w:t>
              <w:br/>
            </w:r>
            <w:r>
              <w:rPr>
                <w:rFonts w:ascii="Liberation Mono" w:hAnsi="Liberation Mono"/>
                <w:sz w:val="17"/>
              </w:rPr>
              <w:t>+ calibration_weight          * historical_calibration</w:t>
              <w:br/>
            </w:r>
            <w:r>
              <w:rPr>
                <w:rFonts w:ascii="Liberation Mono" w:hAnsi="Liberation Mono"/>
                <w:sz w:val="17"/>
              </w:rPr>
              <w:t>- data_quality_penalty</w:t>
              <w:br/>
            </w:r>
            <w:r>
              <w:rPr>
                <w:rFonts w:ascii="Liberation Mono" w:hAnsi="Liberation Mono"/>
                <w:sz w:val="17"/>
              </w:rPr>
              <w:t>- distribution_shift_penalty</w:t>
              <w:br/>
            </w:r>
            <w:r>
              <w:rPr>
                <w:rFonts w:ascii="Liberation Mono" w:hAnsi="Liberation Mono"/>
                <w:sz w:val="17"/>
              </w:rPr>
              <w:t>- intraday_proxy_penalty</w:t>
            </w:r>
          </w:p>
        </w:tc>
      </w:tr>
    </w:tbl>
    <w:p>
      <w:pPr>
        <w:spacing w:after="0"/>
      </w:pPr>
    </w:p>
    <w:p>
      <w:pPr>
        <w:pStyle w:val="Heading2"/>
      </w:pPr>
      <w:r>
        <w:t>7.6 Recommendation Policy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1F4E78"/>
          </w:tcPr>
          <w:p>
            <w:r>
              <w:rPr>
                <w:b/>
                <w:color w:val="FFFFFF"/>
                <w:sz w:val="16"/>
              </w:rPr>
              <w:t>Label</w:t>
            </w:r>
          </w:p>
        </w:tc>
        <w:tc>
          <w:tcPr>
            <w:tcW w:type="dxa" w:w="3528"/>
            <w:shd w:fill="1F4E78"/>
          </w:tcPr>
          <w:p>
            <w:r>
              <w:rPr>
                <w:b/>
                <w:color w:val="FFFFFF"/>
                <w:sz w:val="16"/>
              </w:rPr>
              <w:t>Typical conditions</w:t>
            </w:r>
          </w:p>
        </w:tc>
        <w:tc>
          <w:tcPr>
            <w:tcW w:type="dxa" w:w="2520"/>
            <w:shd w:fill="1F4E78"/>
          </w:tcPr>
          <w:p>
            <w:r>
              <w:rPr>
                <w:b/>
                <w:color w:val="FFFFFF"/>
                <w:sz w:val="16"/>
              </w:rPr>
              <w:t>Meaning</w:t>
            </w:r>
          </w:p>
        </w:tc>
        <w:tc>
          <w:tcPr>
            <w:tcW w:type="dxa" w:w="1944"/>
            <w:shd w:fill="1F4E78"/>
          </w:tcPr>
          <w:p>
            <w:r>
              <w:rPr>
                <w:b/>
                <w:color w:val="FFFFFF"/>
                <w:sz w:val="16"/>
              </w:rPr>
              <w:t>User action supported</w:t>
            </w:r>
          </w:p>
        </w:tc>
      </w:tr>
      <w:tr>
        <w:tc>
          <w:tcPr>
            <w:tcW w:type="dxa" w:w="1944"/>
            <w:vAlign w:val="top"/>
            <w:tcMar>
              <w:top w:w="60" w:type="dxa"/>
              <w:start w:w="70" w:type="dxa"/>
              <w:bottom w:w="60" w:type="dxa"/>
              <w:end w:w="70" w:type="dxa"/>
            </w:tcMar>
          </w:tcPr>
          <w:p>
            <w:r>
              <w:rPr>
                <w:sz w:val="15"/>
              </w:rPr>
              <w:t>High-conviction candidate</w:t>
            </w:r>
          </w:p>
        </w:tc>
        <w:tc>
          <w:tcPr>
            <w:tcW w:type="dxa" w:w="3528"/>
            <w:vAlign w:val="top"/>
            <w:tcMar>
              <w:top w:w="60" w:type="dxa"/>
              <w:start w:w="70" w:type="dxa"/>
              <w:bottom w:w="60" w:type="dxa"/>
              <w:end w:w="70" w:type="dxa"/>
            </w:tcMar>
          </w:tcPr>
          <w:p>
            <w:r>
              <w:rPr>
                <w:sz w:val="15"/>
              </w:rPr>
              <w:t>Strong expected payoff, controlled downside, good calibration, adequate episodes, low drift</w:t>
            </w:r>
          </w:p>
        </w:tc>
        <w:tc>
          <w:tcPr>
            <w:tcW w:type="dxa" w:w="2520"/>
            <w:vAlign w:val="top"/>
            <w:tcMar>
              <w:top w:w="60" w:type="dxa"/>
              <w:start w:w="70" w:type="dxa"/>
              <w:bottom w:w="60" w:type="dxa"/>
              <w:end w:w="70" w:type="dxa"/>
            </w:tcMar>
          </w:tcPr>
          <w:p>
            <w:r>
              <w:rPr>
                <w:sz w:val="15"/>
              </w:rPr>
              <w:t>Rare and evidence-rich</w:t>
            </w:r>
          </w:p>
        </w:tc>
        <w:tc>
          <w:tcPr>
            <w:tcW w:type="dxa" w:w="1944"/>
            <w:vAlign w:val="top"/>
            <w:tcMar>
              <w:top w:w="60" w:type="dxa"/>
              <w:start w:w="70" w:type="dxa"/>
              <w:bottom w:w="60" w:type="dxa"/>
              <w:end w:w="70" w:type="dxa"/>
            </w:tcMar>
          </w:tcPr>
          <w:p>
            <w:r>
              <w:rPr>
                <w:sz w:val="15"/>
              </w:rPr>
              <w:t>Review and log decision</w:t>
            </w:r>
          </w:p>
        </w:tc>
      </w:tr>
      <w:tr>
        <w:tc>
          <w:tcPr>
            <w:tcW w:type="dxa" w:w="1944"/>
            <w:vAlign w:val="top"/>
            <w:tcMar>
              <w:top w:w="60" w:type="dxa"/>
              <w:start w:w="70" w:type="dxa"/>
              <w:bottom w:w="60" w:type="dxa"/>
              <w:end w:w="70" w:type="dxa"/>
            </w:tcMar>
          </w:tcPr>
          <w:p>
            <w:r>
              <w:rPr>
                <w:sz w:val="15"/>
              </w:rPr>
              <w:t>Moderate candidate</w:t>
            </w:r>
          </w:p>
        </w:tc>
        <w:tc>
          <w:tcPr>
            <w:tcW w:type="dxa" w:w="3528"/>
            <w:vAlign w:val="top"/>
            <w:tcMar>
              <w:top w:w="60" w:type="dxa"/>
              <w:start w:w="70" w:type="dxa"/>
              <w:bottom w:w="60" w:type="dxa"/>
              <w:end w:w="70" w:type="dxa"/>
            </w:tcMar>
          </w:tcPr>
          <w:p>
            <w:r>
              <w:rPr>
                <w:sz w:val="15"/>
              </w:rPr>
              <w:t>Positive edge with meaningful uncertainty</w:t>
            </w:r>
          </w:p>
        </w:tc>
        <w:tc>
          <w:tcPr>
            <w:tcW w:type="dxa" w:w="2520"/>
            <w:vAlign w:val="top"/>
            <w:tcMar>
              <w:top w:w="60" w:type="dxa"/>
              <w:start w:w="70" w:type="dxa"/>
              <w:bottom w:w="60" w:type="dxa"/>
              <w:end w:w="70" w:type="dxa"/>
            </w:tcMar>
          </w:tcPr>
          <w:p>
            <w:r>
              <w:rPr>
                <w:sz w:val="15"/>
              </w:rPr>
              <w:t>Potential tactical or strategic setup</w:t>
            </w:r>
          </w:p>
        </w:tc>
        <w:tc>
          <w:tcPr>
            <w:tcW w:type="dxa" w:w="1944"/>
            <w:vAlign w:val="top"/>
            <w:tcMar>
              <w:top w:w="60" w:type="dxa"/>
              <w:start w:w="70" w:type="dxa"/>
              <w:bottom w:w="60" w:type="dxa"/>
              <w:end w:w="70" w:type="dxa"/>
            </w:tcMar>
          </w:tcPr>
          <w:p>
            <w:r>
              <w:rPr>
                <w:sz w:val="15"/>
              </w:rPr>
              <w:t>Review, stage, watch, or stand down</w:t>
            </w:r>
          </w:p>
        </w:tc>
      </w:tr>
      <w:tr>
        <w:tc>
          <w:tcPr>
            <w:tcW w:type="dxa" w:w="1944"/>
            <w:vAlign w:val="top"/>
            <w:tcMar>
              <w:top w:w="60" w:type="dxa"/>
              <w:start w:w="70" w:type="dxa"/>
              <w:bottom w:w="60" w:type="dxa"/>
              <w:end w:w="70" w:type="dxa"/>
            </w:tcMar>
          </w:tcPr>
          <w:p>
            <w:r>
              <w:rPr>
                <w:sz w:val="15"/>
              </w:rPr>
              <w:t>Watch for confirmation</w:t>
            </w:r>
          </w:p>
        </w:tc>
        <w:tc>
          <w:tcPr>
            <w:tcW w:type="dxa" w:w="3528"/>
            <w:vAlign w:val="top"/>
            <w:tcMar>
              <w:top w:w="60" w:type="dxa"/>
              <w:start w:w="70" w:type="dxa"/>
              <w:bottom w:w="60" w:type="dxa"/>
              <w:end w:w="70" w:type="dxa"/>
            </w:tcMar>
          </w:tcPr>
          <w:p>
            <w:r>
              <w:rPr>
                <w:sz w:val="15"/>
              </w:rPr>
              <w:t>Setup forming but gate not passed</w:t>
            </w:r>
          </w:p>
        </w:tc>
        <w:tc>
          <w:tcPr>
            <w:tcW w:type="dxa" w:w="2520"/>
            <w:vAlign w:val="top"/>
            <w:tcMar>
              <w:top w:w="60" w:type="dxa"/>
              <w:start w:w="70" w:type="dxa"/>
              <w:bottom w:w="60" w:type="dxa"/>
              <w:end w:w="70" w:type="dxa"/>
            </w:tcMar>
          </w:tcPr>
          <w:p>
            <w:r>
              <w:rPr>
                <w:sz w:val="15"/>
              </w:rPr>
              <w:t>No position recommendation yet</w:t>
            </w:r>
          </w:p>
        </w:tc>
        <w:tc>
          <w:tcPr>
            <w:tcW w:type="dxa" w:w="1944"/>
            <w:vAlign w:val="top"/>
            <w:tcMar>
              <w:top w:w="60" w:type="dxa"/>
              <w:start w:w="70" w:type="dxa"/>
              <w:bottom w:w="60" w:type="dxa"/>
              <w:end w:w="70" w:type="dxa"/>
            </w:tcMar>
          </w:tcPr>
          <w:p>
            <w:r>
              <w:rPr>
                <w:sz w:val="15"/>
              </w:rPr>
              <w:t>Create watch item</w:t>
            </w:r>
          </w:p>
        </w:tc>
      </w:tr>
      <w:tr>
        <w:tc>
          <w:tcPr>
            <w:tcW w:type="dxa" w:w="1944"/>
            <w:vAlign w:val="top"/>
            <w:tcMar>
              <w:top w:w="60" w:type="dxa"/>
              <w:start w:w="70" w:type="dxa"/>
              <w:bottom w:w="60" w:type="dxa"/>
              <w:end w:w="70" w:type="dxa"/>
            </w:tcMar>
          </w:tcPr>
          <w:p>
            <w:r>
              <w:rPr>
                <w:sz w:val="15"/>
              </w:rPr>
              <w:t>Hold / no change</w:t>
            </w:r>
          </w:p>
        </w:tc>
        <w:tc>
          <w:tcPr>
            <w:tcW w:type="dxa" w:w="3528"/>
            <w:vAlign w:val="top"/>
            <w:tcMar>
              <w:top w:w="60" w:type="dxa"/>
              <w:start w:w="70" w:type="dxa"/>
              <w:bottom w:w="60" w:type="dxa"/>
              <w:end w:w="70" w:type="dxa"/>
            </w:tcMar>
          </w:tcPr>
          <w:p>
            <w:r>
              <w:rPr>
                <w:sz w:val="15"/>
              </w:rPr>
              <w:t>Insufficient edge to alter existing exposure</w:t>
            </w:r>
          </w:p>
        </w:tc>
        <w:tc>
          <w:tcPr>
            <w:tcW w:type="dxa" w:w="2520"/>
            <w:vAlign w:val="top"/>
            <w:tcMar>
              <w:top w:w="60" w:type="dxa"/>
              <w:start w:w="70" w:type="dxa"/>
              <w:bottom w:w="60" w:type="dxa"/>
              <w:end w:w="70" w:type="dxa"/>
            </w:tcMar>
          </w:tcPr>
          <w:p>
            <w:r>
              <w:rPr>
                <w:sz w:val="15"/>
              </w:rPr>
              <w:t>Maintain decision</w:t>
            </w:r>
          </w:p>
        </w:tc>
        <w:tc>
          <w:tcPr>
            <w:tcW w:type="dxa" w:w="1944"/>
            <w:vAlign w:val="top"/>
            <w:tcMar>
              <w:top w:w="60" w:type="dxa"/>
              <w:start w:w="70" w:type="dxa"/>
              <w:bottom w:w="60" w:type="dxa"/>
              <w:end w:w="70" w:type="dxa"/>
            </w:tcMar>
          </w:tcPr>
          <w:p>
            <w:r>
              <w:rPr>
                <w:sz w:val="15"/>
              </w:rPr>
              <w:t>Log hold if useful</w:t>
            </w:r>
          </w:p>
        </w:tc>
      </w:tr>
      <w:tr>
        <w:tc>
          <w:tcPr>
            <w:tcW w:type="dxa" w:w="1944"/>
            <w:vAlign w:val="top"/>
            <w:tcMar>
              <w:top w:w="60" w:type="dxa"/>
              <w:start w:w="70" w:type="dxa"/>
              <w:bottom w:w="60" w:type="dxa"/>
              <w:end w:w="70" w:type="dxa"/>
            </w:tcMar>
          </w:tcPr>
          <w:p>
            <w:r>
              <w:rPr>
                <w:sz w:val="15"/>
              </w:rPr>
              <w:t>Reduce / defensive candidate</w:t>
            </w:r>
          </w:p>
        </w:tc>
        <w:tc>
          <w:tcPr>
            <w:tcW w:type="dxa" w:w="3528"/>
            <w:vAlign w:val="top"/>
            <w:tcMar>
              <w:top w:w="60" w:type="dxa"/>
              <w:start w:w="70" w:type="dxa"/>
              <w:bottom w:w="60" w:type="dxa"/>
              <w:end w:w="70" w:type="dxa"/>
            </w:tcMar>
          </w:tcPr>
          <w:p>
            <w:r>
              <w:rPr>
                <w:sz w:val="15"/>
              </w:rPr>
              <w:t>Downside probability or expected loss elevated</w:t>
            </w:r>
          </w:p>
        </w:tc>
        <w:tc>
          <w:tcPr>
            <w:tcW w:type="dxa" w:w="2520"/>
            <w:vAlign w:val="top"/>
            <w:tcMar>
              <w:top w:w="60" w:type="dxa"/>
              <w:start w:w="70" w:type="dxa"/>
              <w:bottom w:w="60" w:type="dxa"/>
              <w:end w:w="70" w:type="dxa"/>
            </w:tcMar>
          </w:tcPr>
          <w:p>
            <w:r>
              <w:rPr>
                <w:sz w:val="15"/>
              </w:rPr>
              <w:t>Risk warning</w:t>
            </w:r>
          </w:p>
        </w:tc>
        <w:tc>
          <w:tcPr>
            <w:tcW w:type="dxa" w:w="1944"/>
            <w:vAlign w:val="top"/>
            <w:tcMar>
              <w:top w:w="60" w:type="dxa"/>
              <w:start w:w="70" w:type="dxa"/>
              <w:bottom w:w="60" w:type="dxa"/>
              <w:end w:w="70" w:type="dxa"/>
            </w:tcMar>
          </w:tcPr>
          <w:p>
            <w:r>
              <w:rPr>
                <w:sz w:val="15"/>
              </w:rPr>
              <w:t>Review sizing</w:t>
            </w:r>
          </w:p>
        </w:tc>
      </w:tr>
      <w:tr>
        <w:tc>
          <w:tcPr>
            <w:tcW w:type="dxa" w:w="1944"/>
            <w:vAlign w:val="top"/>
            <w:tcMar>
              <w:top w:w="60" w:type="dxa"/>
              <w:start w:w="70" w:type="dxa"/>
              <w:bottom w:w="60" w:type="dxa"/>
              <w:end w:w="70" w:type="dxa"/>
            </w:tcMar>
          </w:tcPr>
          <w:p>
            <w:r>
              <w:rPr>
                <w:sz w:val="15"/>
              </w:rPr>
              <w:t>No reliable signal</w:t>
            </w:r>
          </w:p>
        </w:tc>
        <w:tc>
          <w:tcPr>
            <w:tcW w:type="dxa" w:w="3528"/>
            <w:vAlign w:val="top"/>
            <w:tcMar>
              <w:top w:w="60" w:type="dxa"/>
              <w:start w:w="70" w:type="dxa"/>
              <w:bottom w:w="60" w:type="dxa"/>
              <w:end w:w="70" w:type="dxa"/>
            </w:tcMar>
          </w:tcPr>
          <w:p>
            <w:r>
              <w:rPr>
                <w:sz w:val="15"/>
              </w:rPr>
              <w:t>Weak data, model disagreement, small sample, or drift</w:t>
            </w:r>
          </w:p>
        </w:tc>
        <w:tc>
          <w:tcPr>
            <w:tcW w:type="dxa" w:w="2520"/>
            <w:vAlign w:val="top"/>
            <w:tcMar>
              <w:top w:w="60" w:type="dxa"/>
              <w:start w:w="70" w:type="dxa"/>
              <w:bottom w:w="60" w:type="dxa"/>
              <w:end w:w="70" w:type="dxa"/>
            </w:tcMar>
          </w:tcPr>
          <w:p>
            <w:r>
              <w:rPr>
                <w:sz w:val="15"/>
              </w:rPr>
              <w:t>Do not force a call</w:t>
            </w:r>
          </w:p>
        </w:tc>
        <w:tc>
          <w:tcPr>
            <w:tcW w:type="dxa" w:w="1944"/>
            <w:vAlign w:val="top"/>
            <w:tcMar>
              <w:top w:w="60" w:type="dxa"/>
              <w:start w:w="70" w:type="dxa"/>
              <w:bottom w:w="60" w:type="dxa"/>
              <w:end w:w="70" w:type="dxa"/>
            </w:tcMar>
          </w:tcPr>
          <w:p>
            <w:r>
              <w:rPr>
                <w:sz w:val="15"/>
              </w:rPr>
              <w:t>Stand down</w:t>
            </w:r>
          </w:p>
        </w:tc>
      </w:tr>
    </w:tbl>
    <w:p>
      <w:r>
        <w:br w:type="page"/>
      </w:r>
    </w:p>
    <w:p>
      <w:pPr>
        <w:pStyle w:val="Heading1"/>
      </w:pPr>
      <w:r>
        <w:t>8. Daily Opportunity Scanner</w:t>
      </w:r>
    </w:p>
    <w:p>
      <w:pPr>
        <w:pStyle w:val="Heading2"/>
      </w:pPr>
      <w:r>
        <w:t>8.1 End-of-Day V1</w:t>
      </w:r>
    </w:p>
    <w:p>
      <w:r>
        <w:rPr>
          <w:i w:val="0"/>
        </w:rPr>
        <w:t>Run the scanner after daily data is complete. For each ETF, build the market state, evaluate event triggers, call the production model, apply gates, and persist ranked opportunities.</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Daily scanner pipeline</w:t>
              <w:br/>
            </w:r>
            <w:r>
              <w:rPr>
                <w:rFonts w:ascii="Liberation Mono" w:hAnsi="Liberation Mono"/>
                <w:sz w:val="17"/>
              </w:rPr>
              <w:t>1. Ingest completed daily bars.</w:t>
              <w:br/>
            </w:r>
            <w:r>
              <w:rPr>
                <w:rFonts w:ascii="Liberation Mono" w:hAnsi="Liberation Mono"/>
                <w:sz w:val="17"/>
              </w:rPr>
              <w:t>2. Validate price continuity, adjustments, and timestamps.</w:t>
              <w:br/>
            </w:r>
            <w:r>
              <w:rPr>
                <w:rFonts w:ascii="Liberation Mono" w:hAnsi="Liberation Mono"/>
                <w:sz w:val="17"/>
              </w:rPr>
              <w:t>3. Update macro observations and vintages.</w:t>
              <w:br/>
            </w:r>
            <w:r>
              <w:rPr>
                <w:rFonts w:ascii="Liberation Mono" w:hAnsi="Liberation Mono"/>
                <w:sz w:val="17"/>
              </w:rPr>
              <w:t>4. Retrieve and structure relevant news.</w:t>
              <w:br/>
            </w:r>
            <w:r>
              <w:rPr>
                <w:rFonts w:ascii="Liberation Mono" w:hAnsi="Liberation Mono"/>
                <w:sz w:val="17"/>
              </w:rPr>
              <w:t>5. Compute features for every ETF.</w:t>
              <w:br/>
            </w:r>
            <w:r>
              <w:rPr>
                <w:rFonts w:ascii="Liberation Mono" w:hAnsi="Liberation Mono"/>
                <w:sz w:val="17"/>
              </w:rPr>
              <w:t>6. Assign the current multi-dimensional regime.</w:t>
              <w:br/>
            </w:r>
            <w:r>
              <w:rPr>
                <w:rFonts w:ascii="Liberation Mono" w:hAnsi="Liberation Mono"/>
                <w:sz w:val="17"/>
              </w:rPr>
              <w:t>7. Detect abnormal moves and candidate events.</w:t>
              <w:br/>
            </w:r>
            <w:r>
              <w:rPr>
                <w:rFonts w:ascii="Liberation Mono" w:hAnsi="Liberation Mono"/>
                <w:sz w:val="17"/>
              </w:rPr>
              <w:t>8. Generate versioned forecasts.</w:t>
              <w:br/>
            </w:r>
            <w:r>
              <w:rPr>
                <w:rFonts w:ascii="Liberation Mono" w:hAnsi="Liberation Mono"/>
                <w:sz w:val="17"/>
              </w:rPr>
              <w:t>9. Apply confidence and no-signal gates.</w:t>
              <w:br/>
            </w:r>
            <w:r>
              <w:rPr>
                <w:rFonts w:ascii="Liberation Mono" w:hAnsi="Liberation Mono"/>
                <w:sz w:val="17"/>
              </w:rPr>
              <w:t>10. Rank by downside-adjusted expected excess return.</w:t>
              <w:br/>
            </w:r>
            <w:r>
              <w:rPr>
                <w:rFonts w:ascii="Liberation Mono" w:hAnsi="Liberation Mono"/>
                <w:sz w:val="17"/>
              </w:rPr>
              <w:t>11. Persist Today's Setups.</w:t>
              <w:br/>
            </w:r>
            <w:r>
              <w:rPr>
                <w:rFonts w:ascii="Liberation Mono" w:hAnsi="Liberation Mono"/>
                <w:sz w:val="17"/>
              </w:rPr>
              <w:t>12. Notify only when new setups pass threshold.</w:t>
            </w:r>
          </w:p>
        </w:tc>
      </w:tr>
    </w:tbl>
    <w:p>
      <w:pPr>
        <w:spacing w:after="0"/>
      </w:pPr>
    </w:p>
    <w:p>
      <w:pPr>
        <w:pStyle w:val="Heading2"/>
      </w:pPr>
      <w:r>
        <w:t>8.2 Candidate Event Triggers</w:t>
      </w:r>
    </w:p>
    <w:p>
      <w:pPr>
        <w:pStyle w:val="ListBullet"/>
      </w:pPr>
      <w:r>
        <w:t>Daily return below historical percentile threshold.</w:t>
      </w:r>
    </w:p>
    <w:p>
      <w:pPr>
        <w:pStyle w:val="ListBullet"/>
      </w:pPr>
      <w:r>
        <w:t>Relative underperformance versus SPY or sector peers.</w:t>
      </w:r>
    </w:p>
    <w:p>
      <w:pPr>
        <w:pStyle w:val="ListBullet"/>
      </w:pPr>
      <w:r>
        <w:t>Drawdown beyond configurable threshold.</w:t>
      </w:r>
    </w:p>
    <w:p>
      <w:pPr>
        <w:pStyle w:val="ListBullet"/>
      </w:pPr>
      <w:r>
        <w:t>RSI or momentum entering extreme range.</w:t>
      </w:r>
    </w:p>
    <w:p>
      <w:pPr>
        <w:pStyle w:val="ListBullet"/>
      </w:pPr>
      <w:r>
        <w:t>Large volume or volatility anomaly.</w:t>
      </w:r>
    </w:p>
    <w:p>
      <w:pPr>
        <w:pStyle w:val="ListBullet"/>
      </w:pPr>
      <w:r>
        <w:t>Regime transition.</w:t>
      </w:r>
    </w:p>
    <w:p>
      <w:pPr>
        <w:pStyle w:val="ListBullet"/>
      </w:pPr>
      <w:r>
        <w:t>Credit/rates divergence versus equity move.</w:t>
      </w:r>
    </w:p>
    <w:p>
      <w:pPr>
        <w:pStyle w:val="ListBullet"/>
      </w:pPr>
      <w:r>
        <w:t>Reversal or failed-breakdown setup.</w:t>
      </w:r>
    </w:p>
    <w:p>
      <w:pPr>
        <w:pStyle w:val="ListBullet"/>
      </w:pPr>
      <w:r>
        <w:t>News event with broad ETF relevance.</w:t>
      </w:r>
    </w:p>
    <w:p>
      <w:pPr>
        <w:pStyle w:val="Heading2"/>
      </w:pPr>
      <w:r>
        <w:t>8.3 Ranking</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opportunity_score =</w:t>
              <w:br/>
            </w:r>
            <w:r>
              <w:rPr>
                <w:rFonts w:ascii="Liberation Mono" w:hAnsi="Liberation Mono"/>
                <w:sz w:val="17"/>
              </w:rPr>
              <w:t xml:space="preserve">  expected_excess_return</w:t>
              <w:br/>
            </w:r>
            <w:r>
              <w:rPr>
                <w:rFonts w:ascii="Liberation Mono" w:hAnsi="Liberation Mono"/>
                <w:sz w:val="17"/>
              </w:rPr>
              <w:t>- lambda_downside   * expected_adverse_excursion</w:t>
              <w:br/>
            </w:r>
            <w:r>
              <w:rPr>
                <w:rFonts w:ascii="Liberation Mono" w:hAnsi="Liberation Mono"/>
                <w:sz w:val="17"/>
              </w:rPr>
              <w:t>- lambda_uncertainty* forecast_uncertainty</w:t>
              <w:br/>
            </w:r>
            <w:r>
              <w:rPr>
                <w:rFonts w:ascii="Liberation Mono" w:hAnsi="Liberation Mono"/>
                <w:sz w:val="17"/>
              </w:rPr>
              <w:t>- lambda_cost       * transaction_cost_estimate</w:t>
              <w:br/>
            </w:r>
            <w:r>
              <w:rPr>
                <w:rFonts w:ascii="Liberation Mono" w:hAnsi="Liberation Mono"/>
                <w:sz w:val="17"/>
              </w:rPr>
              <w:t>- lambda_drift      * distribution_shift</w:t>
              <w:br/>
            </w:r>
            <w:r>
              <w:rPr>
                <w:rFonts w:ascii="Liberation Mono" w:hAnsi="Liberation Mono"/>
                <w:sz w:val="17"/>
              </w:rPr>
              <w:t>+ lambda_calibration* model_reliability</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60"/>
            </w:pPr>
            <w:r>
              <w:rPr>
                <w:b/>
                <w:color w:val="1F4E78"/>
              </w:rPr>
              <w:t>Activity is not success</w:t>
            </w:r>
          </w:p>
          <w:p>
            <w:pPr>
              <w:spacing w:after="0"/>
            </w:pPr>
            <w:r>
              <w:t>The scanner should return zero setups on days with no reliable edge. Product quality is measured by calibration and decision usefulness, not recommendation count.</w:t>
            </w:r>
          </w:p>
        </w:tc>
      </w:tr>
    </w:tbl>
    <w:p>
      <w:r>
        <w:br w:type="page"/>
      </w:r>
    </w:p>
    <w:p>
      <w:pPr>
        <w:pStyle w:val="Heading1"/>
      </w:pPr>
      <w:r>
        <w:t>9. Closed-Loop Evaluation and Learning</w:t>
      </w:r>
    </w:p>
    <w:p>
      <w:pPr>
        <w:pStyle w:val="Heading2"/>
      </w:pPr>
      <w:r>
        <w:t>9.1 Three Separate Feedback Streams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1F4E78"/>
          </w:tcPr>
          <w:p>
            <w:r>
              <w:rPr>
                <w:b/>
                <w:color w:val="FFFFFF"/>
                <w:sz w:val="16"/>
              </w:rPr>
              <w:t>Feedback type</w:t>
            </w:r>
          </w:p>
        </w:tc>
        <w:tc>
          <w:tcPr>
            <w:tcW w:type="dxa" w:w="3024"/>
            <w:shd w:fill="1F4E78"/>
          </w:tcPr>
          <w:p>
            <w:r>
              <w:rPr>
                <w:b/>
                <w:color w:val="FFFFFF"/>
                <w:sz w:val="16"/>
              </w:rPr>
              <w:t>Examples</w:t>
            </w:r>
          </w:p>
        </w:tc>
        <w:tc>
          <w:tcPr>
            <w:tcW w:type="dxa" w:w="2880"/>
            <w:shd w:fill="1F4E78"/>
          </w:tcPr>
          <w:p>
            <w:r>
              <w:rPr>
                <w:b/>
                <w:color w:val="FFFFFF"/>
                <w:sz w:val="16"/>
              </w:rPr>
              <w:t>May affect</w:t>
            </w:r>
          </w:p>
        </w:tc>
        <w:tc>
          <w:tcPr>
            <w:tcW w:type="dxa" w:w="2448"/>
            <w:shd w:fill="1F4E78"/>
          </w:tcPr>
          <w:p>
            <w:r>
              <w:rPr>
                <w:b/>
                <w:color w:val="FFFFFF"/>
                <w:sz w:val="16"/>
              </w:rPr>
              <w:t>Must not directly affect</w:t>
            </w:r>
          </w:p>
        </w:tc>
      </w:tr>
      <w:tr>
        <w:tc>
          <w:tcPr>
            <w:tcW w:type="dxa" w:w="1728"/>
            <w:vAlign w:val="top"/>
            <w:tcMar>
              <w:top w:w="60" w:type="dxa"/>
              <w:start w:w="70" w:type="dxa"/>
              <w:bottom w:w="60" w:type="dxa"/>
              <w:end w:w="70" w:type="dxa"/>
            </w:tcMar>
          </w:tcPr>
          <w:p>
            <w:r>
              <w:rPr>
                <w:sz w:val="15"/>
              </w:rPr>
              <w:t>Objective outcomes</w:t>
            </w:r>
          </w:p>
        </w:tc>
        <w:tc>
          <w:tcPr>
            <w:tcW w:type="dxa" w:w="3024"/>
            <w:vAlign w:val="top"/>
            <w:tcMar>
              <w:top w:w="60" w:type="dxa"/>
              <w:start w:w="70" w:type="dxa"/>
              <w:bottom w:w="60" w:type="dxa"/>
              <w:end w:w="70" w:type="dxa"/>
            </w:tcMar>
          </w:tcPr>
          <w:p>
            <w:r>
              <w:rPr>
                <w:sz w:val="15"/>
              </w:rPr>
              <w:t>Forward returns, excess returns, adverse excursion, recovery</w:t>
            </w:r>
          </w:p>
        </w:tc>
        <w:tc>
          <w:tcPr>
            <w:tcW w:type="dxa" w:w="2880"/>
            <w:vAlign w:val="top"/>
            <w:tcMar>
              <w:top w:w="60" w:type="dxa"/>
              <w:start w:w="70" w:type="dxa"/>
              <w:bottom w:w="60" w:type="dxa"/>
              <w:end w:w="70" w:type="dxa"/>
            </w:tcMar>
          </w:tcPr>
          <w:p>
            <w:r>
              <w:rPr>
                <w:sz w:val="15"/>
              </w:rPr>
              <w:t>Model evaluation and future candidate training sets</w:t>
            </w:r>
          </w:p>
        </w:tc>
        <w:tc>
          <w:tcPr>
            <w:tcW w:type="dxa" w:w="2448"/>
            <w:vAlign w:val="top"/>
            <w:tcMar>
              <w:top w:w="60" w:type="dxa"/>
              <w:start w:w="70" w:type="dxa"/>
              <w:bottom w:w="60" w:type="dxa"/>
              <w:end w:w="70" w:type="dxa"/>
            </w:tcMar>
          </w:tcPr>
          <w:p>
            <w:r>
              <w:rPr>
                <w:sz w:val="15"/>
              </w:rPr>
              <w:t>Past forecast records</w:t>
            </w:r>
          </w:p>
        </w:tc>
      </w:tr>
      <w:tr>
        <w:tc>
          <w:tcPr>
            <w:tcW w:type="dxa" w:w="1728"/>
            <w:vAlign w:val="top"/>
            <w:tcMar>
              <w:top w:w="60" w:type="dxa"/>
              <w:start w:w="70" w:type="dxa"/>
              <w:bottom w:w="60" w:type="dxa"/>
              <w:end w:w="70" w:type="dxa"/>
            </w:tcMar>
          </w:tcPr>
          <w:p>
            <w:r>
              <w:rPr>
                <w:sz w:val="15"/>
              </w:rPr>
              <w:t>User actions</w:t>
            </w:r>
          </w:p>
        </w:tc>
        <w:tc>
          <w:tcPr>
            <w:tcW w:type="dxa" w:w="3024"/>
            <w:vAlign w:val="top"/>
            <w:tcMar>
              <w:top w:w="60" w:type="dxa"/>
              <w:start w:w="70" w:type="dxa"/>
              <w:bottom w:w="60" w:type="dxa"/>
              <w:end w:w="70" w:type="dxa"/>
            </w:tcMar>
          </w:tcPr>
          <w:p>
            <w:r>
              <w:rPr>
                <w:sz w:val="15"/>
              </w:rPr>
              <w:t>Buy, sell, hold, watch, stand down, sizing, timing</w:t>
            </w:r>
          </w:p>
        </w:tc>
        <w:tc>
          <w:tcPr>
            <w:tcW w:type="dxa" w:w="2880"/>
            <w:vAlign w:val="top"/>
            <w:tcMar>
              <w:top w:w="60" w:type="dxa"/>
              <w:start w:w="70" w:type="dxa"/>
              <w:bottom w:w="60" w:type="dxa"/>
              <w:end w:w="70" w:type="dxa"/>
            </w:tcMar>
          </w:tcPr>
          <w:p>
            <w:r>
              <w:rPr>
                <w:sz w:val="15"/>
              </w:rPr>
              <w:t>Personal decision analytics and human-model combination layer</w:t>
            </w:r>
          </w:p>
        </w:tc>
        <w:tc>
          <w:tcPr>
            <w:tcW w:type="dxa" w:w="2448"/>
            <w:vAlign w:val="top"/>
            <w:tcMar>
              <w:top w:w="60" w:type="dxa"/>
              <w:start w:w="70" w:type="dxa"/>
              <w:bottom w:w="60" w:type="dxa"/>
              <w:end w:w="70" w:type="dxa"/>
            </w:tcMar>
          </w:tcPr>
          <w:p>
            <w:r>
              <w:rPr>
                <w:sz w:val="15"/>
              </w:rPr>
              <w:t>Base market outcome labels</w:t>
            </w:r>
          </w:p>
        </w:tc>
      </w:tr>
      <w:tr>
        <w:tc>
          <w:tcPr>
            <w:tcW w:type="dxa" w:w="1728"/>
            <w:vAlign w:val="top"/>
            <w:tcMar>
              <w:top w:w="60" w:type="dxa"/>
              <w:start w:w="70" w:type="dxa"/>
              <w:bottom w:w="60" w:type="dxa"/>
              <w:end w:w="70" w:type="dxa"/>
            </w:tcMar>
          </w:tcPr>
          <w:p>
            <w:r>
              <w:rPr>
                <w:sz w:val="15"/>
              </w:rPr>
              <w:t>User opinions</w:t>
            </w:r>
          </w:p>
        </w:tc>
        <w:tc>
          <w:tcPr>
            <w:tcW w:type="dxa" w:w="3024"/>
            <w:vAlign w:val="top"/>
            <w:tcMar>
              <w:top w:w="60" w:type="dxa"/>
              <w:start w:w="70" w:type="dxa"/>
              <w:bottom w:w="60" w:type="dxa"/>
              <w:end w:w="70" w:type="dxa"/>
            </w:tcMar>
          </w:tcPr>
          <w:p>
            <w:r>
              <w:rPr>
                <w:sz w:val="15"/>
              </w:rPr>
              <w:t>Explanation useful, missing catalyst, bad article classification</w:t>
            </w:r>
          </w:p>
        </w:tc>
        <w:tc>
          <w:tcPr>
            <w:tcW w:type="dxa" w:w="2880"/>
            <w:vAlign w:val="top"/>
            <w:tcMar>
              <w:top w:w="60" w:type="dxa"/>
              <w:start w:w="70" w:type="dxa"/>
              <w:bottom w:w="60" w:type="dxa"/>
              <w:end w:w="70" w:type="dxa"/>
            </w:tcMar>
          </w:tcPr>
          <w:p>
            <w:r>
              <w:rPr>
                <w:sz w:val="15"/>
              </w:rPr>
              <w:t>Retrieval, explanations, data correction queue</w:t>
            </w:r>
          </w:p>
        </w:tc>
        <w:tc>
          <w:tcPr>
            <w:tcW w:type="dxa" w:w="2448"/>
            <w:vAlign w:val="top"/>
            <w:tcMar>
              <w:top w:w="60" w:type="dxa"/>
              <w:start w:w="70" w:type="dxa"/>
              <w:bottom w:w="60" w:type="dxa"/>
              <w:end w:w="70" w:type="dxa"/>
            </w:tcMar>
          </w:tcPr>
          <w:p>
            <w:r>
              <w:rPr>
                <w:sz w:val="15"/>
              </w:rPr>
              <w:t>Numerical forecast probability without validation</w:t>
            </w:r>
          </w:p>
        </w:tc>
      </w:tr>
      <w:tr>
        <w:tc>
          <w:tcPr>
            <w:tcW w:type="dxa" w:w="1728"/>
            <w:vAlign w:val="top"/>
            <w:tcMar>
              <w:top w:w="60" w:type="dxa"/>
              <w:start w:w="70" w:type="dxa"/>
              <w:bottom w:w="60" w:type="dxa"/>
              <w:end w:w="70" w:type="dxa"/>
            </w:tcMar>
          </w:tcPr>
          <w:p>
            <w:r>
              <w:rPr>
                <w:sz w:val="15"/>
              </w:rPr>
              <w:t>Data corrections</w:t>
            </w:r>
          </w:p>
        </w:tc>
        <w:tc>
          <w:tcPr>
            <w:tcW w:type="dxa" w:w="3024"/>
            <w:vAlign w:val="top"/>
            <w:tcMar>
              <w:top w:w="60" w:type="dxa"/>
              <w:start w:w="70" w:type="dxa"/>
              <w:bottom w:w="60" w:type="dxa"/>
              <w:end w:w="70" w:type="dxa"/>
            </w:tcMar>
          </w:tcPr>
          <w:p>
            <w:r>
              <w:rPr>
                <w:sz w:val="15"/>
              </w:rPr>
              <w:t>Wrong quote, duplicate article, missing split adjustment</w:t>
            </w:r>
          </w:p>
        </w:tc>
        <w:tc>
          <w:tcPr>
            <w:tcW w:type="dxa" w:w="2880"/>
            <w:vAlign w:val="top"/>
            <w:tcMar>
              <w:top w:w="60" w:type="dxa"/>
              <w:start w:w="70" w:type="dxa"/>
              <w:bottom w:w="60" w:type="dxa"/>
              <w:end w:w="70" w:type="dxa"/>
            </w:tcMar>
          </w:tcPr>
          <w:p>
            <w:r>
              <w:rPr>
                <w:sz w:val="15"/>
              </w:rPr>
              <w:t>Corrected data version and reprocessing queue</w:t>
            </w:r>
          </w:p>
        </w:tc>
        <w:tc>
          <w:tcPr>
            <w:tcW w:type="dxa" w:w="2448"/>
            <w:vAlign w:val="top"/>
            <w:tcMar>
              <w:top w:w="60" w:type="dxa"/>
              <w:start w:w="70" w:type="dxa"/>
              <w:bottom w:w="60" w:type="dxa"/>
              <w:end w:w="70" w:type="dxa"/>
            </w:tcMar>
          </w:tcPr>
          <w:p>
            <w:r>
              <w:rPr>
                <w:sz w:val="15"/>
              </w:rPr>
              <w:t>Silent overwrite of immutable snapshots</w:t>
            </w:r>
          </w:p>
        </w:tc>
      </w:tr>
    </w:tbl>
    <w:p>
      <w:pPr>
        <w:pStyle w:val="Heading2"/>
      </w:pPr>
      <w:r>
        <w:t>9.2 Outcome Scheduling</w:t>
      </w:r>
    </w:p>
    <w:p>
      <w:r>
        <w:rPr>
          <w:i w:val="0"/>
        </w:rPr>
        <w:t>For each forecast horizon, create evaluation tasks based on trading calendars rather than calendar days. The job records:</w:t>
      </w:r>
    </w:p>
    <w:p>
      <w:pPr>
        <w:pStyle w:val="ListBullet"/>
      </w:pPr>
      <w:r>
        <w:t>Ending adjusted price and benchmark price.</w:t>
      </w:r>
    </w:p>
    <w:p>
      <w:pPr>
        <w:pStyle w:val="ListBullet"/>
      </w:pPr>
      <w:r>
        <w:t>Absolute and benchmark-relative return.</w:t>
      </w:r>
    </w:p>
    <w:p>
      <w:pPr>
        <w:pStyle w:val="ListBullet"/>
      </w:pPr>
      <w:r>
        <w:t>Maximum adverse and favorable excursion.</w:t>
      </w:r>
    </w:p>
    <w:p>
      <w:pPr>
        <w:pStyle w:val="ListBullet"/>
      </w:pPr>
      <w:r>
        <w:t>Whether the target event occurred.</w:t>
      </w:r>
    </w:p>
    <w:p>
      <w:pPr>
        <w:pStyle w:val="ListBullet"/>
      </w:pPr>
      <w:r>
        <w:t>Whether the forecast interval contained the result.</w:t>
      </w:r>
    </w:p>
    <w:p>
      <w:pPr>
        <w:pStyle w:val="ListBullet"/>
      </w:pPr>
      <w:r>
        <w:t>Brier contribution and log-loss contribution.</w:t>
      </w:r>
    </w:p>
    <w:p>
      <w:pPr>
        <w:pStyle w:val="ListBullet"/>
      </w:pPr>
      <w:r>
        <w:t>Data completeness and corporate-action warnings.</w:t>
      </w:r>
    </w:p>
    <w:p>
      <w:pPr>
        <w:pStyle w:val="ListBullet"/>
      </w:pPr>
      <w:r>
        <w:t>User action outcome when an execution exists.</w:t>
      </w:r>
    </w:p>
    <w:p>
      <w:pPr>
        <w:pStyle w:val="Heading2"/>
      </w:pPr>
      <w:r>
        <w:t>9.3 Model and User Scorecards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tcPr>
          <w:p>
            <w:r>
              <w:rPr>
                <w:b/>
                <w:color w:val="FFFFFF"/>
              </w:rPr>
              <w:t>Item</w:t>
            </w:r>
          </w:p>
        </w:tc>
        <w:tc>
          <w:tcPr>
            <w:tcW w:type="dxa" w:w="7848"/>
            <w:shd w:fill="1F4E78"/>
          </w:tcPr>
          <w:p>
            <w:r>
              <w:rPr>
                <w:b/>
                <w:color w:val="FFFFFF"/>
              </w:rPr>
              <w:t>Specification</w:t>
            </w:r>
          </w:p>
        </w:tc>
      </w:tr>
      <w:tr>
        <w:tc>
          <w:tcPr>
            <w:tcW w:type="dxa" w:w="2232"/>
            <w:vAlign w:val="top"/>
            <w:tcMar>
              <w:top w:w="80" w:type="dxa"/>
              <w:start w:w="90" w:type="dxa"/>
              <w:bottom w:w="80" w:type="dxa"/>
              <w:end w:w="90" w:type="dxa"/>
            </w:tcMar>
          </w:tcPr>
          <w:p>
            <w:r>
              <w:t>Forecast calibration</w:t>
            </w:r>
          </w:p>
        </w:tc>
        <w:tc>
          <w:tcPr>
            <w:tcW w:type="dxa" w:w="7848"/>
            <w:vAlign w:val="top"/>
            <w:tcMar>
              <w:top w:w="80" w:type="dxa"/>
              <w:start w:w="90" w:type="dxa"/>
              <w:bottom w:w="80" w:type="dxa"/>
              <w:end w:w="90" w:type="dxa"/>
            </w:tcMar>
          </w:tcPr>
          <w:p>
            <w:r>
              <w:t>Reliability by probability bucket, Brier score, log loss, interval coverage, calibration slope, and expected calibration error.</w:t>
            </w:r>
          </w:p>
        </w:tc>
      </w:tr>
      <w:tr>
        <w:tc>
          <w:tcPr>
            <w:tcW w:type="dxa" w:w="2232"/>
            <w:vAlign w:val="top"/>
            <w:tcMar>
              <w:top w:w="80" w:type="dxa"/>
              <w:start w:w="90" w:type="dxa"/>
              <w:bottom w:w="80" w:type="dxa"/>
              <w:end w:w="90" w:type="dxa"/>
            </w:tcMar>
          </w:tcPr>
          <w:p>
            <w:r>
              <w:t>Economic usefulness</w:t>
            </w:r>
          </w:p>
        </w:tc>
        <w:tc>
          <w:tcPr>
            <w:tcW w:type="dxa" w:w="7848"/>
            <w:vAlign w:val="top"/>
            <w:tcMar>
              <w:top w:w="80" w:type="dxa"/>
              <w:start w:w="90" w:type="dxa"/>
              <w:bottom w:w="80" w:type="dxa"/>
              <w:end w:w="90" w:type="dxa"/>
            </w:tcMar>
          </w:tcPr>
          <w:p>
            <w:r>
              <w:t>Average excess return of qualified setups, drawdown, adverse excursion, turnover, and performance after configurable costs.</w:t>
            </w:r>
          </w:p>
        </w:tc>
      </w:tr>
      <w:tr>
        <w:tc>
          <w:tcPr>
            <w:tcW w:type="dxa" w:w="2232"/>
            <w:vAlign w:val="top"/>
            <w:tcMar>
              <w:top w:w="80" w:type="dxa"/>
              <w:start w:w="90" w:type="dxa"/>
              <w:bottom w:w="80" w:type="dxa"/>
              <w:end w:w="90" w:type="dxa"/>
            </w:tcMar>
          </w:tcPr>
          <w:p>
            <w:r>
              <w:t>Setup diagnostics</w:t>
            </w:r>
          </w:p>
        </w:tc>
        <w:tc>
          <w:tcPr>
            <w:tcW w:type="dxa" w:w="7848"/>
            <w:vAlign w:val="top"/>
            <w:tcMar>
              <w:top w:w="80" w:type="dxa"/>
              <w:start w:w="90" w:type="dxa"/>
              <w:bottom w:w="80" w:type="dxa"/>
              <w:end w:w="90" w:type="dxa"/>
            </w:tcMar>
          </w:tcPr>
          <w:p>
            <w:r>
              <w:t>Performance by ETF, horizon, regime, trigger type, model version, confidence tier, and data-quality tier.</w:t>
            </w:r>
          </w:p>
        </w:tc>
      </w:tr>
      <w:tr>
        <w:tc>
          <w:tcPr>
            <w:tcW w:type="dxa" w:w="2232"/>
            <w:vAlign w:val="top"/>
            <w:tcMar>
              <w:top w:w="80" w:type="dxa"/>
              <w:start w:w="90" w:type="dxa"/>
              <w:bottom w:w="80" w:type="dxa"/>
              <w:end w:w="90" w:type="dxa"/>
            </w:tcMar>
          </w:tcPr>
          <w:p>
            <w:r>
              <w:t>User judgment</w:t>
            </w:r>
          </w:p>
        </w:tc>
        <w:tc>
          <w:tcPr>
            <w:tcW w:type="dxa" w:w="7848"/>
            <w:vAlign w:val="top"/>
            <w:tcMar>
              <w:top w:w="80" w:type="dxa"/>
              <w:start w:w="90" w:type="dxa"/>
              <w:bottom w:w="80" w:type="dxa"/>
              <w:end w:w="90" w:type="dxa"/>
            </w:tcMar>
          </w:tcPr>
          <w:p>
            <w:r>
              <w:t>Return and drawdown for user actions, stand-down value, override value, entry slippage, sizing discipline, and thesis/invalidation quality.</w:t>
            </w:r>
          </w:p>
        </w:tc>
      </w:tr>
      <w:tr>
        <w:tc>
          <w:tcPr>
            <w:tcW w:type="dxa" w:w="2232"/>
            <w:vAlign w:val="top"/>
            <w:tcMar>
              <w:top w:w="80" w:type="dxa"/>
              <w:start w:w="90" w:type="dxa"/>
              <w:bottom w:w="80" w:type="dxa"/>
              <w:end w:w="90" w:type="dxa"/>
            </w:tcMar>
          </w:tcPr>
          <w:p>
            <w:r>
              <w:t>Combined intelligence</w:t>
            </w:r>
          </w:p>
        </w:tc>
        <w:tc>
          <w:tcPr>
            <w:tcW w:type="dxa" w:w="7848"/>
            <w:vAlign w:val="top"/>
            <w:tcMar>
              <w:top w:w="80" w:type="dxa"/>
              <w:start w:w="90" w:type="dxa"/>
              <w:bottom w:w="80" w:type="dxa"/>
              <w:end w:w="90" w:type="dxa"/>
            </w:tcMar>
          </w:tcPr>
          <w:p>
            <w:r>
              <w:t>Compare model-only standard action, user action, and rules-based combination. Mark counterfactuals as hypothetical.</w:t>
            </w:r>
          </w:p>
        </w:tc>
      </w:tr>
      <w:tr>
        <w:tc>
          <w:tcPr>
            <w:tcW w:type="dxa" w:w="2232"/>
            <w:vAlign w:val="top"/>
            <w:tcMar>
              <w:top w:w="80" w:type="dxa"/>
              <w:start w:w="90" w:type="dxa"/>
              <w:bottom w:w="80" w:type="dxa"/>
              <w:end w:w="90" w:type="dxa"/>
            </w:tcMar>
          </w:tcPr>
          <w:p>
            <w:r>
              <w:t>Behavior patterns</w:t>
            </w:r>
          </w:p>
        </w:tc>
        <w:tc>
          <w:tcPr>
            <w:tcW w:type="dxa" w:w="7848"/>
            <w:vAlign w:val="top"/>
            <w:tcMar>
              <w:top w:w="80" w:type="dxa"/>
              <w:start w:w="90" w:type="dxa"/>
              <w:bottom w:w="80" w:type="dxa"/>
              <w:end w:w="90" w:type="dxa"/>
            </w:tcMar>
          </w:tcPr>
          <w:p>
            <w:r>
              <w:t>Where the user tends to chase, sell early, ignore high-quality setups, size inconsistently, or add value through domain judgment.</w:t>
            </w:r>
          </w:p>
        </w:tc>
      </w:tr>
    </w:tbl>
    <w:p>
      <w:pPr>
        <w:pStyle w:val="Heading2"/>
      </w:pPr>
      <w:r>
        <w:t>9.4 Controlled Model Lifecycle</w:t>
      </w:r>
    </w:p>
    <w:p>
      <w:pPr>
        <w:ind w:left="346" w:hanging="346"/>
      </w:pPr>
      <w:r>
        <w:rPr>
          <w:b w:val="0"/>
        </w:rPr>
        <w:t xml:space="preserve">1. </w:t>
      </w:r>
      <w:r>
        <w:t>Production champion creates immutable forecasts.</w:t>
      </w:r>
    </w:p>
    <w:p>
      <w:pPr>
        <w:ind w:left="346" w:hanging="346"/>
      </w:pPr>
      <w:r>
        <w:rPr>
          <w:b w:val="0"/>
        </w:rPr>
        <w:t xml:space="preserve">2. </w:t>
      </w:r>
      <w:r>
        <w:t>Matured outcomes enter an evaluation dataset.</w:t>
      </w:r>
    </w:p>
    <w:p>
      <w:pPr>
        <w:ind w:left="346" w:hanging="346"/>
      </w:pPr>
      <w:r>
        <w:rPr>
          <w:b w:val="0"/>
        </w:rPr>
        <w:t xml:space="preserve">3. </w:t>
      </w:r>
      <w:r>
        <w:t>A scheduled research job creates a candidate dataset using only point-in-time fields.</w:t>
      </w:r>
    </w:p>
    <w:p>
      <w:pPr>
        <w:ind w:left="346" w:hanging="346"/>
      </w:pPr>
      <w:r>
        <w:rPr>
          <w:b w:val="0"/>
        </w:rPr>
        <w:t xml:space="preserve">4. </w:t>
      </w:r>
      <w:r>
        <w:t>Candidate models are trained on expanding or rolling historical windows.</w:t>
      </w:r>
    </w:p>
    <w:p>
      <w:pPr>
        <w:ind w:left="346" w:hanging="346"/>
      </w:pPr>
      <w:r>
        <w:rPr>
          <w:b w:val="0"/>
        </w:rPr>
        <w:t xml:space="preserve">5. </w:t>
      </w:r>
      <w:r>
        <w:t>Walk-forward results are compared with simple baselines and the champion.</w:t>
      </w:r>
    </w:p>
    <w:p>
      <w:pPr>
        <w:ind w:left="346" w:hanging="346"/>
      </w:pPr>
      <w:r>
        <w:rPr>
          <w:b w:val="0"/>
        </w:rPr>
        <w:t xml:space="preserve">6. </w:t>
      </w:r>
      <w:r>
        <w:t>The challenger runs in shadow mode on current data without influencing recommendations.</w:t>
      </w:r>
    </w:p>
    <w:p>
      <w:pPr>
        <w:ind w:left="346" w:hanging="346"/>
      </w:pPr>
      <w:r>
        <w:rPr>
          <w:b w:val="0"/>
        </w:rPr>
        <w:t xml:space="preserve">7. </w:t>
      </w:r>
      <w:r>
        <w:t>Promotion requires explicit thresholds across calibration, stability, economic usefulness, and regime robustness.</w:t>
      </w:r>
    </w:p>
    <w:p>
      <w:pPr>
        <w:ind w:left="346" w:hanging="346"/>
      </w:pPr>
      <w:r>
        <w:rPr>
          <w:b w:val="0"/>
        </w:rPr>
        <w:t xml:space="preserve">8. </w:t>
      </w:r>
      <w:r>
        <w:t>Promotion is manual in V1. Store approver, reason, metrics, and commit SHA.</w:t>
      </w:r>
    </w:p>
    <w:p>
      <w:pPr>
        <w:ind w:left="346" w:hanging="346"/>
      </w:pPr>
      <w:r>
        <w:rPr>
          <w:b w:val="0"/>
        </w:rPr>
        <w:t xml:space="preserve">9. </w:t>
      </w:r>
      <w:r>
        <w:t>The prior champion remains deployable for rollback.</w:t>
      </w:r>
    </w:p>
    <w:p>
      <w:pPr>
        <w:pStyle w:val="Heading2"/>
      </w:pPr>
      <w:r>
        <w:t>9.5 Minimum Promotion Gates</w:t>
      </w:r>
    </w:p>
    <w:p>
      <w:pPr>
        <w:pStyle w:val="ListBullet"/>
      </w:pPr>
      <w:r>
        <w:t>No material look-ahead or leakage findings.</w:t>
      </w:r>
    </w:p>
    <w:p>
      <w:pPr>
        <w:pStyle w:val="ListBullet"/>
      </w:pPr>
      <w:r>
        <w:t>Improved or non-inferior Brier score and log loss on walk-forward and holdout periods.</w:t>
      </w:r>
    </w:p>
    <w:p>
      <w:pPr>
        <w:pStyle w:val="ListBullet"/>
      </w:pPr>
      <w:r>
        <w:t>Calibration does not deteriorate materially.</w:t>
      </w:r>
    </w:p>
    <w:p>
      <w:pPr>
        <w:pStyle w:val="ListBullet"/>
      </w:pPr>
      <w:r>
        <w:t>Performance is not dominated by one ETF, one year, or one regime.</w:t>
      </w:r>
    </w:p>
    <w:p>
      <w:pPr>
        <w:pStyle w:val="ListBullet"/>
      </w:pPr>
      <w:r>
        <w:t>Expected-return improvement remains after reasonable trading-cost assumptions.</w:t>
      </w:r>
    </w:p>
    <w:p>
      <w:pPr>
        <w:pStyle w:val="ListBullet"/>
      </w:pPr>
      <w:r>
        <w:t>Model output is reproducible from a saved model artifact and feature schema.</w:t>
      </w:r>
    </w:p>
    <w:p>
      <w:pPr>
        <w:pStyle w:val="ListBullet"/>
      </w:pPr>
      <w:r>
        <w:t>Shadow-period behavior is stable and no critical data-quality issue is open.</w:t>
      </w:r>
    </w:p>
    <w:p>
      <w:r>
        <w:br w:type="page"/>
      </w:r>
    </w:p>
    <w:p>
      <w:pPr>
        <w:pStyle w:val="Heading1"/>
      </w:pPr>
      <w:r>
        <w:t>10. Ask Market Memory: Search and Research Interface</w:t>
      </w:r>
    </w:p>
    <w:p>
      <w:pPr>
        <w:pStyle w:val="Heading2"/>
      </w:pPr>
      <w:r>
        <w:t>10.1 Supported Query Types</w:t>
      </w:r>
    </w:p>
    <w:p>
      <w:pPr>
        <w:pStyle w:val="ListBullet"/>
      </w:pPr>
      <w:r>
        <w:t>Current analysis: “Analyze SMH at 280.90.”</w:t>
      </w:r>
    </w:p>
    <w:p>
      <w:pPr>
        <w:pStyle w:val="ListBullet"/>
      </w:pPr>
      <w:r>
        <w:t>Daily opportunities: “What setups triggered today?”</w:t>
      </w:r>
    </w:p>
    <w:p>
      <w:pPr>
        <w:pStyle w:val="ListBullet"/>
      </w:pPr>
      <w:r>
        <w:t>Historical analogs: “When have semis fallen this much with stable credit?”</w:t>
      </w:r>
    </w:p>
    <w:p>
      <w:pPr>
        <w:pStyle w:val="ListBullet"/>
      </w:pPr>
      <w:r>
        <w:t>Prediction accountability: “What did the model say about SMH last month?”</w:t>
      </w:r>
    </w:p>
    <w:p>
      <w:pPr>
        <w:pStyle w:val="ListBullet"/>
      </w:pPr>
      <w:r>
        <w:t>Personal behavior: “Show times I stood down when the model was bullish.”</w:t>
      </w:r>
    </w:p>
    <w:p>
      <w:pPr>
        <w:pStyle w:val="ListBullet"/>
      </w:pPr>
      <w:r>
        <w:t>Model evaluation: “Has the five-day semiconductor model been overconfident?”</w:t>
      </w:r>
    </w:p>
    <w:p>
      <w:pPr>
        <w:pStyle w:val="ListBullet"/>
      </w:pPr>
      <w:r>
        <w:t>Regime research: “Which ETFs historically did best in falling-inflation, stable-rate regimes?”</w:t>
      </w:r>
    </w:p>
    <w:p>
      <w:pPr>
        <w:pStyle w:val="ListBullet"/>
      </w:pPr>
      <w:r>
        <w:t>Portfolio memory: “What did I own on prior high-volatility decision days?”</w:t>
      </w:r>
    </w:p>
    <w:p>
      <w:pPr>
        <w:pStyle w:val="Heading2"/>
      </w:pPr>
      <w:r>
        <w:t>10.2 Query Router</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User question</w:t>
              <w:br/>
            </w:r>
            <w:r>
              <w:rPr>
                <w:rFonts w:ascii="Liberation Mono" w:hAnsi="Liberation Mono"/>
                <w:sz w:val="17"/>
              </w:rPr>
              <w:t xml:space="preserve">  -&gt; intent classification</w:t>
              <w:br/>
            </w:r>
            <w:r>
              <w:rPr>
                <w:rFonts w:ascii="Liberation Mono" w:hAnsi="Liberation Mono"/>
                <w:sz w:val="17"/>
              </w:rPr>
              <w:t xml:space="preserve">  -&gt; entity and horizon extraction</w:t>
              <w:br/>
            </w:r>
            <w:r>
              <w:rPr>
                <w:rFonts w:ascii="Liberation Mono" w:hAnsi="Liberation Mono"/>
                <w:sz w:val="17"/>
              </w:rPr>
              <w:t xml:space="preserve">  -&gt; authorization context</w:t>
              <w:br/>
            </w:r>
            <w:r>
              <w:rPr>
                <w:rFonts w:ascii="Liberation Mono" w:hAnsi="Liberation Mono"/>
                <w:sz w:val="17"/>
              </w:rPr>
              <w:t xml:space="preserve">  -&gt; one or more tools:</w:t>
              <w:br/>
            </w:r>
            <w:r>
              <w:rPr>
                <w:rFonts w:ascii="Liberation Mono" w:hAnsi="Liberation Mono"/>
                <w:sz w:val="17"/>
              </w:rPr>
              <w:t xml:space="preserve">       SQL analytics</w:t>
              <w:br/>
            </w:r>
            <w:r>
              <w:rPr>
                <w:rFonts w:ascii="Liberation Mono" w:hAnsi="Liberation Mono"/>
                <w:sz w:val="17"/>
              </w:rPr>
              <w:t xml:space="preserve">       quote retrieval</w:t>
              <w:br/>
            </w:r>
            <w:r>
              <w:rPr>
                <w:rFonts w:ascii="Liberation Mono" w:hAnsi="Liberation Mono"/>
                <w:sz w:val="17"/>
              </w:rPr>
              <w:t xml:space="preserve">       quant inference</w:t>
              <w:br/>
            </w:r>
            <w:r>
              <w:rPr>
                <w:rFonts w:ascii="Liberation Mono" w:hAnsi="Liberation Mono"/>
                <w:sz w:val="17"/>
              </w:rPr>
              <w:t xml:space="preserve">       analog search</w:t>
              <w:br/>
            </w:r>
            <w:r>
              <w:rPr>
                <w:rFonts w:ascii="Liberation Mono" w:hAnsi="Liberation Mono"/>
                <w:sz w:val="17"/>
              </w:rPr>
              <w:t xml:space="preserve">       pgvector retrieval</w:t>
              <w:br/>
            </w:r>
            <w:r>
              <w:rPr>
                <w:rFonts w:ascii="Liberation Mono" w:hAnsi="Liberation Mono"/>
                <w:sz w:val="17"/>
              </w:rPr>
              <w:t xml:space="preserve">       news retrieval</w:t>
              <w:br/>
            </w:r>
            <w:r>
              <w:rPr>
                <w:rFonts w:ascii="Liberation Mono" w:hAnsi="Liberation Mono"/>
                <w:sz w:val="17"/>
              </w:rPr>
              <w:t xml:space="preserve">  -&gt; structured evidence bundle</w:t>
              <w:br/>
            </w:r>
            <w:r>
              <w:rPr>
                <w:rFonts w:ascii="Liberation Mono" w:hAnsi="Liberation Mono"/>
                <w:sz w:val="17"/>
              </w:rPr>
              <w:t xml:space="preserve">  -&gt; LLM explanation</w:t>
              <w:br/>
            </w:r>
            <w:r>
              <w:rPr>
                <w:rFonts w:ascii="Liberation Mono" w:hAnsi="Liberation Mono"/>
                <w:sz w:val="17"/>
              </w:rPr>
              <w:t xml:space="preserve">  -&gt; answer with references to stored records</w:t>
            </w:r>
          </w:p>
        </w:tc>
      </w:tr>
    </w:tbl>
    <w:p>
      <w:pPr>
        <w:spacing w:after="0"/>
      </w:pPr>
    </w:p>
    <w:p>
      <w:pPr>
        <w:pStyle w:val="Heading2"/>
      </w:pPr>
      <w:r>
        <w:t>10.3 Retrieval Rules</w:t>
      </w:r>
    </w:p>
    <w:p>
      <w:pPr>
        <w:pStyle w:val="ListBullet"/>
      </w:pPr>
      <w:r>
        <w:t>Use SQL/RPC for counts, returns, probabilities, scorecards, and portfolio calculations.</w:t>
      </w:r>
    </w:p>
    <w:p>
      <w:pPr>
        <w:pStyle w:val="ListBullet"/>
      </w:pPr>
      <w:r>
        <w:t>Use pgvector for news, theses, postmortems, and semantically similar historical explanations.</w:t>
      </w:r>
    </w:p>
    <w:p>
      <w:pPr>
        <w:pStyle w:val="ListBullet"/>
      </w:pPr>
      <w:r>
        <w:t>Use the quant service for live inference and analog computation.</w:t>
      </w:r>
    </w:p>
    <w:p>
      <w:pPr>
        <w:pStyle w:val="ListBullet"/>
      </w:pPr>
      <w:r>
        <w:t>The LLM must not calculate performance statistics from raw prose.</w:t>
      </w:r>
    </w:p>
    <w:p>
      <w:pPr>
        <w:pStyle w:val="ListBullet"/>
      </w:pPr>
      <w:r>
        <w:t>Return an evidence list containing record IDs, dates, source names, and relevant fields.</w:t>
      </w:r>
    </w:p>
    <w:p>
      <w:pPr>
        <w:pStyle w:val="ListBullet"/>
      </w:pPr>
      <w:r>
        <w:t>If evidence is incomplete, say so and avoid a recommendation.</w:t>
      </w:r>
    </w:p>
    <w:p>
      <w:r>
        <w:br w:type="page"/>
      </w:r>
    </w:p>
    <w:p>
      <w:pPr>
        <w:pStyle w:val="Heading1"/>
      </w:pPr>
      <w:r>
        <w:t>11. Recommended Technical Architecture</w:t>
      </w:r>
    </w:p>
    <w:p>
      <w:pPr>
        <w:pStyle w:val="Heading2"/>
      </w:pPr>
      <w:r>
        <w:t>11.1 Chosen Architecture</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Browser</w:t>
              <w:br/>
            </w:r>
            <w:r>
              <w:rPr>
                <w:rFonts w:ascii="Liberation Mono" w:hAnsi="Liberation Mono"/>
                <w:sz w:val="17"/>
              </w:rPr>
              <w:t xml:space="preserve">  |</w:t>
              <w:br/>
            </w:r>
            <w:r>
              <w:rPr>
                <w:rFonts w:ascii="Liberation Mono" w:hAnsi="Liberation Mono"/>
                <w:sz w:val="17"/>
              </w:rPr>
              <w:t xml:space="preserve">  v</w:t>
              <w:br/>
            </w:r>
            <w:r>
              <w:rPr>
                <w:rFonts w:ascii="Liberation Mono" w:hAnsi="Liberation Mono"/>
                <w:sz w:val="17"/>
              </w:rPr>
              <w:t>Next.js application (TypeScript)</w:t>
              <w:br/>
            </w:r>
            <w:r>
              <w:rPr>
                <w:rFonts w:ascii="Liberation Mono" w:hAnsi="Liberation Mono"/>
                <w:sz w:val="17"/>
              </w:rPr>
              <w:t xml:space="preserve">  - Authenticated UI</w:t>
              <w:br/>
            </w:r>
            <w:r>
              <w:rPr>
                <w:rFonts w:ascii="Liberation Mono" w:hAnsi="Liberation Mono"/>
                <w:sz w:val="17"/>
              </w:rPr>
              <w:t xml:space="preserve">  - Server actions / API routes</w:t>
              <w:br/>
            </w:r>
            <w:r>
              <w:rPr>
                <w:rFonts w:ascii="Liberation Mono" w:hAnsi="Liberation Mono"/>
                <w:sz w:val="17"/>
              </w:rPr>
              <w:t xml:space="preserve">  - Quote orchestration</w:t>
              <w:br/>
            </w:r>
            <w:r>
              <w:rPr>
                <w:rFonts w:ascii="Liberation Mono" w:hAnsi="Liberation Mono"/>
                <w:sz w:val="17"/>
              </w:rPr>
              <w:t xml:space="preserve">  - Search orchestration</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                              |</w:t>
              <w:br/>
            </w:r>
            <w:r>
              <w:rPr>
                <w:rFonts w:ascii="Liberation Mono" w:hAnsi="Liberation Mono"/>
                <w:sz w:val="17"/>
              </w:rPr>
              <w:t xml:space="preserve">  v                              v</w:t>
              <w:br/>
            </w:r>
            <w:r>
              <w:rPr>
                <w:rFonts w:ascii="Liberation Mono" w:hAnsi="Liberation Mono"/>
                <w:sz w:val="17"/>
              </w:rPr>
              <w:t>Supabase                       Python Quant API</w:t>
              <w:br/>
            </w:r>
            <w:r>
              <w:rPr>
                <w:rFonts w:ascii="Liberation Mono" w:hAnsi="Liberation Mono"/>
                <w:sz w:val="17"/>
              </w:rPr>
              <w:t xml:space="preserve">  - Postgres                     - Feature assembly</w:t>
              <w:br/>
            </w:r>
            <w:r>
              <w:rPr>
                <w:rFonts w:ascii="Liberation Mono" w:hAnsi="Liberation Mono"/>
                <w:sz w:val="17"/>
              </w:rPr>
              <w:t xml:space="preserve">  - Auth                         - Regime inference</w:t>
              <w:br/>
            </w:r>
            <w:r>
              <w:rPr>
                <w:rFonts w:ascii="Liberation Mono" w:hAnsi="Liberation Mono"/>
                <w:sz w:val="17"/>
              </w:rPr>
              <w:t xml:space="preserve">  - Row Level Security           - Analog retrieval</w:t>
              <w:br/>
            </w:r>
            <w:r>
              <w:rPr>
                <w:rFonts w:ascii="Liberation Mono" w:hAnsi="Liberation Mono"/>
                <w:sz w:val="17"/>
              </w:rPr>
              <w:t xml:space="preserve">  - pgvector                     - Forecast inference</w:t>
              <w:br/>
            </w:r>
            <w:r>
              <w:rPr>
                <w:rFonts w:ascii="Liberation Mono" w:hAnsi="Liberation Mono"/>
                <w:sz w:val="17"/>
              </w:rPr>
              <w:t xml:space="preserve">  - Storage                      - Evaluation utilities</w:t>
              <w:br/>
            </w:r>
            <w:r>
              <w:rPr>
                <w:rFonts w:ascii="Liberation Mono" w:hAnsi="Liberation Mono"/>
                <w:sz w:val="17"/>
              </w:rPr>
              <w:t xml:space="preserve">  - Cron / Edge Functions        - Model artifact loading</w:t>
              <w:br/>
            </w:r>
            <w:r>
              <w:rPr>
                <w:rFonts w:ascii="Liberation Mono" w:hAnsi="Liberation Mono"/>
                <w:sz w:val="17"/>
              </w:rPr>
              <w:t xml:space="preserve">  |</w:t>
              <w:br/>
            </w:r>
            <w:r>
              <w:rPr>
                <w:rFonts w:ascii="Liberation Mono" w:hAnsi="Liberation Mono"/>
                <w:sz w:val="17"/>
              </w:rPr>
              <w:t xml:space="preserve">  v</w:t>
              <w:br/>
            </w:r>
            <w:r>
              <w:rPr>
                <w:rFonts w:ascii="Liberation Mono" w:hAnsi="Liberation Mono"/>
                <w:sz w:val="17"/>
              </w:rPr>
              <w:t>Scheduled jobs</w:t>
              <w:br/>
            </w:r>
            <w:r>
              <w:rPr>
                <w:rFonts w:ascii="Liberation Mono" w:hAnsi="Liberation Mono"/>
                <w:sz w:val="17"/>
              </w:rPr>
              <w:t xml:space="preserve">  - Supabase Cron for lightweight orchestration</w:t>
              <w:br/>
            </w:r>
            <w:r>
              <w:rPr>
                <w:rFonts w:ascii="Liberation Mono" w:hAnsi="Liberation Mono"/>
                <w:sz w:val="17"/>
              </w:rPr>
              <w:t xml:space="preserve">  - GitHub Actions Python workflows for daily ingestion, scanning, scoring, and retraining</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60"/>
            </w:pPr>
            <w:r>
              <w:rPr>
                <w:b/>
                <w:color w:val="1F4E78"/>
              </w:rPr>
              <w:t>Why this hybrid</w:t>
            </w:r>
          </w:p>
          <w:p>
            <w:pPr>
              <w:spacing w:after="0"/>
            </w:pPr>
            <w:r>
              <w:t>Supabase is excellent for durable state, security, SQL analytics, vector retrieval, and scheduling. Python remains the simplest environment for reproducible quantitative modeling and walk-forward testing. GitHub Actions provides a low-cost way to run scheduled batch jobs for a personal MVP; migrate to a dedicated worker later only if reliability or runtime becomes a problem.</w:t>
            </w:r>
          </w:p>
        </w:tc>
      </w:tr>
    </w:tbl>
    <w:p>
      <w:pPr>
        <w:pStyle w:val="Heading2"/>
      </w:pPr>
      <w:r>
        <w:t>11.2 Service Responsibilities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F4E78"/>
          </w:tcPr>
          <w:p>
            <w:r>
              <w:rPr>
                <w:b/>
                <w:color w:val="FFFFFF"/>
                <w:sz w:val="16"/>
              </w:rPr>
              <w:t>Component</w:t>
            </w:r>
          </w:p>
        </w:tc>
        <w:tc>
          <w:tcPr>
            <w:tcW w:type="dxa" w:w="1800"/>
            <w:shd w:fill="1F4E78"/>
          </w:tcPr>
          <w:p>
            <w:r>
              <w:rPr>
                <w:b/>
                <w:color w:val="FFFFFF"/>
                <w:sz w:val="16"/>
              </w:rPr>
              <w:t>Technology</w:t>
            </w:r>
          </w:p>
        </w:tc>
        <w:tc>
          <w:tcPr>
            <w:tcW w:type="dxa" w:w="4104"/>
            <w:shd w:fill="1F4E78"/>
          </w:tcPr>
          <w:p>
            <w:r>
              <w:rPr>
                <w:b/>
                <w:color w:val="FFFFFF"/>
                <w:sz w:val="16"/>
              </w:rPr>
              <w:t>Responsibilities</w:t>
            </w:r>
          </w:p>
        </w:tc>
        <w:tc>
          <w:tcPr>
            <w:tcW w:type="dxa" w:w="2232"/>
            <w:shd w:fill="1F4E78"/>
          </w:tcPr>
          <w:p>
            <w:r>
              <w:rPr>
                <w:b/>
                <w:color w:val="FFFFFF"/>
                <w:sz w:val="16"/>
              </w:rPr>
              <w:t>Do not place here</w:t>
            </w:r>
          </w:p>
        </w:tc>
      </w:tr>
      <w:tr>
        <w:tc>
          <w:tcPr>
            <w:tcW w:type="dxa" w:w="1440"/>
            <w:vAlign w:val="top"/>
            <w:tcMar>
              <w:top w:w="60" w:type="dxa"/>
              <w:start w:w="70" w:type="dxa"/>
              <w:bottom w:w="60" w:type="dxa"/>
              <w:end w:w="70" w:type="dxa"/>
            </w:tcMar>
          </w:tcPr>
          <w:p>
            <w:r>
              <w:rPr>
                <w:sz w:val="15"/>
              </w:rPr>
              <w:t>Web app</w:t>
            </w:r>
          </w:p>
        </w:tc>
        <w:tc>
          <w:tcPr>
            <w:tcW w:type="dxa" w:w="1800"/>
            <w:vAlign w:val="top"/>
            <w:tcMar>
              <w:top w:w="60" w:type="dxa"/>
              <w:start w:w="70" w:type="dxa"/>
              <w:bottom w:w="60" w:type="dxa"/>
              <w:end w:w="70" w:type="dxa"/>
            </w:tcMar>
          </w:tcPr>
          <w:p>
            <w:r>
              <w:rPr>
                <w:sz w:val="15"/>
              </w:rPr>
              <w:t>Next.js + TypeScript</w:t>
            </w:r>
          </w:p>
        </w:tc>
        <w:tc>
          <w:tcPr>
            <w:tcW w:type="dxa" w:w="4104"/>
            <w:vAlign w:val="top"/>
            <w:tcMar>
              <w:top w:w="60" w:type="dxa"/>
              <w:start w:w="70" w:type="dxa"/>
              <w:bottom w:w="60" w:type="dxa"/>
              <w:end w:w="70" w:type="dxa"/>
            </w:tcMar>
          </w:tcPr>
          <w:p>
            <w:r>
              <w:rPr>
                <w:sz w:val="15"/>
              </w:rPr>
              <w:t>UI, auth, forms, server orchestration, charts, evidence rendering</w:t>
            </w:r>
          </w:p>
        </w:tc>
        <w:tc>
          <w:tcPr>
            <w:tcW w:type="dxa" w:w="2232"/>
            <w:vAlign w:val="top"/>
            <w:tcMar>
              <w:top w:w="60" w:type="dxa"/>
              <w:start w:w="70" w:type="dxa"/>
              <w:bottom w:w="60" w:type="dxa"/>
              <w:end w:w="70" w:type="dxa"/>
            </w:tcMar>
          </w:tcPr>
          <w:p>
            <w:r>
              <w:rPr>
                <w:sz w:val="15"/>
              </w:rPr>
              <w:t>Model training logic</w:t>
            </w:r>
          </w:p>
        </w:tc>
      </w:tr>
      <w:tr>
        <w:tc>
          <w:tcPr>
            <w:tcW w:type="dxa" w:w="1440"/>
            <w:vAlign w:val="top"/>
            <w:tcMar>
              <w:top w:w="60" w:type="dxa"/>
              <w:start w:w="70" w:type="dxa"/>
              <w:bottom w:w="60" w:type="dxa"/>
              <w:end w:w="70" w:type="dxa"/>
            </w:tcMar>
          </w:tcPr>
          <w:p>
            <w:r>
              <w:rPr>
                <w:sz w:val="15"/>
              </w:rPr>
              <w:t>Supabase</w:t>
            </w:r>
          </w:p>
        </w:tc>
        <w:tc>
          <w:tcPr>
            <w:tcW w:type="dxa" w:w="1800"/>
            <w:vAlign w:val="top"/>
            <w:tcMar>
              <w:top w:w="60" w:type="dxa"/>
              <w:start w:w="70" w:type="dxa"/>
              <w:bottom w:w="60" w:type="dxa"/>
              <w:end w:w="70" w:type="dxa"/>
            </w:tcMar>
          </w:tcPr>
          <w:p>
            <w:r>
              <w:rPr>
                <w:sz w:val="15"/>
              </w:rPr>
              <w:t>Postgres/Auth/pgvector/Storage</w:t>
            </w:r>
          </w:p>
        </w:tc>
        <w:tc>
          <w:tcPr>
            <w:tcW w:type="dxa" w:w="4104"/>
            <w:vAlign w:val="top"/>
            <w:tcMar>
              <w:top w:w="60" w:type="dxa"/>
              <w:start w:w="70" w:type="dxa"/>
              <w:bottom w:w="60" w:type="dxa"/>
              <w:end w:w="70" w:type="dxa"/>
            </w:tcMar>
          </w:tcPr>
          <w:p>
            <w:r>
              <w:rPr>
                <w:sz w:val="15"/>
              </w:rPr>
              <w:t>System of record, RLS, SQL functions, vector search, model metadata</w:t>
            </w:r>
          </w:p>
        </w:tc>
        <w:tc>
          <w:tcPr>
            <w:tcW w:type="dxa" w:w="2232"/>
            <w:vAlign w:val="top"/>
            <w:tcMar>
              <w:top w:w="60" w:type="dxa"/>
              <w:start w:w="70" w:type="dxa"/>
              <w:bottom w:w="60" w:type="dxa"/>
              <w:end w:w="70" w:type="dxa"/>
            </w:tcMar>
          </w:tcPr>
          <w:p>
            <w:r>
              <w:rPr>
                <w:sz w:val="15"/>
              </w:rPr>
              <w:t>Long-running ML jobs</w:t>
            </w:r>
          </w:p>
        </w:tc>
      </w:tr>
      <w:tr>
        <w:tc>
          <w:tcPr>
            <w:tcW w:type="dxa" w:w="1440"/>
            <w:vAlign w:val="top"/>
            <w:tcMar>
              <w:top w:w="60" w:type="dxa"/>
              <w:start w:w="70" w:type="dxa"/>
              <w:bottom w:w="60" w:type="dxa"/>
              <w:end w:w="70" w:type="dxa"/>
            </w:tcMar>
          </w:tcPr>
          <w:p>
            <w:r>
              <w:rPr>
                <w:sz w:val="15"/>
              </w:rPr>
              <w:t>Edge Functions</w:t>
            </w:r>
          </w:p>
        </w:tc>
        <w:tc>
          <w:tcPr>
            <w:tcW w:type="dxa" w:w="1800"/>
            <w:vAlign w:val="top"/>
            <w:tcMar>
              <w:top w:w="60" w:type="dxa"/>
              <w:start w:w="70" w:type="dxa"/>
              <w:bottom w:w="60" w:type="dxa"/>
              <w:end w:w="70" w:type="dxa"/>
            </w:tcMar>
          </w:tcPr>
          <w:p>
            <w:r>
              <w:rPr>
                <w:sz w:val="15"/>
              </w:rPr>
              <w:t>Deno/TypeScript</w:t>
            </w:r>
          </w:p>
        </w:tc>
        <w:tc>
          <w:tcPr>
            <w:tcW w:type="dxa" w:w="4104"/>
            <w:vAlign w:val="top"/>
            <w:tcMar>
              <w:top w:w="60" w:type="dxa"/>
              <w:start w:w="70" w:type="dxa"/>
              <w:bottom w:w="60" w:type="dxa"/>
              <w:end w:w="70" w:type="dxa"/>
            </w:tcMar>
          </w:tcPr>
          <w:p>
            <w:r>
              <w:rPr>
                <w:sz w:val="15"/>
              </w:rPr>
              <w:t>Small secured integrations, notifications, webhooks, lightweight scheduled invocations</w:t>
            </w:r>
          </w:p>
        </w:tc>
        <w:tc>
          <w:tcPr>
            <w:tcW w:type="dxa" w:w="2232"/>
            <w:vAlign w:val="top"/>
            <w:tcMar>
              <w:top w:w="60" w:type="dxa"/>
              <w:start w:w="70" w:type="dxa"/>
              <w:bottom w:w="60" w:type="dxa"/>
              <w:end w:w="70" w:type="dxa"/>
            </w:tcMar>
          </w:tcPr>
          <w:p>
            <w:r>
              <w:rPr>
                <w:sz w:val="15"/>
              </w:rPr>
              <w:t>Heavy backtests</w:t>
            </w:r>
          </w:p>
        </w:tc>
      </w:tr>
      <w:tr>
        <w:tc>
          <w:tcPr>
            <w:tcW w:type="dxa" w:w="1440"/>
            <w:vAlign w:val="top"/>
            <w:tcMar>
              <w:top w:w="60" w:type="dxa"/>
              <w:start w:w="70" w:type="dxa"/>
              <w:bottom w:w="60" w:type="dxa"/>
              <w:end w:w="70" w:type="dxa"/>
            </w:tcMar>
          </w:tcPr>
          <w:p>
            <w:r>
              <w:rPr>
                <w:sz w:val="15"/>
              </w:rPr>
              <w:t>Quant API</w:t>
            </w:r>
          </w:p>
        </w:tc>
        <w:tc>
          <w:tcPr>
            <w:tcW w:type="dxa" w:w="1800"/>
            <w:vAlign w:val="top"/>
            <w:tcMar>
              <w:top w:w="60" w:type="dxa"/>
              <w:start w:w="70" w:type="dxa"/>
              <w:bottom w:w="60" w:type="dxa"/>
              <w:end w:w="70" w:type="dxa"/>
            </w:tcMar>
          </w:tcPr>
          <w:p>
            <w:r>
              <w:rPr>
                <w:sz w:val="15"/>
              </w:rPr>
              <w:t>Python + FastAPI</w:t>
            </w:r>
          </w:p>
        </w:tc>
        <w:tc>
          <w:tcPr>
            <w:tcW w:type="dxa" w:w="4104"/>
            <w:vAlign w:val="top"/>
            <w:tcMar>
              <w:top w:w="60" w:type="dxa"/>
              <w:start w:w="70" w:type="dxa"/>
              <w:bottom w:w="60" w:type="dxa"/>
              <w:end w:w="70" w:type="dxa"/>
            </w:tcMar>
          </w:tcPr>
          <w:p>
            <w:r>
              <w:rPr>
                <w:sz w:val="15"/>
              </w:rPr>
              <w:t>Feature calculation, inference, analogs, scoring, model artifacts</w:t>
            </w:r>
          </w:p>
        </w:tc>
        <w:tc>
          <w:tcPr>
            <w:tcW w:type="dxa" w:w="2232"/>
            <w:vAlign w:val="top"/>
            <w:tcMar>
              <w:top w:w="60" w:type="dxa"/>
              <w:start w:w="70" w:type="dxa"/>
              <w:bottom w:w="60" w:type="dxa"/>
              <w:end w:w="70" w:type="dxa"/>
            </w:tcMar>
          </w:tcPr>
          <w:p>
            <w:r>
              <w:rPr>
                <w:sz w:val="15"/>
              </w:rPr>
              <w:t>User-facing state</w:t>
            </w:r>
          </w:p>
        </w:tc>
      </w:tr>
      <w:tr>
        <w:tc>
          <w:tcPr>
            <w:tcW w:type="dxa" w:w="1440"/>
            <w:vAlign w:val="top"/>
            <w:tcMar>
              <w:top w:w="60" w:type="dxa"/>
              <w:start w:w="70" w:type="dxa"/>
              <w:bottom w:w="60" w:type="dxa"/>
              <w:end w:w="70" w:type="dxa"/>
            </w:tcMar>
          </w:tcPr>
          <w:p>
            <w:r>
              <w:rPr>
                <w:sz w:val="15"/>
              </w:rPr>
              <w:t>Batch jobs</w:t>
            </w:r>
          </w:p>
        </w:tc>
        <w:tc>
          <w:tcPr>
            <w:tcW w:type="dxa" w:w="1800"/>
            <w:vAlign w:val="top"/>
            <w:tcMar>
              <w:top w:w="60" w:type="dxa"/>
              <w:start w:w="70" w:type="dxa"/>
              <w:bottom w:w="60" w:type="dxa"/>
              <w:end w:w="70" w:type="dxa"/>
            </w:tcMar>
          </w:tcPr>
          <w:p>
            <w:r>
              <w:rPr>
                <w:sz w:val="15"/>
              </w:rPr>
              <w:t>Python + GitHub Actions</w:t>
            </w:r>
          </w:p>
        </w:tc>
        <w:tc>
          <w:tcPr>
            <w:tcW w:type="dxa" w:w="4104"/>
            <w:vAlign w:val="top"/>
            <w:tcMar>
              <w:top w:w="60" w:type="dxa"/>
              <w:start w:w="70" w:type="dxa"/>
              <w:bottom w:w="60" w:type="dxa"/>
              <w:end w:w="70" w:type="dxa"/>
            </w:tcMar>
          </w:tcPr>
          <w:p>
            <w:r>
              <w:rPr>
                <w:sz w:val="15"/>
              </w:rPr>
              <w:t>Data ingestion, daily scanner, outcomes, evaluations, candidate training</w:t>
            </w:r>
          </w:p>
        </w:tc>
        <w:tc>
          <w:tcPr>
            <w:tcW w:type="dxa" w:w="2232"/>
            <w:vAlign w:val="top"/>
            <w:tcMar>
              <w:top w:w="60" w:type="dxa"/>
              <w:start w:w="70" w:type="dxa"/>
              <w:bottom w:w="60" w:type="dxa"/>
              <w:end w:w="70" w:type="dxa"/>
            </w:tcMar>
          </w:tcPr>
          <w:p>
            <w:r>
              <w:rPr>
                <w:sz w:val="15"/>
              </w:rPr>
              <w:t>Interactive UI</w:t>
            </w:r>
          </w:p>
        </w:tc>
      </w:tr>
      <w:tr>
        <w:tc>
          <w:tcPr>
            <w:tcW w:type="dxa" w:w="1440"/>
            <w:vAlign w:val="top"/>
            <w:tcMar>
              <w:top w:w="60" w:type="dxa"/>
              <w:start w:w="70" w:type="dxa"/>
              <w:bottom w:w="60" w:type="dxa"/>
              <w:end w:w="70" w:type="dxa"/>
            </w:tcMar>
          </w:tcPr>
          <w:p>
            <w:r>
              <w:rPr>
                <w:sz w:val="15"/>
              </w:rPr>
              <w:t>LLM adapter</w:t>
            </w:r>
          </w:p>
        </w:tc>
        <w:tc>
          <w:tcPr>
            <w:tcW w:type="dxa" w:w="1800"/>
            <w:vAlign w:val="top"/>
            <w:tcMar>
              <w:top w:w="60" w:type="dxa"/>
              <w:start w:w="70" w:type="dxa"/>
              <w:bottom w:w="60" w:type="dxa"/>
              <w:end w:w="70" w:type="dxa"/>
            </w:tcMar>
          </w:tcPr>
          <w:p>
            <w:r>
              <w:rPr>
                <w:sz w:val="15"/>
              </w:rPr>
              <w:t>Provider-neutral server module</w:t>
            </w:r>
          </w:p>
        </w:tc>
        <w:tc>
          <w:tcPr>
            <w:tcW w:type="dxa" w:w="4104"/>
            <w:vAlign w:val="top"/>
            <w:tcMar>
              <w:top w:w="60" w:type="dxa"/>
              <w:start w:w="70" w:type="dxa"/>
              <w:bottom w:w="60" w:type="dxa"/>
              <w:end w:w="70" w:type="dxa"/>
            </w:tcMar>
          </w:tcPr>
          <w:p>
            <w:r>
              <w:rPr>
                <w:sz w:val="15"/>
              </w:rPr>
              <w:t>Query routing, event extraction, grounded explanation</w:t>
            </w:r>
          </w:p>
        </w:tc>
        <w:tc>
          <w:tcPr>
            <w:tcW w:type="dxa" w:w="2232"/>
            <w:vAlign w:val="top"/>
            <w:tcMar>
              <w:top w:w="60" w:type="dxa"/>
              <w:start w:w="70" w:type="dxa"/>
              <w:bottom w:w="60" w:type="dxa"/>
              <w:end w:w="70" w:type="dxa"/>
            </w:tcMar>
          </w:tcPr>
          <w:p>
            <w:r>
              <w:rPr>
                <w:sz w:val="15"/>
              </w:rPr>
              <w:t>Numerical probability generation</w:t>
            </w:r>
          </w:p>
        </w:tc>
      </w:tr>
    </w:tbl>
    <w:p>
      <w:pPr>
        <w:pStyle w:val="Heading2"/>
      </w:pPr>
      <w:r>
        <w:t>11.3 Repository Layout</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market-memory/</w:t>
              <w:br/>
            </w:r>
            <w:r>
              <w:rPr>
                <w:rFonts w:ascii="Liberation Mono" w:hAnsi="Liberation Mono"/>
                <w:sz w:val="17"/>
              </w:rPr>
              <w:t xml:space="preserve">  apps/</w:t>
              <w:br/>
            </w:r>
            <w:r>
              <w:rPr>
                <w:rFonts w:ascii="Liberation Mono" w:hAnsi="Liberation Mono"/>
                <w:sz w:val="17"/>
              </w:rPr>
              <w:t xml:space="preserve">    web/                         # Next.js application</w:t>
              <w:br/>
            </w:r>
            <w:r>
              <w:rPr>
                <w:rFonts w:ascii="Liberation Mono" w:hAnsi="Liberation Mono"/>
                <w:sz w:val="17"/>
              </w:rPr>
              <w:t xml:space="preserve">  services/</w:t>
              <w:br/>
            </w:r>
            <w:r>
              <w:rPr>
                <w:rFonts w:ascii="Liberation Mono" w:hAnsi="Liberation Mono"/>
                <w:sz w:val="17"/>
              </w:rPr>
              <w:t xml:space="preserve">    quant-api/                   # FastAPI inference service</w:t>
              <w:br/>
            </w:r>
            <w:r>
              <w:rPr>
                <w:rFonts w:ascii="Liberation Mono" w:hAnsi="Liberation Mono"/>
                <w:sz w:val="17"/>
              </w:rPr>
              <w:t xml:space="preserve">      app/</w:t>
              <w:br/>
            </w:r>
            <w:r>
              <w:rPr>
                <w:rFonts w:ascii="Liberation Mono" w:hAnsi="Liberation Mono"/>
                <w:sz w:val="17"/>
              </w:rPr>
              <w:t xml:space="preserve">        api/</w:t>
              <w:br/>
            </w:r>
            <w:r>
              <w:rPr>
                <w:rFonts w:ascii="Liberation Mono" w:hAnsi="Liberation Mono"/>
                <w:sz w:val="17"/>
              </w:rPr>
              <w:t xml:space="preserve">        features/</w:t>
              <w:br/>
            </w:r>
            <w:r>
              <w:rPr>
                <w:rFonts w:ascii="Liberation Mono" w:hAnsi="Liberation Mono"/>
                <w:sz w:val="17"/>
              </w:rPr>
              <w:t xml:space="preserve">        regimes/</w:t>
              <w:br/>
            </w:r>
            <w:r>
              <w:rPr>
                <w:rFonts w:ascii="Liberation Mono" w:hAnsi="Liberation Mono"/>
                <w:sz w:val="17"/>
              </w:rPr>
              <w:t xml:space="preserve">        analogs/</w:t>
              <w:br/>
            </w:r>
            <w:r>
              <w:rPr>
                <w:rFonts w:ascii="Liberation Mono" w:hAnsi="Liberation Mono"/>
                <w:sz w:val="17"/>
              </w:rPr>
              <w:t xml:space="preserve">        models/</w:t>
              <w:br/>
            </w:r>
            <w:r>
              <w:rPr>
                <w:rFonts w:ascii="Liberation Mono" w:hAnsi="Liberation Mono"/>
                <w:sz w:val="17"/>
              </w:rPr>
              <w:t xml:space="preserve">        scoring/</w:t>
              <w:br/>
            </w:r>
            <w:r>
              <w:rPr>
                <w:rFonts w:ascii="Liberation Mono" w:hAnsi="Liberation Mono"/>
                <w:sz w:val="17"/>
              </w:rPr>
              <w:t xml:space="preserve">        schemas/</w:t>
              <w:br/>
            </w:r>
            <w:r>
              <w:rPr>
                <w:rFonts w:ascii="Liberation Mono" w:hAnsi="Liberation Mono"/>
                <w:sz w:val="17"/>
              </w:rPr>
              <w:t xml:space="preserve">      tests/</w:t>
              <w:br/>
            </w:r>
            <w:r>
              <w:rPr>
                <w:rFonts w:ascii="Liberation Mono" w:hAnsi="Liberation Mono"/>
                <w:sz w:val="17"/>
              </w:rPr>
              <w:t xml:space="preserve">  jobs/</w:t>
              <w:br/>
            </w:r>
            <w:r>
              <w:rPr>
                <w:rFonts w:ascii="Liberation Mono" w:hAnsi="Liberation Mono"/>
                <w:sz w:val="17"/>
              </w:rPr>
              <w:t xml:space="preserve">    ingest_prices.py</w:t>
              <w:br/>
            </w:r>
            <w:r>
              <w:rPr>
                <w:rFonts w:ascii="Liberation Mono" w:hAnsi="Liberation Mono"/>
                <w:sz w:val="17"/>
              </w:rPr>
              <w:t xml:space="preserve">    ingest_macro.py</w:t>
              <w:br/>
            </w:r>
            <w:r>
              <w:rPr>
                <w:rFonts w:ascii="Liberation Mono" w:hAnsi="Liberation Mono"/>
                <w:sz w:val="17"/>
              </w:rPr>
              <w:t xml:space="preserve">    ingest_news.py</w:t>
              <w:br/>
            </w:r>
            <w:r>
              <w:rPr>
                <w:rFonts w:ascii="Liberation Mono" w:hAnsi="Liberation Mono"/>
                <w:sz w:val="17"/>
              </w:rPr>
              <w:t xml:space="preserve">    build_market_states.py</w:t>
              <w:br/>
            </w:r>
            <w:r>
              <w:rPr>
                <w:rFonts w:ascii="Liberation Mono" w:hAnsi="Liberation Mono"/>
                <w:sz w:val="17"/>
              </w:rPr>
              <w:t xml:space="preserve">    run_daily_scanner.py</w:t>
              <w:br/>
            </w:r>
            <w:r>
              <w:rPr>
                <w:rFonts w:ascii="Liberation Mono" w:hAnsi="Liberation Mono"/>
                <w:sz w:val="17"/>
              </w:rPr>
              <w:t xml:space="preserve">    score_matured_forecasts.py</w:t>
              <w:br/>
            </w:r>
            <w:r>
              <w:rPr>
                <w:rFonts w:ascii="Liberation Mono" w:hAnsi="Liberation Mono"/>
                <w:sz w:val="17"/>
              </w:rPr>
              <w:t xml:space="preserve">    evaluate_models.py</w:t>
              <w:br/>
            </w:r>
            <w:r>
              <w:rPr>
                <w:rFonts w:ascii="Liberation Mono" w:hAnsi="Liberation Mono"/>
                <w:sz w:val="17"/>
              </w:rPr>
              <w:t xml:space="preserve">    train_challenger.py</w:t>
              <w:br/>
            </w:r>
            <w:r>
              <w:rPr>
                <w:rFonts w:ascii="Liberation Mono" w:hAnsi="Liberation Mono"/>
                <w:sz w:val="17"/>
              </w:rPr>
              <w:t xml:space="preserve">  packages/</w:t>
              <w:br/>
            </w:r>
            <w:r>
              <w:rPr>
                <w:rFonts w:ascii="Liberation Mono" w:hAnsi="Liberation Mono"/>
                <w:sz w:val="17"/>
              </w:rPr>
              <w:t xml:space="preserve">    shared-types/                # Generated/shared schemas</w:t>
              <w:br/>
            </w:r>
            <w:r>
              <w:rPr>
                <w:rFonts w:ascii="Liberation Mono" w:hAnsi="Liberation Mono"/>
                <w:sz w:val="17"/>
              </w:rPr>
              <w:t xml:space="preserve">    market-data/                # Provider adapters</w:t>
              <w:br/>
            </w:r>
            <w:r>
              <w:rPr>
                <w:rFonts w:ascii="Liberation Mono" w:hAnsi="Liberation Mono"/>
                <w:sz w:val="17"/>
              </w:rPr>
              <w:t xml:space="preserve">    llm/                        # Provider-neutral LLM client</w:t>
              <w:br/>
            </w:r>
            <w:r>
              <w:rPr>
                <w:rFonts w:ascii="Liberation Mono" w:hAnsi="Liberation Mono"/>
                <w:sz w:val="17"/>
              </w:rPr>
              <w:t xml:space="preserve">  supabase/</w:t>
              <w:br/>
            </w:r>
            <w:r>
              <w:rPr>
                <w:rFonts w:ascii="Liberation Mono" w:hAnsi="Liberation Mono"/>
                <w:sz w:val="17"/>
              </w:rPr>
              <w:t xml:space="preserve">    migrations/</w:t>
              <w:br/>
            </w:r>
            <w:r>
              <w:rPr>
                <w:rFonts w:ascii="Liberation Mono" w:hAnsi="Liberation Mono"/>
                <w:sz w:val="17"/>
              </w:rPr>
              <w:t xml:space="preserve">    functions/</w:t>
              <w:br/>
            </w:r>
            <w:r>
              <w:rPr>
                <w:rFonts w:ascii="Liberation Mono" w:hAnsi="Liberation Mono"/>
                <w:sz w:val="17"/>
              </w:rPr>
              <w:t xml:space="preserve">    seed.sql</w:t>
              <w:br/>
            </w:r>
            <w:r>
              <w:rPr>
                <w:rFonts w:ascii="Liberation Mono" w:hAnsi="Liberation Mono"/>
                <w:sz w:val="17"/>
              </w:rPr>
              <w:t xml:space="preserve">    config.toml</w:t>
              <w:br/>
            </w:r>
            <w:r>
              <w:rPr>
                <w:rFonts w:ascii="Liberation Mono" w:hAnsi="Liberation Mono"/>
                <w:sz w:val="17"/>
              </w:rPr>
              <w:t xml:space="preserve">  .github/</w:t>
              <w:br/>
            </w:r>
            <w:r>
              <w:rPr>
                <w:rFonts w:ascii="Liberation Mono" w:hAnsi="Liberation Mono"/>
                <w:sz w:val="17"/>
              </w:rPr>
              <w:t xml:space="preserve">    workflows/</w:t>
              <w:br/>
            </w:r>
            <w:r>
              <w:rPr>
                <w:rFonts w:ascii="Liberation Mono" w:hAnsi="Liberation Mono"/>
                <w:sz w:val="17"/>
              </w:rPr>
              <w:t xml:space="preserve">      ci.yml</w:t>
              <w:br/>
            </w:r>
            <w:r>
              <w:rPr>
                <w:rFonts w:ascii="Liberation Mono" w:hAnsi="Liberation Mono"/>
                <w:sz w:val="17"/>
              </w:rPr>
              <w:t xml:space="preserve">      daily-market-pipeline.yml</w:t>
              <w:br/>
            </w:r>
            <w:r>
              <w:rPr>
                <w:rFonts w:ascii="Liberation Mono" w:hAnsi="Liberation Mono"/>
                <w:sz w:val="17"/>
              </w:rPr>
              <w:t xml:space="preserve">      score-outcomes.yml</w:t>
              <w:br/>
            </w:r>
            <w:r>
              <w:rPr>
                <w:rFonts w:ascii="Liberation Mono" w:hAnsi="Liberation Mono"/>
                <w:sz w:val="17"/>
              </w:rPr>
              <w:t xml:space="preserve">      monthly-model-research.yml</w:t>
              <w:br/>
            </w:r>
            <w:r>
              <w:rPr>
                <w:rFonts w:ascii="Liberation Mono" w:hAnsi="Liberation Mono"/>
                <w:sz w:val="17"/>
              </w:rPr>
              <w:t xml:space="preserve">  tests/</w:t>
              <w:br/>
            </w:r>
            <w:r>
              <w:rPr>
                <w:rFonts w:ascii="Liberation Mono" w:hAnsi="Liberation Mono"/>
                <w:sz w:val="17"/>
              </w:rPr>
              <w:t xml:space="preserve">    fixtures/</w:t>
              <w:br/>
            </w:r>
            <w:r>
              <w:rPr>
                <w:rFonts w:ascii="Liberation Mono" w:hAnsi="Liberation Mono"/>
                <w:sz w:val="17"/>
              </w:rPr>
              <w:t xml:space="preserve">    integration/</w:t>
              <w:br/>
            </w:r>
            <w:r>
              <w:rPr>
                <w:rFonts w:ascii="Liberation Mono" w:hAnsi="Liberation Mono"/>
                <w:sz w:val="17"/>
              </w:rPr>
              <w:t xml:space="preserve">  docs/</w:t>
              <w:br/>
            </w:r>
            <w:r>
              <w:rPr>
                <w:rFonts w:ascii="Liberation Mono" w:hAnsi="Liberation Mono"/>
                <w:sz w:val="17"/>
              </w:rPr>
              <w:t xml:space="preserve">    architecture.md</w:t>
              <w:br/>
            </w:r>
            <w:r>
              <w:rPr>
                <w:rFonts w:ascii="Liberation Mono" w:hAnsi="Liberation Mono"/>
                <w:sz w:val="17"/>
              </w:rPr>
              <w:t xml:space="preserve">    data-dictionary.md</w:t>
              <w:br/>
            </w:r>
            <w:r>
              <w:rPr>
                <w:rFonts w:ascii="Liberation Mono" w:hAnsi="Liberation Mono"/>
                <w:sz w:val="17"/>
              </w:rPr>
              <w:t xml:space="preserve">    model-card-template.md</w:t>
              <w:br/>
            </w:r>
            <w:r>
              <w:rPr>
                <w:rFonts w:ascii="Liberation Mono" w:hAnsi="Liberation Mono"/>
                <w:sz w:val="17"/>
              </w:rPr>
              <w:t xml:space="preserve">    operating-runbook.md</w:t>
              <w:br/>
            </w:r>
            <w:r>
              <w:rPr>
                <w:rFonts w:ascii="Liberation Mono" w:hAnsi="Liberation Mono"/>
                <w:sz w:val="17"/>
              </w:rPr>
              <w:t xml:space="preserve">  .env.example</w:t>
              <w:br/>
            </w:r>
            <w:r>
              <w:rPr>
                <w:rFonts w:ascii="Liberation Mono" w:hAnsi="Liberation Mono"/>
                <w:sz w:val="17"/>
              </w:rPr>
              <w:t xml:space="preserve">  README.md</w:t>
            </w:r>
          </w:p>
        </w:tc>
      </w:tr>
    </w:tbl>
    <w:p>
      <w:pPr>
        <w:spacing w:after="0"/>
      </w:pPr>
    </w:p>
    <w:p>
      <w:r>
        <w:br w:type="page"/>
      </w:r>
    </w:p>
    <w:p>
      <w:pPr>
        <w:pStyle w:val="Heading1"/>
      </w:pPr>
      <w:r>
        <w:t>12. Supabase Data Model</w:t>
      </w:r>
    </w:p>
    <w:p>
      <w:r>
        <w:rPr>
          <w:i w:val="0"/>
        </w:rPr>
        <w:t>Use UUID primary keys, timestamptz, explicit foreign keys, immutable created_at fields, and JSONB only for flexible payloads—not as a substitute for queryable columns. Enable RLS on all user-accessible tables. For personal use, policies can restrict all private records to auth.uid().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F4E78"/>
          </w:tcPr>
          <w:p>
            <w:r>
              <w:rPr>
                <w:b/>
                <w:color w:val="FFFFFF"/>
                <w:sz w:val="16"/>
              </w:rPr>
              <w:t>Table</w:t>
            </w:r>
          </w:p>
        </w:tc>
        <w:tc>
          <w:tcPr>
            <w:tcW w:type="dxa" w:w="2232"/>
            <w:shd w:fill="1F4E78"/>
          </w:tcPr>
          <w:p>
            <w:r>
              <w:rPr>
                <w:b/>
                <w:color w:val="FFFFFF"/>
                <w:sz w:val="16"/>
              </w:rPr>
              <w:t>Purpose</w:t>
            </w:r>
          </w:p>
        </w:tc>
        <w:tc>
          <w:tcPr>
            <w:tcW w:type="dxa" w:w="3816"/>
            <w:shd w:fill="1F4E78"/>
          </w:tcPr>
          <w:p>
            <w:r>
              <w:rPr>
                <w:b/>
                <w:color w:val="FFFFFF"/>
                <w:sz w:val="16"/>
              </w:rPr>
              <w:t>Key fields</w:t>
            </w:r>
          </w:p>
        </w:tc>
        <w:tc>
          <w:tcPr>
            <w:tcW w:type="dxa" w:w="1656"/>
            <w:shd w:fill="1F4E78"/>
          </w:tcPr>
          <w:p>
            <w:r>
              <w:rPr>
                <w:b/>
                <w:color w:val="FFFFFF"/>
                <w:sz w:val="16"/>
              </w:rPr>
              <w:t>Notes</w:t>
            </w:r>
          </w:p>
        </w:tc>
      </w:tr>
      <w:tr>
        <w:tc>
          <w:tcPr>
            <w:tcW w:type="dxa" w:w="2016"/>
            <w:vAlign w:val="top"/>
            <w:tcMar>
              <w:top w:w="60" w:type="dxa"/>
              <w:start w:w="70" w:type="dxa"/>
              <w:bottom w:w="60" w:type="dxa"/>
              <w:end w:w="70" w:type="dxa"/>
            </w:tcMar>
          </w:tcPr>
          <w:p>
            <w:r>
              <w:rPr>
                <w:sz w:val="14"/>
              </w:rPr>
              <w:t>profiles</w:t>
            </w:r>
          </w:p>
        </w:tc>
        <w:tc>
          <w:tcPr>
            <w:tcW w:type="dxa" w:w="2232"/>
            <w:vAlign w:val="top"/>
            <w:tcMar>
              <w:top w:w="60" w:type="dxa"/>
              <w:start w:w="70" w:type="dxa"/>
              <w:bottom w:w="60" w:type="dxa"/>
              <w:end w:w="70" w:type="dxa"/>
            </w:tcMar>
          </w:tcPr>
          <w:p>
            <w:r>
              <w:rPr>
                <w:sz w:val="14"/>
              </w:rPr>
              <w:t>User preferences and default benchmark</w:t>
            </w:r>
          </w:p>
        </w:tc>
        <w:tc>
          <w:tcPr>
            <w:tcW w:type="dxa" w:w="3816"/>
            <w:vAlign w:val="top"/>
            <w:tcMar>
              <w:top w:w="60" w:type="dxa"/>
              <w:start w:w="70" w:type="dxa"/>
              <w:bottom w:w="60" w:type="dxa"/>
              <w:end w:w="70" w:type="dxa"/>
            </w:tcMar>
          </w:tcPr>
          <w:p>
            <w:r>
              <w:rPr>
                <w:sz w:val="14"/>
              </w:rPr>
              <w:t>id, timezone, default_benchmark_asset_id, created_at</w:t>
            </w:r>
          </w:p>
        </w:tc>
        <w:tc>
          <w:tcPr>
            <w:tcW w:type="dxa" w:w="1656"/>
            <w:vAlign w:val="top"/>
            <w:tcMar>
              <w:top w:w="60" w:type="dxa"/>
              <w:start w:w="70" w:type="dxa"/>
              <w:bottom w:w="60" w:type="dxa"/>
              <w:end w:w="70" w:type="dxa"/>
            </w:tcMar>
          </w:tcPr>
          <w:p>
            <w:r>
              <w:rPr>
                <w:sz w:val="14"/>
              </w:rPr>
              <w:t>One row per auth user</w:t>
            </w:r>
          </w:p>
        </w:tc>
      </w:tr>
      <w:tr>
        <w:tc>
          <w:tcPr>
            <w:tcW w:type="dxa" w:w="2016"/>
            <w:vAlign w:val="top"/>
            <w:tcMar>
              <w:top w:w="60" w:type="dxa"/>
              <w:start w:w="70" w:type="dxa"/>
              <w:bottom w:w="60" w:type="dxa"/>
              <w:end w:w="70" w:type="dxa"/>
            </w:tcMar>
          </w:tcPr>
          <w:p>
            <w:r>
              <w:rPr>
                <w:sz w:val="14"/>
              </w:rPr>
              <w:t>assets</w:t>
            </w:r>
          </w:p>
        </w:tc>
        <w:tc>
          <w:tcPr>
            <w:tcW w:type="dxa" w:w="2232"/>
            <w:vAlign w:val="top"/>
            <w:tcMar>
              <w:top w:w="60" w:type="dxa"/>
              <w:start w:w="70" w:type="dxa"/>
              <w:bottom w:w="60" w:type="dxa"/>
              <w:end w:w="70" w:type="dxa"/>
            </w:tcMar>
          </w:tcPr>
          <w:p>
            <w:r>
              <w:rPr>
                <w:sz w:val="14"/>
              </w:rPr>
              <w:t>ETF/security reference data</w:t>
            </w:r>
          </w:p>
        </w:tc>
        <w:tc>
          <w:tcPr>
            <w:tcW w:type="dxa" w:w="3816"/>
            <w:vAlign w:val="top"/>
            <w:tcMar>
              <w:top w:w="60" w:type="dxa"/>
              <w:start w:w="70" w:type="dxa"/>
              <w:bottom w:w="60" w:type="dxa"/>
              <w:end w:w="70" w:type="dxa"/>
            </w:tcMar>
          </w:tcPr>
          <w:p>
            <w:r>
              <w:rPr>
                <w:sz w:val="14"/>
              </w:rPr>
              <w:t>id, symbol, name, asset_type, exchange, currency, active</w:t>
            </w:r>
          </w:p>
        </w:tc>
        <w:tc>
          <w:tcPr>
            <w:tcW w:type="dxa" w:w="1656"/>
            <w:vAlign w:val="top"/>
            <w:tcMar>
              <w:top w:w="60" w:type="dxa"/>
              <w:start w:w="70" w:type="dxa"/>
              <w:bottom w:w="60" w:type="dxa"/>
              <w:end w:w="70" w:type="dxa"/>
            </w:tcMar>
          </w:tcPr>
          <w:p>
            <w:r>
              <w:rPr>
                <w:sz w:val="14"/>
              </w:rPr>
              <w:t>Shared read-only</w:t>
            </w:r>
          </w:p>
        </w:tc>
      </w:tr>
      <w:tr>
        <w:tc>
          <w:tcPr>
            <w:tcW w:type="dxa" w:w="2016"/>
            <w:vAlign w:val="top"/>
            <w:tcMar>
              <w:top w:w="60" w:type="dxa"/>
              <w:start w:w="70" w:type="dxa"/>
              <w:bottom w:w="60" w:type="dxa"/>
              <w:end w:w="70" w:type="dxa"/>
            </w:tcMar>
          </w:tcPr>
          <w:p>
            <w:r>
              <w:rPr>
                <w:sz w:val="14"/>
              </w:rPr>
              <w:t>asset_universe_memberships</w:t>
            </w:r>
          </w:p>
        </w:tc>
        <w:tc>
          <w:tcPr>
            <w:tcW w:type="dxa" w:w="2232"/>
            <w:vAlign w:val="top"/>
            <w:tcMar>
              <w:top w:w="60" w:type="dxa"/>
              <w:start w:w="70" w:type="dxa"/>
              <w:bottom w:w="60" w:type="dxa"/>
              <w:end w:w="70" w:type="dxa"/>
            </w:tcMar>
          </w:tcPr>
          <w:p>
            <w:r>
              <w:rPr>
                <w:sz w:val="14"/>
              </w:rPr>
              <w:t>Which assets the scanner covers</w:t>
            </w:r>
          </w:p>
        </w:tc>
        <w:tc>
          <w:tcPr>
            <w:tcW w:type="dxa" w:w="3816"/>
            <w:vAlign w:val="top"/>
            <w:tcMar>
              <w:top w:w="60" w:type="dxa"/>
              <w:start w:w="70" w:type="dxa"/>
              <w:bottom w:w="60" w:type="dxa"/>
              <w:end w:w="70" w:type="dxa"/>
            </w:tcMar>
          </w:tcPr>
          <w:p>
            <w:r>
              <w:rPr>
                <w:sz w:val="14"/>
              </w:rPr>
              <w:t>asset_id, universe, enabled, priority</w:t>
            </w:r>
          </w:p>
        </w:tc>
        <w:tc>
          <w:tcPr>
            <w:tcW w:type="dxa" w:w="1656"/>
            <w:vAlign w:val="top"/>
            <w:tcMar>
              <w:top w:w="60" w:type="dxa"/>
              <w:start w:w="70" w:type="dxa"/>
              <w:bottom w:w="60" w:type="dxa"/>
              <w:end w:w="70" w:type="dxa"/>
            </w:tcMar>
          </w:tcPr>
          <w:p>
            <w:r>
              <w:rPr>
                <w:sz w:val="14"/>
              </w:rPr>
              <w:t>Configurable</w:t>
            </w:r>
          </w:p>
        </w:tc>
      </w:tr>
      <w:tr>
        <w:tc>
          <w:tcPr>
            <w:tcW w:type="dxa" w:w="2016"/>
            <w:vAlign w:val="top"/>
            <w:tcMar>
              <w:top w:w="60" w:type="dxa"/>
              <w:start w:w="70" w:type="dxa"/>
              <w:bottom w:w="60" w:type="dxa"/>
              <w:end w:w="70" w:type="dxa"/>
            </w:tcMar>
          </w:tcPr>
          <w:p>
            <w:r>
              <w:rPr>
                <w:sz w:val="14"/>
              </w:rPr>
              <w:t>price_bars</w:t>
            </w:r>
          </w:p>
        </w:tc>
        <w:tc>
          <w:tcPr>
            <w:tcW w:type="dxa" w:w="2232"/>
            <w:vAlign w:val="top"/>
            <w:tcMar>
              <w:top w:w="60" w:type="dxa"/>
              <w:start w:w="70" w:type="dxa"/>
              <w:bottom w:w="60" w:type="dxa"/>
              <w:end w:w="70" w:type="dxa"/>
            </w:tcMar>
          </w:tcPr>
          <w:p>
            <w:r>
              <w:rPr>
                <w:sz w:val="14"/>
              </w:rPr>
              <w:t>Completed historical OHLCV bars</w:t>
            </w:r>
          </w:p>
        </w:tc>
        <w:tc>
          <w:tcPr>
            <w:tcW w:type="dxa" w:w="3816"/>
            <w:vAlign w:val="top"/>
            <w:tcMar>
              <w:top w:w="60" w:type="dxa"/>
              <w:start w:w="70" w:type="dxa"/>
              <w:bottom w:w="60" w:type="dxa"/>
              <w:end w:w="70" w:type="dxa"/>
            </w:tcMar>
          </w:tcPr>
          <w:p>
            <w:r>
              <w:rPr>
                <w:sz w:val="14"/>
              </w:rPr>
              <w:t>asset_id, bar_date, open, high, low, close, adjusted_close, volume, provider</w:t>
            </w:r>
          </w:p>
        </w:tc>
        <w:tc>
          <w:tcPr>
            <w:tcW w:type="dxa" w:w="1656"/>
            <w:vAlign w:val="top"/>
            <w:tcMar>
              <w:top w:w="60" w:type="dxa"/>
              <w:start w:w="70" w:type="dxa"/>
              <w:bottom w:w="60" w:type="dxa"/>
              <w:end w:w="70" w:type="dxa"/>
            </w:tcMar>
          </w:tcPr>
          <w:p>
            <w:r>
              <w:rPr>
                <w:sz w:val="14"/>
              </w:rPr>
              <w:t>Unique asset/date/provider</w:t>
            </w:r>
          </w:p>
        </w:tc>
      </w:tr>
      <w:tr>
        <w:tc>
          <w:tcPr>
            <w:tcW w:type="dxa" w:w="2016"/>
            <w:vAlign w:val="top"/>
            <w:tcMar>
              <w:top w:w="60" w:type="dxa"/>
              <w:start w:w="70" w:type="dxa"/>
              <w:bottom w:w="60" w:type="dxa"/>
              <w:end w:w="70" w:type="dxa"/>
            </w:tcMar>
          </w:tcPr>
          <w:p>
            <w:r>
              <w:rPr>
                <w:sz w:val="14"/>
              </w:rPr>
              <w:t>quote_snapshots</w:t>
            </w:r>
          </w:p>
        </w:tc>
        <w:tc>
          <w:tcPr>
            <w:tcW w:type="dxa" w:w="2232"/>
            <w:vAlign w:val="top"/>
            <w:tcMar>
              <w:top w:w="60" w:type="dxa"/>
              <w:start w:w="70" w:type="dxa"/>
              <w:bottom w:w="60" w:type="dxa"/>
              <w:end w:w="70" w:type="dxa"/>
            </w:tcMar>
          </w:tcPr>
          <w:p>
            <w:r>
              <w:rPr>
                <w:sz w:val="14"/>
              </w:rPr>
              <w:t>Point-in-time quote and manual override</w:t>
            </w:r>
          </w:p>
        </w:tc>
        <w:tc>
          <w:tcPr>
            <w:tcW w:type="dxa" w:w="3816"/>
            <w:vAlign w:val="top"/>
            <w:tcMar>
              <w:top w:w="60" w:type="dxa"/>
              <w:start w:w="70" w:type="dxa"/>
              <w:bottom w:w="60" w:type="dxa"/>
              <w:end w:w="70" w:type="dxa"/>
            </w:tcMar>
          </w:tcPr>
          <w:p>
            <w:r>
              <w:rPr>
                <w:sz w:val="14"/>
              </w:rPr>
              <w:t>asset_id, provider_price, manual_price, effective_price, source, timestamps, delay</w:t>
            </w:r>
          </w:p>
        </w:tc>
        <w:tc>
          <w:tcPr>
            <w:tcW w:type="dxa" w:w="1656"/>
            <w:vAlign w:val="top"/>
            <w:tcMar>
              <w:top w:w="60" w:type="dxa"/>
              <w:start w:w="70" w:type="dxa"/>
              <w:bottom w:w="60" w:type="dxa"/>
              <w:end w:w="70" w:type="dxa"/>
            </w:tcMar>
          </w:tcPr>
          <w:p>
            <w:r>
              <w:rPr>
                <w:sz w:val="14"/>
              </w:rPr>
              <w:t>Immutable forecast input</w:t>
            </w:r>
          </w:p>
        </w:tc>
      </w:tr>
      <w:tr>
        <w:tc>
          <w:tcPr>
            <w:tcW w:type="dxa" w:w="2016"/>
            <w:vAlign w:val="top"/>
            <w:tcMar>
              <w:top w:w="60" w:type="dxa"/>
              <w:start w:w="70" w:type="dxa"/>
              <w:bottom w:w="60" w:type="dxa"/>
              <w:end w:w="70" w:type="dxa"/>
            </w:tcMar>
          </w:tcPr>
          <w:p>
            <w:r>
              <w:rPr>
                <w:sz w:val="14"/>
              </w:rPr>
              <w:t>macro_series</w:t>
            </w:r>
          </w:p>
        </w:tc>
        <w:tc>
          <w:tcPr>
            <w:tcW w:type="dxa" w:w="2232"/>
            <w:vAlign w:val="top"/>
            <w:tcMar>
              <w:top w:w="60" w:type="dxa"/>
              <w:start w:w="70" w:type="dxa"/>
              <w:bottom w:w="60" w:type="dxa"/>
              <w:end w:w="70" w:type="dxa"/>
            </w:tcMar>
          </w:tcPr>
          <w:p>
            <w:r>
              <w:rPr>
                <w:sz w:val="14"/>
              </w:rPr>
              <w:t>Series metadata</w:t>
            </w:r>
          </w:p>
        </w:tc>
        <w:tc>
          <w:tcPr>
            <w:tcW w:type="dxa" w:w="3816"/>
            <w:vAlign w:val="top"/>
            <w:tcMar>
              <w:top w:w="60" w:type="dxa"/>
              <w:start w:w="70" w:type="dxa"/>
              <w:bottom w:w="60" w:type="dxa"/>
              <w:end w:w="70" w:type="dxa"/>
            </w:tcMar>
          </w:tcPr>
          <w:p>
            <w:r>
              <w:rPr>
                <w:sz w:val="14"/>
              </w:rPr>
              <w:t>id, provider_key, name, frequency, transformation</w:t>
            </w:r>
          </w:p>
        </w:tc>
        <w:tc>
          <w:tcPr>
            <w:tcW w:type="dxa" w:w="1656"/>
            <w:vAlign w:val="top"/>
            <w:tcMar>
              <w:top w:w="60" w:type="dxa"/>
              <w:start w:w="70" w:type="dxa"/>
              <w:bottom w:w="60" w:type="dxa"/>
              <w:end w:w="70" w:type="dxa"/>
            </w:tcMar>
          </w:tcPr>
          <w:p>
            <w:r>
              <w:rPr>
                <w:sz w:val="14"/>
              </w:rPr>
              <w:t>Shared</w:t>
            </w:r>
          </w:p>
        </w:tc>
      </w:tr>
      <w:tr>
        <w:tc>
          <w:tcPr>
            <w:tcW w:type="dxa" w:w="2016"/>
            <w:vAlign w:val="top"/>
            <w:tcMar>
              <w:top w:w="60" w:type="dxa"/>
              <w:start w:w="70" w:type="dxa"/>
              <w:bottom w:w="60" w:type="dxa"/>
              <w:end w:w="70" w:type="dxa"/>
            </w:tcMar>
          </w:tcPr>
          <w:p>
            <w:r>
              <w:rPr>
                <w:sz w:val="14"/>
              </w:rPr>
              <w:t>macro_observations</w:t>
            </w:r>
          </w:p>
        </w:tc>
        <w:tc>
          <w:tcPr>
            <w:tcW w:type="dxa" w:w="2232"/>
            <w:vAlign w:val="top"/>
            <w:tcMar>
              <w:top w:w="60" w:type="dxa"/>
              <w:start w:w="70" w:type="dxa"/>
              <w:bottom w:w="60" w:type="dxa"/>
              <w:end w:w="70" w:type="dxa"/>
            </w:tcMar>
          </w:tcPr>
          <w:p>
            <w:r>
              <w:rPr>
                <w:sz w:val="14"/>
              </w:rPr>
              <w:t>Point-in-time macro values</w:t>
            </w:r>
          </w:p>
        </w:tc>
        <w:tc>
          <w:tcPr>
            <w:tcW w:type="dxa" w:w="3816"/>
            <w:vAlign w:val="top"/>
            <w:tcMar>
              <w:top w:w="60" w:type="dxa"/>
              <w:start w:w="70" w:type="dxa"/>
              <w:bottom w:w="60" w:type="dxa"/>
              <w:end w:w="70" w:type="dxa"/>
            </w:tcMar>
          </w:tcPr>
          <w:p>
            <w:r>
              <w:rPr>
                <w:sz w:val="14"/>
              </w:rPr>
              <w:t>series_id, observation_date, value, realtime_start, realtime_end, retrieved_at</w:t>
            </w:r>
          </w:p>
        </w:tc>
        <w:tc>
          <w:tcPr>
            <w:tcW w:type="dxa" w:w="1656"/>
            <w:vAlign w:val="top"/>
            <w:tcMar>
              <w:top w:w="60" w:type="dxa"/>
              <w:start w:w="70" w:type="dxa"/>
              <w:bottom w:w="60" w:type="dxa"/>
              <w:end w:w="70" w:type="dxa"/>
            </w:tcMar>
          </w:tcPr>
          <w:p>
            <w:r>
              <w:rPr>
                <w:sz w:val="14"/>
              </w:rPr>
              <w:t>Supports vintages</w:t>
            </w:r>
          </w:p>
        </w:tc>
      </w:tr>
      <w:tr>
        <w:tc>
          <w:tcPr>
            <w:tcW w:type="dxa" w:w="2016"/>
            <w:vAlign w:val="top"/>
            <w:tcMar>
              <w:top w:w="60" w:type="dxa"/>
              <w:start w:w="70" w:type="dxa"/>
              <w:bottom w:w="60" w:type="dxa"/>
              <w:end w:w="70" w:type="dxa"/>
            </w:tcMar>
          </w:tcPr>
          <w:p>
            <w:r>
              <w:rPr>
                <w:sz w:val="14"/>
              </w:rPr>
              <w:t>news_documents</w:t>
            </w:r>
          </w:p>
        </w:tc>
        <w:tc>
          <w:tcPr>
            <w:tcW w:type="dxa" w:w="2232"/>
            <w:vAlign w:val="top"/>
            <w:tcMar>
              <w:top w:w="60" w:type="dxa"/>
              <w:start w:w="70" w:type="dxa"/>
              <w:bottom w:w="60" w:type="dxa"/>
              <w:end w:w="70" w:type="dxa"/>
            </w:tcMar>
          </w:tcPr>
          <w:p>
            <w:r>
              <w:rPr>
                <w:sz w:val="14"/>
              </w:rPr>
              <w:t>Retrieved article metadata and text</w:t>
            </w:r>
          </w:p>
        </w:tc>
        <w:tc>
          <w:tcPr>
            <w:tcW w:type="dxa" w:w="3816"/>
            <w:vAlign w:val="top"/>
            <w:tcMar>
              <w:top w:w="60" w:type="dxa"/>
              <w:start w:w="70" w:type="dxa"/>
              <w:bottom w:w="60" w:type="dxa"/>
              <w:end w:w="70" w:type="dxa"/>
            </w:tcMar>
          </w:tcPr>
          <w:p>
            <w:r>
              <w:rPr>
                <w:sz w:val="14"/>
              </w:rPr>
              <w:t>url_hash, published_at, source, title, snippet, content_hash</w:t>
            </w:r>
          </w:p>
        </w:tc>
        <w:tc>
          <w:tcPr>
            <w:tcW w:type="dxa" w:w="1656"/>
            <w:vAlign w:val="top"/>
            <w:tcMar>
              <w:top w:w="60" w:type="dxa"/>
              <w:start w:w="70" w:type="dxa"/>
              <w:bottom w:w="60" w:type="dxa"/>
              <w:end w:w="70" w:type="dxa"/>
            </w:tcMar>
          </w:tcPr>
          <w:p>
            <w:r>
              <w:rPr>
                <w:sz w:val="14"/>
              </w:rPr>
              <w:t>Deduplicated</w:t>
            </w:r>
          </w:p>
        </w:tc>
      </w:tr>
      <w:tr>
        <w:tc>
          <w:tcPr>
            <w:tcW w:type="dxa" w:w="2016"/>
            <w:vAlign w:val="top"/>
            <w:tcMar>
              <w:top w:w="60" w:type="dxa"/>
              <w:start w:w="70" w:type="dxa"/>
              <w:bottom w:w="60" w:type="dxa"/>
              <w:end w:w="70" w:type="dxa"/>
            </w:tcMar>
          </w:tcPr>
          <w:p>
            <w:r>
              <w:rPr>
                <w:sz w:val="14"/>
              </w:rPr>
              <w:t>news_events</w:t>
            </w:r>
          </w:p>
        </w:tc>
        <w:tc>
          <w:tcPr>
            <w:tcW w:type="dxa" w:w="2232"/>
            <w:vAlign w:val="top"/>
            <w:tcMar>
              <w:top w:w="60" w:type="dxa"/>
              <w:start w:w="70" w:type="dxa"/>
              <w:bottom w:w="60" w:type="dxa"/>
              <w:end w:w="70" w:type="dxa"/>
            </w:tcMar>
          </w:tcPr>
          <w:p>
            <w:r>
              <w:rPr>
                <w:sz w:val="14"/>
              </w:rPr>
              <w:t>Structured event extraction</w:t>
            </w:r>
          </w:p>
        </w:tc>
        <w:tc>
          <w:tcPr>
            <w:tcW w:type="dxa" w:w="3816"/>
            <w:vAlign w:val="top"/>
            <w:tcMar>
              <w:top w:w="60" w:type="dxa"/>
              <w:start w:w="70" w:type="dxa"/>
              <w:bottom w:w="60" w:type="dxa"/>
              <w:end w:w="70" w:type="dxa"/>
            </w:tcMar>
          </w:tcPr>
          <w:p>
            <w:r>
              <w:rPr>
                <w:sz w:val="14"/>
              </w:rPr>
              <w:t>document_id, event_type, direction, duration, novelty, binary_risk, confidence</w:t>
            </w:r>
          </w:p>
        </w:tc>
        <w:tc>
          <w:tcPr>
            <w:tcW w:type="dxa" w:w="1656"/>
            <w:vAlign w:val="top"/>
            <w:tcMar>
              <w:top w:w="60" w:type="dxa"/>
              <w:start w:w="70" w:type="dxa"/>
              <w:bottom w:w="60" w:type="dxa"/>
              <w:end w:w="70" w:type="dxa"/>
            </w:tcMar>
          </w:tcPr>
          <w:p>
            <w:r>
              <w:rPr>
                <w:sz w:val="14"/>
              </w:rPr>
              <w:t>LLM output versioned</w:t>
            </w:r>
          </w:p>
        </w:tc>
      </w:tr>
      <w:tr>
        <w:tc>
          <w:tcPr>
            <w:tcW w:type="dxa" w:w="2016"/>
            <w:vAlign w:val="top"/>
            <w:tcMar>
              <w:top w:w="60" w:type="dxa"/>
              <w:start w:w="70" w:type="dxa"/>
              <w:bottom w:w="60" w:type="dxa"/>
              <w:end w:w="70" w:type="dxa"/>
            </w:tcMar>
          </w:tcPr>
          <w:p>
            <w:r>
              <w:rPr>
                <w:sz w:val="14"/>
              </w:rPr>
              <w:t>news_event_assets</w:t>
            </w:r>
          </w:p>
        </w:tc>
        <w:tc>
          <w:tcPr>
            <w:tcW w:type="dxa" w:w="2232"/>
            <w:vAlign w:val="top"/>
            <w:tcMar>
              <w:top w:w="60" w:type="dxa"/>
              <w:start w:w="70" w:type="dxa"/>
              <w:bottom w:w="60" w:type="dxa"/>
              <w:end w:w="70" w:type="dxa"/>
            </w:tcMar>
          </w:tcPr>
          <w:p>
            <w:r>
              <w:rPr>
                <w:sz w:val="14"/>
              </w:rPr>
              <w:t>Affected assets</w:t>
            </w:r>
          </w:p>
        </w:tc>
        <w:tc>
          <w:tcPr>
            <w:tcW w:type="dxa" w:w="3816"/>
            <w:vAlign w:val="top"/>
            <w:tcMar>
              <w:top w:w="60" w:type="dxa"/>
              <w:start w:w="70" w:type="dxa"/>
              <w:bottom w:w="60" w:type="dxa"/>
              <w:end w:w="70" w:type="dxa"/>
            </w:tcMar>
          </w:tcPr>
          <w:p>
            <w:r>
              <w:rPr>
                <w:sz w:val="14"/>
              </w:rPr>
              <w:t>news_event_id, asset_id, relevance</w:t>
            </w:r>
          </w:p>
        </w:tc>
        <w:tc>
          <w:tcPr>
            <w:tcW w:type="dxa" w:w="1656"/>
            <w:vAlign w:val="top"/>
            <w:tcMar>
              <w:top w:w="60" w:type="dxa"/>
              <w:start w:w="70" w:type="dxa"/>
              <w:bottom w:w="60" w:type="dxa"/>
              <w:end w:w="70" w:type="dxa"/>
            </w:tcMar>
          </w:tcPr>
          <w:p>
            <w:r>
              <w:rPr>
                <w:sz w:val="14"/>
              </w:rPr>
              <w:t>Many-to-many</w:t>
            </w:r>
          </w:p>
        </w:tc>
      </w:tr>
      <w:tr>
        <w:tc>
          <w:tcPr>
            <w:tcW w:type="dxa" w:w="2016"/>
            <w:vAlign w:val="top"/>
            <w:tcMar>
              <w:top w:w="60" w:type="dxa"/>
              <w:start w:w="70" w:type="dxa"/>
              <w:bottom w:w="60" w:type="dxa"/>
              <w:end w:w="70" w:type="dxa"/>
            </w:tcMar>
          </w:tcPr>
          <w:p>
            <w:r>
              <w:rPr>
                <w:sz w:val="14"/>
              </w:rPr>
              <w:t>market_states</w:t>
            </w:r>
          </w:p>
        </w:tc>
        <w:tc>
          <w:tcPr>
            <w:tcW w:type="dxa" w:w="2232"/>
            <w:vAlign w:val="top"/>
            <w:tcMar>
              <w:top w:w="60" w:type="dxa"/>
              <w:start w:w="70" w:type="dxa"/>
              <w:bottom w:w="60" w:type="dxa"/>
              <w:end w:w="70" w:type="dxa"/>
            </w:tcMar>
          </w:tcPr>
          <w:p>
            <w:r>
              <w:rPr>
                <w:sz w:val="14"/>
              </w:rPr>
              <w:t>Point-in-time feature snapshot</w:t>
            </w:r>
          </w:p>
        </w:tc>
        <w:tc>
          <w:tcPr>
            <w:tcW w:type="dxa" w:w="3816"/>
            <w:vAlign w:val="top"/>
            <w:tcMar>
              <w:top w:w="60" w:type="dxa"/>
              <w:start w:w="70" w:type="dxa"/>
              <w:bottom w:w="60" w:type="dxa"/>
              <w:end w:w="70" w:type="dxa"/>
            </w:tcMar>
          </w:tcPr>
          <w:p>
            <w:r>
              <w:rPr>
                <w:sz w:val="14"/>
              </w:rPr>
              <w:t>asset_id, as_of, effective_price, feature_schema_version, features_json, intraday_proxy</w:t>
            </w:r>
          </w:p>
        </w:tc>
        <w:tc>
          <w:tcPr>
            <w:tcW w:type="dxa" w:w="1656"/>
            <w:vAlign w:val="top"/>
            <w:tcMar>
              <w:top w:w="60" w:type="dxa"/>
              <w:start w:w="70" w:type="dxa"/>
              <w:bottom w:w="60" w:type="dxa"/>
              <w:end w:w="70" w:type="dxa"/>
            </w:tcMar>
          </w:tcPr>
          <w:p>
            <w:r>
              <w:rPr>
                <w:sz w:val="14"/>
              </w:rPr>
              <w:t>Immutable</w:t>
            </w:r>
          </w:p>
        </w:tc>
      </w:tr>
      <w:tr>
        <w:tc>
          <w:tcPr>
            <w:tcW w:type="dxa" w:w="2016"/>
            <w:vAlign w:val="top"/>
            <w:tcMar>
              <w:top w:w="60" w:type="dxa"/>
              <w:start w:w="70" w:type="dxa"/>
              <w:bottom w:w="60" w:type="dxa"/>
              <w:end w:w="70" w:type="dxa"/>
            </w:tcMar>
          </w:tcPr>
          <w:p>
            <w:r>
              <w:rPr>
                <w:sz w:val="14"/>
              </w:rPr>
              <w:t>regime_assignments</w:t>
            </w:r>
          </w:p>
        </w:tc>
        <w:tc>
          <w:tcPr>
            <w:tcW w:type="dxa" w:w="2232"/>
            <w:vAlign w:val="top"/>
            <w:tcMar>
              <w:top w:w="60" w:type="dxa"/>
              <w:start w:w="70" w:type="dxa"/>
              <w:bottom w:w="60" w:type="dxa"/>
              <w:end w:w="70" w:type="dxa"/>
            </w:tcMar>
          </w:tcPr>
          <w:p>
            <w:r>
              <w:rPr>
                <w:sz w:val="14"/>
              </w:rPr>
              <w:t>Multi-dimensional regime result</w:t>
            </w:r>
          </w:p>
        </w:tc>
        <w:tc>
          <w:tcPr>
            <w:tcW w:type="dxa" w:w="3816"/>
            <w:vAlign w:val="top"/>
            <w:tcMar>
              <w:top w:w="60" w:type="dxa"/>
              <w:start w:w="70" w:type="dxa"/>
              <w:bottom w:w="60" w:type="dxa"/>
              <w:end w:w="70" w:type="dxa"/>
            </w:tcMar>
          </w:tcPr>
          <w:p>
            <w:r>
              <w:rPr>
                <w:sz w:val="14"/>
              </w:rPr>
              <w:t>market_state_id, regime_model_version_id, growth, inflation, rates, liquidity, credit, risk</w:t>
            </w:r>
          </w:p>
        </w:tc>
        <w:tc>
          <w:tcPr>
            <w:tcW w:type="dxa" w:w="1656"/>
            <w:vAlign w:val="top"/>
            <w:tcMar>
              <w:top w:w="60" w:type="dxa"/>
              <w:start w:w="70" w:type="dxa"/>
              <w:bottom w:w="60" w:type="dxa"/>
              <w:end w:w="70" w:type="dxa"/>
            </w:tcMar>
          </w:tcPr>
          <w:p>
            <w:r>
              <w:rPr>
                <w:sz w:val="14"/>
              </w:rPr>
              <w:t>Versioned</w:t>
            </w:r>
          </w:p>
        </w:tc>
      </w:tr>
      <w:tr>
        <w:tc>
          <w:tcPr>
            <w:tcW w:type="dxa" w:w="2016"/>
            <w:vAlign w:val="top"/>
            <w:tcMar>
              <w:top w:w="60" w:type="dxa"/>
              <w:start w:w="70" w:type="dxa"/>
              <w:bottom w:w="60" w:type="dxa"/>
              <w:end w:w="70" w:type="dxa"/>
            </w:tcMar>
          </w:tcPr>
          <w:p>
            <w:r>
              <w:rPr>
                <w:sz w:val="14"/>
              </w:rPr>
              <w:t>model_versions</w:t>
            </w:r>
          </w:p>
        </w:tc>
        <w:tc>
          <w:tcPr>
            <w:tcW w:type="dxa" w:w="2232"/>
            <w:vAlign w:val="top"/>
            <w:tcMar>
              <w:top w:w="60" w:type="dxa"/>
              <w:start w:w="70" w:type="dxa"/>
              <w:bottom w:w="60" w:type="dxa"/>
              <w:end w:w="70" w:type="dxa"/>
            </w:tcMar>
          </w:tcPr>
          <w:p>
            <w:r>
              <w:rPr>
                <w:sz w:val="14"/>
              </w:rPr>
              <w:t>Registry of production/challenger models</w:t>
            </w:r>
          </w:p>
        </w:tc>
        <w:tc>
          <w:tcPr>
            <w:tcW w:type="dxa" w:w="3816"/>
            <w:vAlign w:val="top"/>
            <w:tcMar>
              <w:top w:w="60" w:type="dxa"/>
              <w:start w:w="70" w:type="dxa"/>
              <w:bottom w:w="60" w:type="dxa"/>
              <w:end w:w="70" w:type="dxa"/>
            </w:tcMar>
          </w:tcPr>
          <w:p>
            <w:r>
              <w:rPr>
                <w:sz w:val="14"/>
              </w:rPr>
              <w:t>name, version, status, artifact_uri, feature_schema, metrics_json, commit_sha</w:t>
            </w:r>
          </w:p>
        </w:tc>
        <w:tc>
          <w:tcPr>
            <w:tcW w:type="dxa" w:w="1656"/>
            <w:vAlign w:val="top"/>
            <w:tcMar>
              <w:top w:w="60" w:type="dxa"/>
              <w:start w:w="70" w:type="dxa"/>
              <w:bottom w:w="60" w:type="dxa"/>
              <w:end w:w="70" w:type="dxa"/>
            </w:tcMar>
          </w:tcPr>
          <w:p>
            <w:r>
              <w:rPr>
                <w:sz w:val="14"/>
              </w:rPr>
              <w:t>Immutable after activation</w:t>
            </w:r>
          </w:p>
        </w:tc>
      </w:tr>
      <w:tr>
        <w:tc>
          <w:tcPr>
            <w:tcW w:type="dxa" w:w="2016"/>
            <w:vAlign w:val="top"/>
            <w:tcMar>
              <w:top w:w="60" w:type="dxa"/>
              <w:start w:w="70" w:type="dxa"/>
              <w:bottom w:w="60" w:type="dxa"/>
              <w:end w:w="70" w:type="dxa"/>
            </w:tcMar>
          </w:tcPr>
          <w:p>
            <w:r>
              <w:rPr>
                <w:sz w:val="14"/>
              </w:rPr>
              <w:t>forecast_runs</w:t>
            </w:r>
          </w:p>
        </w:tc>
        <w:tc>
          <w:tcPr>
            <w:tcW w:type="dxa" w:w="2232"/>
            <w:vAlign w:val="top"/>
            <w:tcMar>
              <w:top w:w="60" w:type="dxa"/>
              <w:start w:w="70" w:type="dxa"/>
              <w:bottom w:w="60" w:type="dxa"/>
              <w:end w:w="70" w:type="dxa"/>
            </w:tcMar>
          </w:tcPr>
          <w:p>
            <w:r>
              <w:rPr>
                <w:sz w:val="14"/>
              </w:rPr>
              <w:t>One analysis invocation</w:t>
            </w:r>
          </w:p>
        </w:tc>
        <w:tc>
          <w:tcPr>
            <w:tcW w:type="dxa" w:w="3816"/>
            <w:vAlign w:val="top"/>
            <w:tcMar>
              <w:top w:w="60" w:type="dxa"/>
              <w:start w:w="70" w:type="dxa"/>
              <w:bottom w:w="60" w:type="dxa"/>
              <w:end w:w="70" w:type="dxa"/>
            </w:tcMar>
          </w:tcPr>
          <w:p>
            <w:r>
              <w:rPr>
                <w:sz w:val="14"/>
              </w:rPr>
              <w:t>user_id, asset_id, as_of, quote_snapshot_id, market_state_id, request_source, requested_horizon</w:t>
            </w:r>
          </w:p>
        </w:tc>
        <w:tc>
          <w:tcPr>
            <w:tcW w:type="dxa" w:w="1656"/>
            <w:vAlign w:val="top"/>
            <w:tcMar>
              <w:top w:w="60" w:type="dxa"/>
              <w:start w:w="70" w:type="dxa"/>
              <w:bottom w:w="60" w:type="dxa"/>
              <w:end w:w="70" w:type="dxa"/>
            </w:tcMar>
          </w:tcPr>
          <w:p>
            <w:r>
              <w:rPr>
                <w:sz w:val="14"/>
              </w:rPr>
              <w:t>Parent record</w:t>
            </w:r>
          </w:p>
        </w:tc>
      </w:tr>
      <w:tr>
        <w:tc>
          <w:tcPr>
            <w:tcW w:type="dxa" w:w="2016"/>
            <w:vAlign w:val="top"/>
            <w:tcMar>
              <w:top w:w="60" w:type="dxa"/>
              <w:start w:w="70" w:type="dxa"/>
              <w:bottom w:w="60" w:type="dxa"/>
              <w:end w:w="70" w:type="dxa"/>
            </w:tcMar>
          </w:tcPr>
          <w:p>
            <w:r>
              <w:rPr>
                <w:sz w:val="14"/>
              </w:rPr>
              <w:t>forecasts</w:t>
            </w:r>
          </w:p>
        </w:tc>
        <w:tc>
          <w:tcPr>
            <w:tcW w:type="dxa" w:w="2232"/>
            <w:vAlign w:val="top"/>
            <w:tcMar>
              <w:top w:w="60" w:type="dxa"/>
              <w:start w:w="70" w:type="dxa"/>
              <w:bottom w:w="60" w:type="dxa"/>
              <w:end w:w="70" w:type="dxa"/>
            </w:tcMar>
          </w:tcPr>
          <w:p>
            <w:r>
              <w:rPr>
                <w:sz w:val="14"/>
              </w:rPr>
              <w:t>Forecast per model/target/horizon</w:t>
            </w:r>
          </w:p>
        </w:tc>
        <w:tc>
          <w:tcPr>
            <w:tcW w:type="dxa" w:w="3816"/>
            <w:vAlign w:val="top"/>
            <w:tcMar>
              <w:top w:w="60" w:type="dxa"/>
              <w:start w:w="70" w:type="dxa"/>
              <w:bottom w:w="60" w:type="dxa"/>
              <w:end w:w="70" w:type="dxa"/>
            </w:tcMar>
          </w:tcPr>
          <w:p>
            <w:r>
              <w:rPr>
                <w:sz w:val="14"/>
              </w:rPr>
              <w:t>forecast_run_id, model_version_id, target, horizon_days, probability, quantiles, confidence</w:t>
            </w:r>
          </w:p>
        </w:tc>
        <w:tc>
          <w:tcPr>
            <w:tcW w:type="dxa" w:w="1656"/>
            <w:vAlign w:val="top"/>
            <w:tcMar>
              <w:top w:w="60" w:type="dxa"/>
              <w:start w:w="70" w:type="dxa"/>
              <w:bottom w:w="60" w:type="dxa"/>
              <w:end w:w="70" w:type="dxa"/>
            </w:tcMar>
          </w:tcPr>
          <w:p>
            <w:r>
              <w:rPr>
                <w:sz w:val="14"/>
              </w:rPr>
              <w:t>Immutable</w:t>
            </w:r>
          </w:p>
        </w:tc>
      </w:tr>
      <w:tr>
        <w:tc>
          <w:tcPr>
            <w:tcW w:type="dxa" w:w="2016"/>
            <w:vAlign w:val="top"/>
            <w:tcMar>
              <w:top w:w="60" w:type="dxa"/>
              <w:start w:w="70" w:type="dxa"/>
              <w:bottom w:w="60" w:type="dxa"/>
              <w:end w:w="70" w:type="dxa"/>
            </w:tcMar>
          </w:tcPr>
          <w:p>
            <w:r>
              <w:rPr>
                <w:sz w:val="14"/>
              </w:rPr>
              <w:t>forecast_drivers</w:t>
            </w:r>
          </w:p>
        </w:tc>
        <w:tc>
          <w:tcPr>
            <w:tcW w:type="dxa" w:w="2232"/>
            <w:vAlign w:val="top"/>
            <w:tcMar>
              <w:top w:w="60" w:type="dxa"/>
              <w:start w:w="70" w:type="dxa"/>
              <w:bottom w:w="60" w:type="dxa"/>
              <w:end w:w="70" w:type="dxa"/>
            </w:tcMar>
          </w:tcPr>
          <w:p>
            <w:r>
              <w:rPr>
                <w:sz w:val="14"/>
              </w:rPr>
              <w:t>Top feature contributions and risks</w:t>
            </w:r>
          </w:p>
        </w:tc>
        <w:tc>
          <w:tcPr>
            <w:tcW w:type="dxa" w:w="3816"/>
            <w:vAlign w:val="top"/>
            <w:tcMar>
              <w:top w:w="60" w:type="dxa"/>
              <w:start w:w="70" w:type="dxa"/>
              <w:bottom w:w="60" w:type="dxa"/>
              <w:end w:w="70" w:type="dxa"/>
            </w:tcMar>
          </w:tcPr>
          <w:p>
            <w:r>
              <w:rPr>
                <w:sz w:val="14"/>
              </w:rPr>
              <w:t>forecast_id, driver_type, label, value, rank, evidence_json</w:t>
            </w:r>
          </w:p>
        </w:tc>
        <w:tc>
          <w:tcPr>
            <w:tcW w:type="dxa" w:w="1656"/>
            <w:vAlign w:val="top"/>
            <w:tcMar>
              <w:top w:w="60" w:type="dxa"/>
              <w:start w:w="70" w:type="dxa"/>
              <w:bottom w:w="60" w:type="dxa"/>
              <w:end w:w="70" w:type="dxa"/>
            </w:tcMar>
          </w:tcPr>
          <w:p>
            <w:r>
              <w:rPr>
                <w:sz w:val="14"/>
              </w:rPr>
              <w:t>Explainability</w:t>
            </w:r>
          </w:p>
        </w:tc>
      </w:tr>
      <w:tr>
        <w:tc>
          <w:tcPr>
            <w:tcW w:type="dxa" w:w="2016"/>
            <w:vAlign w:val="top"/>
            <w:tcMar>
              <w:top w:w="60" w:type="dxa"/>
              <w:start w:w="70" w:type="dxa"/>
              <w:bottom w:w="60" w:type="dxa"/>
              <w:end w:w="70" w:type="dxa"/>
            </w:tcMar>
          </w:tcPr>
          <w:p>
            <w:r>
              <w:rPr>
                <w:sz w:val="14"/>
              </w:rPr>
              <w:t>analog_runs</w:t>
            </w:r>
          </w:p>
        </w:tc>
        <w:tc>
          <w:tcPr>
            <w:tcW w:type="dxa" w:w="2232"/>
            <w:vAlign w:val="top"/>
            <w:tcMar>
              <w:top w:w="60" w:type="dxa"/>
              <w:start w:w="70" w:type="dxa"/>
              <w:bottom w:w="60" w:type="dxa"/>
              <w:end w:w="70" w:type="dxa"/>
            </w:tcMar>
          </w:tcPr>
          <w:p>
            <w:r>
              <w:rPr>
                <w:sz w:val="14"/>
              </w:rPr>
              <w:t>Analog-search configuration</w:t>
            </w:r>
          </w:p>
        </w:tc>
        <w:tc>
          <w:tcPr>
            <w:tcW w:type="dxa" w:w="3816"/>
            <w:vAlign w:val="top"/>
            <w:tcMar>
              <w:top w:w="60" w:type="dxa"/>
              <w:start w:w="70" w:type="dxa"/>
              <w:bottom w:w="60" w:type="dxa"/>
              <w:end w:w="70" w:type="dxa"/>
            </w:tcMar>
          </w:tcPr>
          <w:p>
            <w:r>
              <w:rPr>
                <w:sz w:val="14"/>
              </w:rPr>
              <w:t>forecast_run_id, distance_metric, episode_gap_days, feature_weights</w:t>
            </w:r>
          </w:p>
        </w:tc>
        <w:tc>
          <w:tcPr>
            <w:tcW w:type="dxa" w:w="1656"/>
            <w:vAlign w:val="top"/>
            <w:tcMar>
              <w:top w:w="60" w:type="dxa"/>
              <w:start w:w="70" w:type="dxa"/>
              <w:bottom w:w="60" w:type="dxa"/>
              <w:end w:w="70" w:type="dxa"/>
            </w:tcMar>
          </w:tcPr>
          <w:p>
            <w:r>
              <w:rPr>
                <w:sz w:val="14"/>
              </w:rPr>
              <w:t>Reproducible</w:t>
            </w:r>
          </w:p>
        </w:tc>
      </w:tr>
      <w:tr>
        <w:tc>
          <w:tcPr>
            <w:tcW w:type="dxa" w:w="2016"/>
            <w:vAlign w:val="top"/>
            <w:tcMar>
              <w:top w:w="60" w:type="dxa"/>
              <w:start w:w="70" w:type="dxa"/>
              <w:bottom w:w="60" w:type="dxa"/>
              <w:end w:w="70" w:type="dxa"/>
            </w:tcMar>
          </w:tcPr>
          <w:p>
            <w:r>
              <w:rPr>
                <w:sz w:val="14"/>
              </w:rPr>
              <w:t>analog_matches</w:t>
            </w:r>
          </w:p>
        </w:tc>
        <w:tc>
          <w:tcPr>
            <w:tcW w:type="dxa" w:w="2232"/>
            <w:vAlign w:val="top"/>
            <w:tcMar>
              <w:top w:w="60" w:type="dxa"/>
              <w:start w:w="70" w:type="dxa"/>
              <w:bottom w:w="60" w:type="dxa"/>
              <w:end w:w="70" w:type="dxa"/>
            </w:tcMar>
          </w:tcPr>
          <w:p>
            <w:r>
              <w:rPr>
                <w:sz w:val="14"/>
              </w:rPr>
              <w:t>Independent historical matches</w:t>
            </w:r>
          </w:p>
        </w:tc>
        <w:tc>
          <w:tcPr>
            <w:tcW w:type="dxa" w:w="3816"/>
            <w:vAlign w:val="top"/>
            <w:tcMar>
              <w:top w:w="60" w:type="dxa"/>
              <w:start w:w="70" w:type="dxa"/>
              <w:bottom w:w="60" w:type="dxa"/>
              <w:end w:w="70" w:type="dxa"/>
            </w:tcMar>
          </w:tcPr>
          <w:p>
            <w:r>
              <w:rPr>
                <w:sz w:val="14"/>
              </w:rPr>
              <w:t>analog_run_id, historical_date, similarity, episode_id, forward_outcomes</w:t>
            </w:r>
          </w:p>
        </w:tc>
        <w:tc>
          <w:tcPr>
            <w:tcW w:type="dxa" w:w="1656"/>
            <w:vAlign w:val="top"/>
            <w:tcMar>
              <w:top w:w="60" w:type="dxa"/>
              <w:start w:w="70" w:type="dxa"/>
              <w:bottom w:w="60" w:type="dxa"/>
              <w:end w:w="70" w:type="dxa"/>
            </w:tcMar>
          </w:tcPr>
          <w:p>
            <w:r>
              <w:rPr>
                <w:sz w:val="14"/>
              </w:rPr>
              <w:t>Inspectability</w:t>
            </w:r>
          </w:p>
        </w:tc>
      </w:tr>
      <w:tr>
        <w:tc>
          <w:tcPr>
            <w:tcW w:type="dxa" w:w="2016"/>
            <w:vAlign w:val="top"/>
            <w:tcMar>
              <w:top w:w="60" w:type="dxa"/>
              <w:start w:w="70" w:type="dxa"/>
              <w:bottom w:w="60" w:type="dxa"/>
              <w:end w:w="70" w:type="dxa"/>
            </w:tcMar>
          </w:tcPr>
          <w:p>
            <w:r>
              <w:rPr>
                <w:sz w:val="14"/>
              </w:rPr>
              <w:t>daily_opportunities</w:t>
            </w:r>
          </w:p>
        </w:tc>
        <w:tc>
          <w:tcPr>
            <w:tcW w:type="dxa" w:w="2232"/>
            <w:vAlign w:val="top"/>
            <w:tcMar>
              <w:top w:w="60" w:type="dxa"/>
              <w:start w:w="70" w:type="dxa"/>
              <w:bottom w:w="60" w:type="dxa"/>
              <w:end w:w="70" w:type="dxa"/>
            </w:tcMar>
          </w:tcPr>
          <w:p>
            <w:r>
              <w:rPr>
                <w:sz w:val="14"/>
              </w:rPr>
              <w:t>Ranked scanner results</w:t>
            </w:r>
          </w:p>
        </w:tc>
        <w:tc>
          <w:tcPr>
            <w:tcW w:type="dxa" w:w="3816"/>
            <w:vAlign w:val="top"/>
            <w:tcMar>
              <w:top w:w="60" w:type="dxa"/>
              <w:start w:w="70" w:type="dxa"/>
              <w:bottom w:w="60" w:type="dxa"/>
              <w:end w:w="70" w:type="dxa"/>
            </w:tcMar>
          </w:tcPr>
          <w:p>
            <w:r>
              <w:rPr>
                <w:sz w:val="14"/>
              </w:rPr>
              <w:t>scan_date, forecast_run_id, rank, opportunity_score, label, published</w:t>
            </w:r>
          </w:p>
        </w:tc>
        <w:tc>
          <w:tcPr>
            <w:tcW w:type="dxa" w:w="1656"/>
            <w:vAlign w:val="top"/>
            <w:tcMar>
              <w:top w:w="60" w:type="dxa"/>
              <w:start w:w="70" w:type="dxa"/>
              <w:bottom w:w="60" w:type="dxa"/>
              <w:end w:w="70" w:type="dxa"/>
            </w:tcMar>
          </w:tcPr>
          <w:p>
            <w:r>
              <w:rPr>
                <w:sz w:val="14"/>
              </w:rPr>
              <w:t>Home feed</w:t>
            </w:r>
          </w:p>
        </w:tc>
      </w:tr>
      <w:tr>
        <w:tc>
          <w:tcPr>
            <w:tcW w:type="dxa" w:w="2016"/>
            <w:vAlign w:val="top"/>
            <w:tcMar>
              <w:top w:w="60" w:type="dxa"/>
              <w:start w:w="70" w:type="dxa"/>
              <w:bottom w:w="60" w:type="dxa"/>
              <w:end w:w="70" w:type="dxa"/>
            </w:tcMar>
          </w:tcPr>
          <w:p>
            <w:r>
              <w:rPr>
                <w:sz w:val="14"/>
              </w:rPr>
              <w:t>user_decisions</w:t>
            </w:r>
          </w:p>
        </w:tc>
        <w:tc>
          <w:tcPr>
            <w:tcW w:type="dxa" w:w="2232"/>
            <w:vAlign w:val="top"/>
            <w:tcMar>
              <w:top w:w="60" w:type="dxa"/>
              <w:start w:w="70" w:type="dxa"/>
              <w:bottom w:w="60" w:type="dxa"/>
              <w:end w:w="70" w:type="dxa"/>
            </w:tcMar>
          </w:tcPr>
          <w:p>
            <w:r>
              <w:rPr>
                <w:sz w:val="14"/>
              </w:rPr>
              <w:t>User decision record</w:t>
            </w:r>
          </w:p>
        </w:tc>
        <w:tc>
          <w:tcPr>
            <w:tcW w:type="dxa" w:w="3816"/>
            <w:vAlign w:val="top"/>
            <w:tcMar>
              <w:top w:w="60" w:type="dxa"/>
              <w:start w:w="70" w:type="dxa"/>
              <w:bottom w:w="60" w:type="dxa"/>
              <w:end w:w="70" w:type="dxa"/>
            </w:tcMar>
          </w:tcPr>
          <w:p>
            <w:r>
              <w:rPr>
                <w:sz w:val="14"/>
              </w:rPr>
              <w:t>user_id, forecast_run_id, action, decision_price, size, confidence, horizon, thesis, invalidation</w:t>
            </w:r>
          </w:p>
        </w:tc>
        <w:tc>
          <w:tcPr>
            <w:tcW w:type="dxa" w:w="1656"/>
            <w:vAlign w:val="top"/>
            <w:tcMar>
              <w:top w:w="60" w:type="dxa"/>
              <w:start w:w="70" w:type="dxa"/>
              <w:bottom w:w="60" w:type="dxa"/>
              <w:end w:w="70" w:type="dxa"/>
            </w:tcMar>
          </w:tcPr>
          <w:p>
            <w:r>
              <w:rPr>
                <w:sz w:val="14"/>
              </w:rPr>
              <w:t>Immutable</w:t>
            </w:r>
          </w:p>
        </w:tc>
      </w:tr>
      <w:tr>
        <w:tc>
          <w:tcPr>
            <w:tcW w:type="dxa" w:w="2016"/>
            <w:vAlign w:val="top"/>
            <w:tcMar>
              <w:top w:w="60" w:type="dxa"/>
              <w:start w:w="70" w:type="dxa"/>
              <w:bottom w:w="60" w:type="dxa"/>
              <w:end w:w="70" w:type="dxa"/>
            </w:tcMar>
          </w:tcPr>
          <w:p>
            <w:r>
              <w:rPr>
                <w:sz w:val="14"/>
              </w:rPr>
              <w:t>trade_executions</w:t>
            </w:r>
          </w:p>
        </w:tc>
        <w:tc>
          <w:tcPr>
            <w:tcW w:type="dxa" w:w="2232"/>
            <w:vAlign w:val="top"/>
            <w:tcMar>
              <w:top w:w="60" w:type="dxa"/>
              <w:start w:w="70" w:type="dxa"/>
              <w:bottom w:w="60" w:type="dxa"/>
              <w:end w:w="70" w:type="dxa"/>
            </w:tcMar>
          </w:tcPr>
          <w:p>
            <w:r>
              <w:rPr>
                <w:sz w:val="14"/>
              </w:rPr>
              <w:t>Actual buys/sells</w:t>
            </w:r>
          </w:p>
        </w:tc>
        <w:tc>
          <w:tcPr>
            <w:tcW w:type="dxa" w:w="3816"/>
            <w:vAlign w:val="top"/>
            <w:tcMar>
              <w:top w:w="60" w:type="dxa"/>
              <w:start w:w="70" w:type="dxa"/>
              <w:bottom w:w="60" w:type="dxa"/>
              <w:end w:w="70" w:type="dxa"/>
            </w:tcMar>
          </w:tcPr>
          <w:p>
            <w:r>
              <w:rPr>
                <w:sz w:val="14"/>
              </w:rPr>
              <w:t>user_decision_id, executed_at, side, units, price, fees</w:t>
            </w:r>
          </w:p>
        </w:tc>
        <w:tc>
          <w:tcPr>
            <w:tcW w:type="dxa" w:w="1656"/>
            <w:vAlign w:val="top"/>
            <w:tcMar>
              <w:top w:w="60" w:type="dxa"/>
              <w:start w:w="70" w:type="dxa"/>
              <w:bottom w:w="60" w:type="dxa"/>
              <w:end w:w="70" w:type="dxa"/>
            </w:tcMar>
          </w:tcPr>
          <w:p>
            <w:r>
              <w:rPr>
                <w:sz w:val="14"/>
              </w:rPr>
              <w:t>Multiple fills</w:t>
            </w:r>
          </w:p>
        </w:tc>
      </w:tr>
      <w:tr>
        <w:tc>
          <w:tcPr>
            <w:tcW w:type="dxa" w:w="2016"/>
            <w:vAlign w:val="top"/>
            <w:tcMar>
              <w:top w:w="60" w:type="dxa"/>
              <w:start w:w="70" w:type="dxa"/>
              <w:bottom w:w="60" w:type="dxa"/>
              <w:end w:w="70" w:type="dxa"/>
            </w:tcMar>
          </w:tcPr>
          <w:p>
            <w:r>
              <w:rPr>
                <w:sz w:val="14"/>
              </w:rPr>
              <w:t>forecast_outcomes</w:t>
            </w:r>
          </w:p>
        </w:tc>
        <w:tc>
          <w:tcPr>
            <w:tcW w:type="dxa" w:w="2232"/>
            <w:vAlign w:val="top"/>
            <w:tcMar>
              <w:top w:w="60" w:type="dxa"/>
              <w:start w:w="70" w:type="dxa"/>
              <w:bottom w:w="60" w:type="dxa"/>
              <w:end w:w="70" w:type="dxa"/>
            </w:tcMar>
          </w:tcPr>
          <w:p>
            <w:r>
              <w:rPr>
                <w:sz w:val="14"/>
              </w:rPr>
              <w:t>Matured objective outcomes</w:t>
            </w:r>
          </w:p>
        </w:tc>
        <w:tc>
          <w:tcPr>
            <w:tcW w:type="dxa" w:w="3816"/>
            <w:vAlign w:val="top"/>
            <w:tcMar>
              <w:top w:w="60" w:type="dxa"/>
              <w:start w:w="70" w:type="dxa"/>
              <w:bottom w:w="60" w:type="dxa"/>
              <w:end w:w="70" w:type="dxa"/>
            </w:tcMar>
          </w:tcPr>
          <w:p>
            <w:r>
              <w:rPr>
                <w:sz w:val="14"/>
              </w:rPr>
              <w:t>forecast_id, evaluation_date, actual_return, excess_return, mae, mfe, event_occurred</w:t>
            </w:r>
          </w:p>
        </w:tc>
        <w:tc>
          <w:tcPr>
            <w:tcW w:type="dxa" w:w="1656"/>
            <w:vAlign w:val="top"/>
            <w:tcMar>
              <w:top w:w="60" w:type="dxa"/>
              <w:start w:w="70" w:type="dxa"/>
              <w:bottom w:w="60" w:type="dxa"/>
              <w:end w:w="70" w:type="dxa"/>
            </w:tcMar>
          </w:tcPr>
          <w:p>
            <w:r>
              <w:rPr>
                <w:sz w:val="14"/>
              </w:rPr>
              <w:t>One per horizon</w:t>
            </w:r>
          </w:p>
        </w:tc>
      </w:tr>
      <w:tr>
        <w:tc>
          <w:tcPr>
            <w:tcW w:type="dxa" w:w="2016"/>
            <w:vAlign w:val="top"/>
            <w:tcMar>
              <w:top w:w="60" w:type="dxa"/>
              <w:start w:w="70" w:type="dxa"/>
              <w:bottom w:w="60" w:type="dxa"/>
              <w:end w:w="70" w:type="dxa"/>
            </w:tcMar>
          </w:tcPr>
          <w:p>
            <w:r>
              <w:rPr>
                <w:sz w:val="14"/>
              </w:rPr>
              <w:t>decision_outcomes</w:t>
            </w:r>
          </w:p>
        </w:tc>
        <w:tc>
          <w:tcPr>
            <w:tcW w:type="dxa" w:w="2232"/>
            <w:vAlign w:val="top"/>
            <w:tcMar>
              <w:top w:w="60" w:type="dxa"/>
              <w:start w:w="70" w:type="dxa"/>
              <w:bottom w:w="60" w:type="dxa"/>
              <w:end w:w="70" w:type="dxa"/>
            </w:tcMar>
          </w:tcPr>
          <w:p>
            <w:r>
              <w:rPr>
                <w:sz w:val="14"/>
              </w:rPr>
              <w:t>User action result</w:t>
            </w:r>
          </w:p>
        </w:tc>
        <w:tc>
          <w:tcPr>
            <w:tcW w:type="dxa" w:w="3816"/>
            <w:vAlign w:val="top"/>
            <w:tcMar>
              <w:top w:w="60" w:type="dxa"/>
              <w:start w:w="70" w:type="dxa"/>
              <w:bottom w:w="60" w:type="dxa"/>
              <w:end w:w="70" w:type="dxa"/>
            </w:tcMar>
          </w:tcPr>
          <w:p>
            <w:r>
              <w:rPr>
                <w:sz w:val="14"/>
              </w:rPr>
              <w:t>user_decision_id, evaluation_date, realized_or_marked_return, opportunity_cost, notes</w:t>
            </w:r>
          </w:p>
        </w:tc>
        <w:tc>
          <w:tcPr>
            <w:tcW w:type="dxa" w:w="1656"/>
            <w:vAlign w:val="top"/>
            <w:tcMar>
              <w:top w:w="60" w:type="dxa"/>
              <w:start w:w="70" w:type="dxa"/>
              <w:bottom w:w="60" w:type="dxa"/>
              <w:end w:w="70" w:type="dxa"/>
            </w:tcMar>
          </w:tcPr>
          <w:p>
            <w:r>
              <w:rPr>
                <w:sz w:val="14"/>
              </w:rPr>
              <w:t>Personal analytics</w:t>
            </w:r>
          </w:p>
        </w:tc>
      </w:tr>
      <w:tr>
        <w:tc>
          <w:tcPr>
            <w:tcW w:type="dxa" w:w="2016"/>
            <w:vAlign w:val="top"/>
            <w:tcMar>
              <w:top w:w="60" w:type="dxa"/>
              <w:start w:w="70" w:type="dxa"/>
              <w:bottom w:w="60" w:type="dxa"/>
              <w:end w:w="70" w:type="dxa"/>
            </w:tcMar>
          </w:tcPr>
          <w:p>
            <w:r>
              <w:rPr>
                <w:sz w:val="14"/>
              </w:rPr>
              <w:t>model_evaluations</w:t>
            </w:r>
          </w:p>
        </w:tc>
        <w:tc>
          <w:tcPr>
            <w:tcW w:type="dxa" w:w="2232"/>
            <w:vAlign w:val="top"/>
            <w:tcMar>
              <w:top w:w="60" w:type="dxa"/>
              <w:start w:w="70" w:type="dxa"/>
              <w:bottom w:w="60" w:type="dxa"/>
              <w:end w:w="70" w:type="dxa"/>
            </w:tcMar>
          </w:tcPr>
          <w:p>
            <w:r>
              <w:rPr>
                <w:sz w:val="14"/>
              </w:rPr>
              <w:t>Aggregated performance</w:t>
            </w:r>
          </w:p>
        </w:tc>
        <w:tc>
          <w:tcPr>
            <w:tcW w:type="dxa" w:w="3816"/>
            <w:vAlign w:val="top"/>
            <w:tcMar>
              <w:top w:w="60" w:type="dxa"/>
              <w:start w:w="70" w:type="dxa"/>
              <w:bottom w:w="60" w:type="dxa"/>
              <w:end w:w="70" w:type="dxa"/>
            </w:tcMar>
          </w:tcPr>
          <w:p>
            <w:r>
              <w:rPr>
                <w:sz w:val="14"/>
              </w:rPr>
              <w:t>model_version_id, period, segment_json, metrics_json</w:t>
            </w:r>
          </w:p>
        </w:tc>
        <w:tc>
          <w:tcPr>
            <w:tcW w:type="dxa" w:w="1656"/>
            <w:vAlign w:val="top"/>
            <w:tcMar>
              <w:top w:w="60" w:type="dxa"/>
              <w:start w:w="70" w:type="dxa"/>
              <w:bottom w:w="60" w:type="dxa"/>
              <w:end w:w="70" w:type="dxa"/>
            </w:tcMar>
          </w:tcPr>
          <w:p>
            <w:r>
              <w:rPr>
                <w:sz w:val="14"/>
              </w:rPr>
              <w:t>Scorecards</w:t>
            </w:r>
          </w:p>
        </w:tc>
      </w:tr>
      <w:tr>
        <w:tc>
          <w:tcPr>
            <w:tcW w:type="dxa" w:w="2016"/>
            <w:vAlign w:val="top"/>
            <w:tcMar>
              <w:top w:w="60" w:type="dxa"/>
              <w:start w:w="70" w:type="dxa"/>
              <w:bottom w:w="60" w:type="dxa"/>
              <w:end w:w="70" w:type="dxa"/>
            </w:tcMar>
          </w:tcPr>
          <w:p>
            <w:r>
              <w:rPr>
                <w:sz w:val="14"/>
              </w:rPr>
              <w:t>user_feedback</w:t>
            </w:r>
          </w:p>
        </w:tc>
        <w:tc>
          <w:tcPr>
            <w:tcW w:type="dxa" w:w="2232"/>
            <w:vAlign w:val="top"/>
            <w:tcMar>
              <w:top w:w="60" w:type="dxa"/>
              <w:start w:w="70" w:type="dxa"/>
              <w:bottom w:w="60" w:type="dxa"/>
              <w:end w:w="70" w:type="dxa"/>
            </w:tcMar>
          </w:tcPr>
          <w:p>
            <w:r>
              <w:rPr>
                <w:sz w:val="14"/>
              </w:rPr>
              <w:t>Explanation/data/model feedback</w:t>
            </w:r>
          </w:p>
        </w:tc>
        <w:tc>
          <w:tcPr>
            <w:tcW w:type="dxa" w:w="3816"/>
            <w:vAlign w:val="top"/>
            <w:tcMar>
              <w:top w:w="60" w:type="dxa"/>
              <w:start w:w="70" w:type="dxa"/>
              <w:bottom w:w="60" w:type="dxa"/>
              <w:end w:w="70" w:type="dxa"/>
            </w:tcMar>
          </w:tcPr>
          <w:p>
            <w:r>
              <w:rPr>
                <w:sz w:val="14"/>
              </w:rPr>
              <w:t>user_id, forecast_run_id, feedback_type, rating, text, status</w:t>
            </w:r>
          </w:p>
        </w:tc>
        <w:tc>
          <w:tcPr>
            <w:tcW w:type="dxa" w:w="1656"/>
            <w:vAlign w:val="top"/>
            <w:tcMar>
              <w:top w:w="60" w:type="dxa"/>
              <w:start w:w="70" w:type="dxa"/>
              <w:bottom w:w="60" w:type="dxa"/>
              <w:end w:w="70" w:type="dxa"/>
            </w:tcMar>
          </w:tcPr>
          <w:p>
            <w:r>
              <w:rPr>
                <w:sz w:val="14"/>
              </w:rPr>
              <w:t>Separate from outcomes</w:t>
            </w:r>
          </w:p>
        </w:tc>
      </w:tr>
      <w:tr>
        <w:tc>
          <w:tcPr>
            <w:tcW w:type="dxa" w:w="2016"/>
            <w:vAlign w:val="top"/>
            <w:tcMar>
              <w:top w:w="60" w:type="dxa"/>
              <w:start w:w="70" w:type="dxa"/>
              <w:bottom w:w="60" w:type="dxa"/>
              <w:end w:w="70" w:type="dxa"/>
            </w:tcMar>
          </w:tcPr>
          <w:p>
            <w:r>
              <w:rPr>
                <w:sz w:val="14"/>
              </w:rPr>
              <w:t>search_threads</w:t>
            </w:r>
          </w:p>
        </w:tc>
        <w:tc>
          <w:tcPr>
            <w:tcW w:type="dxa" w:w="2232"/>
            <w:vAlign w:val="top"/>
            <w:tcMar>
              <w:top w:w="60" w:type="dxa"/>
              <w:start w:w="70" w:type="dxa"/>
              <w:bottom w:w="60" w:type="dxa"/>
              <w:end w:w="70" w:type="dxa"/>
            </w:tcMar>
          </w:tcPr>
          <w:p>
            <w:r>
              <w:rPr>
                <w:sz w:val="14"/>
              </w:rPr>
              <w:t>Conversation container</w:t>
            </w:r>
          </w:p>
        </w:tc>
        <w:tc>
          <w:tcPr>
            <w:tcW w:type="dxa" w:w="3816"/>
            <w:vAlign w:val="top"/>
            <w:tcMar>
              <w:top w:w="60" w:type="dxa"/>
              <w:start w:w="70" w:type="dxa"/>
              <w:bottom w:w="60" w:type="dxa"/>
              <w:end w:w="70" w:type="dxa"/>
            </w:tcMar>
          </w:tcPr>
          <w:p>
            <w:r>
              <w:rPr>
                <w:sz w:val="14"/>
              </w:rPr>
              <w:t>user_id, title, created_at</w:t>
            </w:r>
          </w:p>
        </w:tc>
        <w:tc>
          <w:tcPr>
            <w:tcW w:type="dxa" w:w="1656"/>
            <w:vAlign w:val="top"/>
            <w:tcMar>
              <w:top w:w="60" w:type="dxa"/>
              <w:start w:w="70" w:type="dxa"/>
              <w:bottom w:w="60" w:type="dxa"/>
              <w:end w:w="70" w:type="dxa"/>
            </w:tcMar>
          </w:tcPr>
          <w:p>
            <w:r>
              <w:rPr>
                <w:sz w:val="14"/>
              </w:rPr>
              <w:t>Private</w:t>
            </w:r>
          </w:p>
        </w:tc>
      </w:tr>
      <w:tr>
        <w:tc>
          <w:tcPr>
            <w:tcW w:type="dxa" w:w="2016"/>
            <w:vAlign w:val="top"/>
            <w:tcMar>
              <w:top w:w="60" w:type="dxa"/>
              <w:start w:w="70" w:type="dxa"/>
              <w:bottom w:w="60" w:type="dxa"/>
              <w:end w:w="70" w:type="dxa"/>
            </w:tcMar>
          </w:tcPr>
          <w:p>
            <w:r>
              <w:rPr>
                <w:sz w:val="14"/>
              </w:rPr>
              <w:t>search_messages</w:t>
            </w:r>
          </w:p>
        </w:tc>
        <w:tc>
          <w:tcPr>
            <w:tcW w:type="dxa" w:w="2232"/>
            <w:vAlign w:val="top"/>
            <w:tcMar>
              <w:top w:w="60" w:type="dxa"/>
              <w:start w:w="70" w:type="dxa"/>
              <w:bottom w:w="60" w:type="dxa"/>
              <w:end w:w="70" w:type="dxa"/>
            </w:tcMar>
          </w:tcPr>
          <w:p>
            <w:r>
              <w:rPr>
                <w:sz w:val="14"/>
              </w:rPr>
              <w:t>Question/answer records</w:t>
            </w:r>
          </w:p>
        </w:tc>
        <w:tc>
          <w:tcPr>
            <w:tcW w:type="dxa" w:w="3816"/>
            <w:vAlign w:val="top"/>
            <w:tcMar>
              <w:top w:w="60" w:type="dxa"/>
              <w:start w:w="70" w:type="dxa"/>
              <w:bottom w:w="60" w:type="dxa"/>
              <w:end w:w="70" w:type="dxa"/>
            </w:tcMar>
          </w:tcPr>
          <w:p>
            <w:r>
              <w:rPr>
                <w:sz w:val="14"/>
              </w:rPr>
              <w:t>thread_id, role, content, model, created_at</w:t>
            </w:r>
          </w:p>
        </w:tc>
        <w:tc>
          <w:tcPr>
            <w:tcW w:type="dxa" w:w="1656"/>
            <w:vAlign w:val="top"/>
            <w:tcMar>
              <w:top w:w="60" w:type="dxa"/>
              <w:start w:w="70" w:type="dxa"/>
              <w:bottom w:w="60" w:type="dxa"/>
              <w:end w:w="70" w:type="dxa"/>
            </w:tcMar>
          </w:tcPr>
          <w:p>
            <w:r>
              <w:rPr>
                <w:sz w:val="14"/>
              </w:rPr>
              <w:t>Private</w:t>
            </w:r>
          </w:p>
        </w:tc>
      </w:tr>
      <w:tr>
        <w:tc>
          <w:tcPr>
            <w:tcW w:type="dxa" w:w="2016"/>
            <w:vAlign w:val="top"/>
            <w:tcMar>
              <w:top w:w="60" w:type="dxa"/>
              <w:start w:w="70" w:type="dxa"/>
              <w:bottom w:w="60" w:type="dxa"/>
              <w:end w:w="70" w:type="dxa"/>
            </w:tcMar>
          </w:tcPr>
          <w:p>
            <w:r>
              <w:rPr>
                <w:sz w:val="14"/>
              </w:rPr>
              <w:t>retrieval_evidence</w:t>
            </w:r>
          </w:p>
        </w:tc>
        <w:tc>
          <w:tcPr>
            <w:tcW w:type="dxa" w:w="2232"/>
            <w:vAlign w:val="top"/>
            <w:tcMar>
              <w:top w:w="60" w:type="dxa"/>
              <w:start w:w="70" w:type="dxa"/>
              <w:bottom w:w="60" w:type="dxa"/>
              <w:end w:w="70" w:type="dxa"/>
            </w:tcMar>
          </w:tcPr>
          <w:p>
            <w:r>
              <w:rPr>
                <w:sz w:val="14"/>
              </w:rPr>
              <w:t>Records used in answer</w:t>
            </w:r>
          </w:p>
        </w:tc>
        <w:tc>
          <w:tcPr>
            <w:tcW w:type="dxa" w:w="3816"/>
            <w:vAlign w:val="top"/>
            <w:tcMar>
              <w:top w:w="60" w:type="dxa"/>
              <w:start w:w="70" w:type="dxa"/>
              <w:bottom w:w="60" w:type="dxa"/>
              <w:end w:w="70" w:type="dxa"/>
            </w:tcMar>
          </w:tcPr>
          <w:p>
            <w:r>
              <w:rPr>
                <w:sz w:val="14"/>
              </w:rPr>
              <w:t>message_id, source_table, source_id, relevance, excerpt</w:t>
            </w:r>
          </w:p>
        </w:tc>
        <w:tc>
          <w:tcPr>
            <w:tcW w:type="dxa" w:w="1656"/>
            <w:vAlign w:val="top"/>
            <w:tcMar>
              <w:top w:w="60" w:type="dxa"/>
              <w:start w:w="70" w:type="dxa"/>
              <w:bottom w:w="60" w:type="dxa"/>
              <w:end w:w="70" w:type="dxa"/>
            </w:tcMar>
          </w:tcPr>
          <w:p>
            <w:r>
              <w:rPr>
                <w:sz w:val="14"/>
              </w:rPr>
              <w:t>Grounding</w:t>
            </w:r>
          </w:p>
        </w:tc>
      </w:tr>
      <w:tr>
        <w:tc>
          <w:tcPr>
            <w:tcW w:type="dxa" w:w="2016"/>
            <w:vAlign w:val="top"/>
            <w:tcMar>
              <w:top w:w="60" w:type="dxa"/>
              <w:start w:w="70" w:type="dxa"/>
              <w:bottom w:w="60" w:type="dxa"/>
              <w:end w:w="70" w:type="dxa"/>
            </w:tcMar>
          </w:tcPr>
          <w:p>
            <w:r>
              <w:rPr>
                <w:sz w:val="14"/>
              </w:rPr>
              <w:t>job_runs</w:t>
            </w:r>
          </w:p>
        </w:tc>
        <w:tc>
          <w:tcPr>
            <w:tcW w:type="dxa" w:w="2232"/>
            <w:vAlign w:val="top"/>
            <w:tcMar>
              <w:top w:w="60" w:type="dxa"/>
              <w:start w:w="70" w:type="dxa"/>
              <w:bottom w:w="60" w:type="dxa"/>
              <w:end w:w="70" w:type="dxa"/>
            </w:tcMar>
          </w:tcPr>
          <w:p>
            <w:r>
              <w:rPr>
                <w:sz w:val="14"/>
              </w:rPr>
              <w:t>Scheduled job audit</w:t>
            </w:r>
          </w:p>
        </w:tc>
        <w:tc>
          <w:tcPr>
            <w:tcW w:type="dxa" w:w="3816"/>
            <w:vAlign w:val="top"/>
            <w:tcMar>
              <w:top w:w="60" w:type="dxa"/>
              <w:start w:w="70" w:type="dxa"/>
              <w:bottom w:w="60" w:type="dxa"/>
              <w:end w:w="70" w:type="dxa"/>
            </w:tcMar>
          </w:tcPr>
          <w:p>
            <w:r>
              <w:rPr>
                <w:sz w:val="14"/>
              </w:rPr>
              <w:t>job_name, started_at, ended_at, status, counts, error</w:t>
            </w:r>
          </w:p>
        </w:tc>
        <w:tc>
          <w:tcPr>
            <w:tcW w:type="dxa" w:w="1656"/>
            <w:vAlign w:val="top"/>
            <w:tcMar>
              <w:top w:w="60" w:type="dxa"/>
              <w:start w:w="70" w:type="dxa"/>
              <w:bottom w:w="60" w:type="dxa"/>
              <w:end w:w="70" w:type="dxa"/>
            </w:tcMar>
          </w:tcPr>
          <w:p>
            <w:r>
              <w:rPr>
                <w:sz w:val="14"/>
              </w:rPr>
              <w:t>Operations</w:t>
            </w:r>
          </w:p>
        </w:tc>
      </w:tr>
      <w:tr>
        <w:tc>
          <w:tcPr>
            <w:tcW w:type="dxa" w:w="2016"/>
            <w:vAlign w:val="top"/>
            <w:tcMar>
              <w:top w:w="60" w:type="dxa"/>
              <w:start w:w="70" w:type="dxa"/>
              <w:bottom w:w="60" w:type="dxa"/>
              <w:end w:w="70" w:type="dxa"/>
            </w:tcMar>
          </w:tcPr>
          <w:p>
            <w:r>
              <w:rPr>
                <w:sz w:val="14"/>
              </w:rPr>
              <w:t>data_quality_events</w:t>
            </w:r>
          </w:p>
        </w:tc>
        <w:tc>
          <w:tcPr>
            <w:tcW w:type="dxa" w:w="2232"/>
            <w:vAlign w:val="top"/>
            <w:tcMar>
              <w:top w:w="60" w:type="dxa"/>
              <w:start w:w="70" w:type="dxa"/>
              <w:bottom w:w="60" w:type="dxa"/>
              <w:end w:w="70" w:type="dxa"/>
            </w:tcMar>
          </w:tcPr>
          <w:p>
            <w:r>
              <w:rPr>
                <w:sz w:val="14"/>
              </w:rPr>
              <w:t>Data issues and corrections</w:t>
            </w:r>
          </w:p>
        </w:tc>
        <w:tc>
          <w:tcPr>
            <w:tcW w:type="dxa" w:w="3816"/>
            <w:vAlign w:val="top"/>
            <w:tcMar>
              <w:top w:w="60" w:type="dxa"/>
              <w:start w:w="70" w:type="dxa"/>
              <w:bottom w:w="60" w:type="dxa"/>
              <w:end w:w="70" w:type="dxa"/>
            </w:tcMar>
          </w:tcPr>
          <w:p>
            <w:r>
              <w:rPr>
                <w:sz w:val="14"/>
              </w:rPr>
              <w:t>severity, entity_type, entity_id, rule, details, resolved_at</w:t>
            </w:r>
          </w:p>
        </w:tc>
        <w:tc>
          <w:tcPr>
            <w:tcW w:type="dxa" w:w="1656"/>
            <w:vAlign w:val="top"/>
            <w:tcMar>
              <w:top w:w="60" w:type="dxa"/>
              <w:start w:w="70" w:type="dxa"/>
              <w:bottom w:w="60" w:type="dxa"/>
              <w:end w:w="70" w:type="dxa"/>
            </w:tcMar>
          </w:tcPr>
          <w:p>
            <w:r>
              <w:rPr>
                <w:sz w:val="14"/>
              </w:rPr>
              <w:t>No silent fixes</w:t>
            </w:r>
          </w:p>
        </w:tc>
      </w:tr>
    </w:tbl>
    <w:p>
      <w:pPr>
        <w:pStyle w:val="Heading2"/>
      </w:pPr>
      <w:r>
        <w:t>12.1 Core SQL Migration Skeleton</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4"/>
              </w:rPr>
              <w:t>create extension if not exists vector with schema extensions;</w:t>
              <w:br/>
            </w:r>
            <w:r>
              <w:rPr>
                <w:rFonts w:ascii="Liberation Mono" w:hAnsi="Liberation Mono"/>
                <w:sz w:val="14"/>
              </w:rPr>
              <w:t>create extension if not exists pgcrypto;</w:t>
              <w:br/>
            </w:r>
            <w:r>
              <w:rPr>
                <w:rFonts w:ascii="Liberation Mono" w:hAnsi="Liberation Mono"/>
                <w:sz w:val="14"/>
              </w:rPr>
              <w:br/>
            </w:r>
            <w:r>
              <w:rPr>
                <w:rFonts w:ascii="Liberation Mono" w:hAnsi="Liberation Mono"/>
                <w:sz w:val="14"/>
              </w:rPr>
              <w:t>create type public.decision_action as enum</w:t>
              <w:br/>
            </w:r>
            <w:r>
              <w:rPr>
                <w:rFonts w:ascii="Liberation Mono" w:hAnsi="Liberation Mono"/>
                <w:sz w:val="14"/>
              </w:rPr>
              <w:t xml:space="preserve">  ('buy','sell','hold','watch','stand_down');</w:t>
              <w:br/>
            </w:r>
            <w:r>
              <w:rPr>
                <w:rFonts w:ascii="Liberation Mono" w:hAnsi="Liberation Mono"/>
                <w:sz w:val="14"/>
              </w:rPr>
              <w:br/>
            </w:r>
            <w:r>
              <w:rPr>
                <w:rFonts w:ascii="Liberation Mono" w:hAnsi="Liberation Mono"/>
                <w:sz w:val="14"/>
              </w:rPr>
              <w:t>create type public.model_status as enum</w:t>
              <w:br/>
            </w:r>
            <w:r>
              <w:rPr>
                <w:rFonts w:ascii="Liberation Mono" w:hAnsi="Liberation Mono"/>
                <w:sz w:val="14"/>
              </w:rPr>
              <w:t xml:space="preserve">  ('development','challenger','shadow','champion','retired');</w:t>
              <w:br/>
            </w:r>
            <w:r>
              <w:rPr>
                <w:rFonts w:ascii="Liberation Mono" w:hAnsi="Liberation Mono"/>
                <w:sz w:val="14"/>
              </w:rPr>
              <w:br/>
            </w:r>
            <w:r>
              <w:rPr>
                <w:rFonts w:ascii="Liberation Mono" w:hAnsi="Liberation Mono"/>
                <w:sz w:val="14"/>
              </w:rPr>
              <w:t>create table public.assets (</w:t>
              <w:br/>
            </w:r>
            <w:r>
              <w:rPr>
                <w:rFonts w:ascii="Liberation Mono" w:hAnsi="Liberation Mono"/>
                <w:sz w:val="14"/>
              </w:rPr>
              <w:t xml:space="preserve">  id uuid primary key default gen_random_uuid(),</w:t>
              <w:br/>
            </w:r>
            <w:r>
              <w:rPr>
                <w:rFonts w:ascii="Liberation Mono" w:hAnsi="Liberation Mono"/>
                <w:sz w:val="14"/>
              </w:rPr>
              <w:t xml:space="preserve">  symbol text not null unique,</w:t>
              <w:br/>
            </w:r>
            <w:r>
              <w:rPr>
                <w:rFonts w:ascii="Liberation Mono" w:hAnsi="Liberation Mono"/>
                <w:sz w:val="14"/>
              </w:rPr>
              <w:t xml:space="preserve">  name text not null,</w:t>
              <w:br/>
            </w:r>
            <w:r>
              <w:rPr>
                <w:rFonts w:ascii="Liberation Mono" w:hAnsi="Liberation Mono"/>
                <w:sz w:val="14"/>
              </w:rPr>
              <w:t xml:space="preserve">  asset_type text not null default 'etf',</w:t>
              <w:br/>
            </w:r>
            <w:r>
              <w:rPr>
                <w:rFonts w:ascii="Liberation Mono" w:hAnsi="Liberation Mono"/>
                <w:sz w:val="14"/>
              </w:rPr>
              <w:t xml:space="preserve">  exchange text,</w:t>
              <w:br/>
            </w:r>
            <w:r>
              <w:rPr>
                <w:rFonts w:ascii="Liberation Mono" w:hAnsi="Liberation Mono"/>
                <w:sz w:val="14"/>
              </w:rPr>
              <w:t xml:space="preserve">  currency text not null default 'USD',</w:t>
              <w:br/>
            </w:r>
            <w:r>
              <w:rPr>
                <w:rFonts w:ascii="Liberation Mono" w:hAnsi="Liberation Mono"/>
                <w:sz w:val="14"/>
              </w:rPr>
              <w:t xml:space="preserve">  active boolean not null default true,</w:t>
              <w:br/>
            </w:r>
            <w:r>
              <w:rPr>
                <w:rFonts w:ascii="Liberation Mono" w:hAnsi="Liberation Mono"/>
                <w:sz w:val="14"/>
              </w:rPr>
              <w:t xml:space="preserve">  created_at timestamptz not null default now()</w:t>
              <w:br/>
            </w:r>
            <w:r>
              <w:rPr>
                <w:rFonts w:ascii="Liberation Mono" w:hAnsi="Liberation Mono"/>
                <w:sz w:val="14"/>
              </w:rPr>
              <w:t>);</w:t>
              <w:br/>
            </w:r>
            <w:r>
              <w:rPr>
                <w:rFonts w:ascii="Liberation Mono" w:hAnsi="Liberation Mono"/>
                <w:sz w:val="14"/>
              </w:rPr>
              <w:br/>
            </w:r>
            <w:r>
              <w:rPr>
                <w:rFonts w:ascii="Liberation Mono" w:hAnsi="Liberation Mono"/>
                <w:sz w:val="14"/>
              </w:rPr>
              <w:t>create table public.quote_snapshots (</w:t>
              <w:br/>
            </w:r>
            <w:r>
              <w:rPr>
                <w:rFonts w:ascii="Liberation Mono" w:hAnsi="Liberation Mono"/>
                <w:sz w:val="14"/>
              </w:rPr>
              <w:t xml:space="preserve">  id uuid primary key default gen_random_uuid(),</w:t>
              <w:br/>
            </w:r>
            <w:r>
              <w:rPr>
                <w:rFonts w:ascii="Liberation Mono" w:hAnsi="Liberation Mono"/>
                <w:sz w:val="14"/>
              </w:rPr>
              <w:t xml:space="preserve">  user_id uuid not null references auth.users(id),</w:t>
              <w:br/>
            </w:r>
            <w:r>
              <w:rPr>
                <w:rFonts w:ascii="Liberation Mono" w:hAnsi="Liberation Mono"/>
                <w:sz w:val="14"/>
              </w:rPr>
              <w:t xml:space="preserve">  asset_id uuid not null references public.assets(id),</w:t>
              <w:br/>
            </w:r>
            <w:r>
              <w:rPr>
                <w:rFonts w:ascii="Liberation Mono" w:hAnsi="Liberation Mono"/>
                <w:sz w:val="14"/>
              </w:rPr>
              <w:t xml:space="preserve">  provider text,</w:t>
              <w:br/>
            </w:r>
            <w:r>
              <w:rPr>
                <w:rFonts w:ascii="Liberation Mono" w:hAnsi="Liberation Mono"/>
                <w:sz w:val="14"/>
              </w:rPr>
              <w:t xml:space="preserve">  provider_price numeric(18,6),</w:t>
              <w:br/>
            </w:r>
            <w:r>
              <w:rPr>
                <w:rFonts w:ascii="Liberation Mono" w:hAnsi="Liberation Mono"/>
                <w:sz w:val="14"/>
              </w:rPr>
              <w:t xml:space="preserve">  provider_timestamp timestamptz,</w:t>
              <w:br/>
            </w:r>
            <w:r>
              <w:rPr>
                <w:rFonts w:ascii="Liberation Mono" w:hAnsi="Liberation Mono"/>
                <w:sz w:val="14"/>
              </w:rPr>
              <w:t xml:space="preserve">  retrieved_at timestamptz not null default now(),</w:t>
              <w:br/>
            </w:r>
            <w:r>
              <w:rPr>
                <w:rFonts w:ascii="Liberation Mono" w:hAnsi="Liberation Mono"/>
                <w:sz w:val="14"/>
              </w:rPr>
              <w:t xml:space="preserve">  delay_seconds integer,</w:t>
              <w:br/>
            </w:r>
            <w:r>
              <w:rPr>
                <w:rFonts w:ascii="Liberation Mono" w:hAnsi="Liberation Mono"/>
                <w:sz w:val="14"/>
              </w:rPr>
              <w:t xml:space="preserve">  manual_price numeric(18,6),</w:t>
              <w:br/>
            </w:r>
            <w:r>
              <w:rPr>
                <w:rFonts w:ascii="Liberation Mono" w:hAnsi="Liberation Mono"/>
                <w:sz w:val="14"/>
              </w:rPr>
              <w:t xml:space="preserve">  manual_entered_at timestamptz,</w:t>
              <w:br/>
            </w:r>
            <w:r>
              <w:rPr>
                <w:rFonts w:ascii="Liberation Mono" w:hAnsi="Liberation Mono"/>
                <w:sz w:val="14"/>
              </w:rPr>
              <w:t xml:space="preserve">  effective_price numeric(18,6) not null check (effective_price &gt; 0),</w:t>
              <w:br/>
            </w:r>
            <w:r>
              <w:rPr>
                <w:rFonts w:ascii="Liberation Mono" w:hAnsi="Liberation Mono"/>
                <w:sz w:val="14"/>
              </w:rPr>
              <w:t xml:space="preserve">  effective_source text not null check (effective_source in ('provider','manual')),</w:t>
              <w:br/>
            </w:r>
            <w:r>
              <w:rPr>
                <w:rFonts w:ascii="Liberation Mono" w:hAnsi="Liberation Mono"/>
                <w:sz w:val="14"/>
              </w:rPr>
              <w:t xml:space="preserve">  market_status text,</w:t>
              <w:br/>
            </w:r>
            <w:r>
              <w:rPr>
                <w:rFonts w:ascii="Liberation Mono" w:hAnsi="Liberation Mono"/>
                <w:sz w:val="14"/>
              </w:rPr>
              <w:t xml:space="preserve">  raw_payload_hash text,</w:t>
              <w:br/>
            </w:r>
            <w:r>
              <w:rPr>
                <w:rFonts w:ascii="Liberation Mono" w:hAnsi="Liberation Mono"/>
                <w:sz w:val="14"/>
              </w:rPr>
              <w:t xml:space="preserve">  created_at timestamptz not null default now()</w:t>
              <w:br/>
            </w:r>
            <w:r>
              <w:rPr>
                <w:rFonts w:ascii="Liberation Mono" w:hAnsi="Liberation Mono"/>
                <w:sz w:val="14"/>
              </w:rPr>
              <w:t>);</w:t>
              <w:br/>
            </w:r>
            <w:r>
              <w:rPr>
                <w:rFonts w:ascii="Liberation Mono" w:hAnsi="Liberation Mono"/>
                <w:sz w:val="14"/>
              </w:rPr>
              <w:br/>
            </w:r>
            <w:r>
              <w:rPr>
                <w:rFonts w:ascii="Liberation Mono" w:hAnsi="Liberation Mono"/>
                <w:sz w:val="14"/>
              </w:rPr>
              <w:t>create table public.market_states (</w:t>
              <w:br/>
            </w:r>
            <w:r>
              <w:rPr>
                <w:rFonts w:ascii="Liberation Mono" w:hAnsi="Liberation Mono"/>
                <w:sz w:val="14"/>
              </w:rPr>
              <w:t xml:space="preserve">  id uuid primary key default gen_random_uuid(),</w:t>
              <w:br/>
            </w:r>
            <w:r>
              <w:rPr>
                <w:rFonts w:ascii="Liberation Mono" w:hAnsi="Liberation Mono"/>
                <w:sz w:val="14"/>
              </w:rPr>
              <w:t xml:space="preserve">  user_id uuid not null references auth.users(id),</w:t>
              <w:br/>
            </w:r>
            <w:r>
              <w:rPr>
                <w:rFonts w:ascii="Liberation Mono" w:hAnsi="Liberation Mono"/>
                <w:sz w:val="14"/>
              </w:rPr>
              <w:t xml:space="preserve">  asset_id uuid not null references public.assets(id),</w:t>
              <w:br/>
            </w:r>
            <w:r>
              <w:rPr>
                <w:rFonts w:ascii="Liberation Mono" w:hAnsi="Liberation Mono"/>
                <w:sz w:val="14"/>
              </w:rPr>
              <w:t xml:space="preserve">  quote_snapshot_id uuid references public.quote_snapshots(id),</w:t>
              <w:br/>
            </w:r>
            <w:r>
              <w:rPr>
                <w:rFonts w:ascii="Liberation Mono" w:hAnsi="Liberation Mono"/>
                <w:sz w:val="14"/>
              </w:rPr>
              <w:t xml:space="preserve">  as_of timestamptz not null,</w:t>
              <w:br/>
            </w:r>
            <w:r>
              <w:rPr>
                <w:rFonts w:ascii="Liberation Mono" w:hAnsi="Liberation Mono"/>
                <w:sz w:val="14"/>
              </w:rPr>
              <w:t xml:space="preserve">  effective_price numeric(18,6) not null,</w:t>
              <w:br/>
            </w:r>
            <w:r>
              <w:rPr>
                <w:rFonts w:ascii="Liberation Mono" w:hAnsi="Liberation Mono"/>
                <w:sz w:val="14"/>
              </w:rPr>
              <w:t xml:space="preserve">  intraday_proxy boolean not null default false,</w:t>
              <w:br/>
            </w:r>
            <w:r>
              <w:rPr>
                <w:rFonts w:ascii="Liberation Mono" w:hAnsi="Liberation Mono"/>
                <w:sz w:val="14"/>
              </w:rPr>
              <w:t xml:space="preserve">  confidence_discount numeric(8,6) not null default 0,</w:t>
              <w:br/>
            </w:r>
            <w:r>
              <w:rPr>
                <w:rFonts w:ascii="Liberation Mono" w:hAnsi="Liberation Mono"/>
                <w:sz w:val="14"/>
              </w:rPr>
              <w:t xml:space="preserve">  feature_schema_version text not null,</w:t>
              <w:br/>
            </w:r>
            <w:r>
              <w:rPr>
                <w:rFonts w:ascii="Liberation Mono" w:hAnsi="Liberation Mono"/>
                <w:sz w:val="14"/>
              </w:rPr>
              <w:t xml:space="preserve">  features_json jsonb not null,</w:t>
              <w:br/>
            </w:r>
            <w:r>
              <w:rPr>
                <w:rFonts w:ascii="Liberation Mono" w:hAnsi="Liberation Mono"/>
                <w:sz w:val="14"/>
              </w:rPr>
              <w:t xml:space="preserve">  features_hash text not null,</w:t>
              <w:br/>
            </w:r>
            <w:r>
              <w:rPr>
                <w:rFonts w:ascii="Liberation Mono" w:hAnsi="Liberation Mono"/>
                <w:sz w:val="14"/>
              </w:rPr>
              <w:t xml:space="preserve">  created_at timestamptz not null default now()</w:t>
              <w:br/>
            </w:r>
            <w:r>
              <w:rPr>
                <w:rFonts w:ascii="Liberation Mono" w:hAnsi="Liberation Mono"/>
                <w:sz w:val="14"/>
              </w:rPr>
              <w:t>);</w:t>
              <w:br/>
            </w:r>
            <w:r>
              <w:rPr>
                <w:rFonts w:ascii="Liberation Mono" w:hAnsi="Liberation Mono"/>
                <w:sz w:val="14"/>
              </w:rPr>
              <w:br/>
            </w:r>
            <w:r>
              <w:rPr>
                <w:rFonts w:ascii="Liberation Mono" w:hAnsi="Liberation Mono"/>
                <w:sz w:val="14"/>
              </w:rPr>
              <w:t>create table public.model_versions (</w:t>
              <w:br/>
            </w:r>
            <w:r>
              <w:rPr>
                <w:rFonts w:ascii="Liberation Mono" w:hAnsi="Liberation Mono"/>
                <w:sz w:val="14"/>
              </w:rPr>
              <w:t xml:space="preserve">  id uuid primary key default gen_random_uuid(),</w:t>
              <w:br/>
            </w:r>
            <w:r>
              <w:rPr>
                <w:rFonts w:ascii="Liberation Mono" w:hAnsi="Liberation Mono"/>
                <w:sz w:val="14"/>
              </w:rPr>
              <w:t xml:space="preserve">  name text not null,</w:t>
              <w:br/>
            </w:r>
            <w:r>
              <w:rPr>
                <w:rFonts w:ascii="Liberation Mono" w:hAnsi="Liberation Mono"/>
                <w:sz w:val="14"/>
              </w:rPr>
              <w:t xml:space="preserve">  version text not null,</w:t>
              <w:br/>
            </w:r>
            <w:r>
              <w:rPr>
                <w:rFonts w:ascii="Liberation Mono" w:hAnsi="Liberation Mono"/>
                <w:sz w:val="14"/>
              </w:rPr>
              <w:t xml:space="preserve">  status public.model_status not null,</w:t>
              <w:br/>
            </w:r>
            <w:r>
              <w:rPr>
                <w:rFonts w:ascii="Liberation Mono" w:hAnsi="Liberation Mono"/>
                <w:sz w:val="14"/>
              </w:rPr>
              <w:t xml:space="preserve">  artifact_uri text,</w:t>
              <w:br/>
            </w:r>
            <w:r>
              <w:rPr>
                <w:rFonts w:ascii="Liberation Mono" w:hAnsi="Liberation Mono"/>
                <w:sz w:val="14"/>
              </w:rPr>
              <w:t xml:space="preserve">  feature_schema_version text not null,</w:t>
              <w:br/>
            </w:r>
            <w:r>
              <w:rPr>
                <w:rFonts w:ascii="Liberation Mono" w:hAnsi="Liberation Mono"/>
                <w:sz w:val="14"/>
              </w:rPr>
              <w:t xml:space="preserve">  training_cutoff date,</w:t>
              <w:br/>
            </w:r>
            <w:r>
              <w:rPr>
                <w:rFonts w:ascii="Liberation Mono" w:hAnsi="Liberation Mono"/>
                <w:sz w:val="14"/>
              </w:rPr>
              <w:t xml:space="preserve">  metrics_json jsonb not null default '{}'::jsonb,</w:t>
              <w:br/>
            </w:r>
            <w:r>
              <w:rPr>
                <w:rFonts w:ascii="Liberation Mono" w:hAnsi="Liberation Mono"/>
                <w:sz w:val="14"/>
              </w:rPr>
              <w:t xml:space="preserve">  commit_sha text,</w:t>
              <w:br/>
            </w:r>
            <w:r>
              <w:rPr>
                <w:rFonts w:ascii="Liberation Mono" w:hAnsi="Liberation Mono"/>
                <w:sz w:val="14"/>
              </w:rPr>
              <w:t xml:space="preserve">  activated_at timestamptz,</w:t>
              <w:br/>
            </w:r>
            <w:r>
              <w:rPr>
                <w:rFonts w:ascii="Liberation Mono" w:hAnsi="Liberation Mono"/>
                <w:sz w:val="14"/>
              </w:rPr>
              <w:t xml:space="preserve">  retired_at timestamptz,</w:t>
              <w:br/>
            </w:r>
            <w:r>
              <w:rPr>
                <w:rFonts w:ascii="Liberation Mono" w:hAnsi="Liberation Mono"/>
                <w:sz w:val="14"/>
              </w:rPr>
              <w:t xml:space="preserve">  created_at timestamptz not null default now(),</w:t>
              <w:br/>
            </w:r>
            <w:r>
              <w:rPr>
                <w:rFonts w:ascii="Liberation Mono" w:hAnsi="Liberation Mono"/>
                <w:sz w:val="14"/>
              </w:rPr>
              <w:t xml:space="preserve">  unique(name, version)</w:t>
              <w:br/>
            </w:r>
            <w:r>
              <w:rPr>
                <w:rFonts w:ascii="Liberation Mono" w:hAnsi="Liberation Mono"/>
                <w:sz w:val="14"/>
              </w:rPr>
              <w:t>);</w:t>
              <w:br/>
            </w:r>
            <w:r>
              <w:rPr>
                <w:rFonts w:ascii="Liberation Mono" w:hAnsi="Liberation Mono"/>
                <w:sz w:val="14"/>
              </w:rPr>
              <w:br/>
            </w:r>
            <w:r>
              <w:rPr>
                <w:rFonts w:ascii="Liberation Mono" w:hAnsi="Liberation Mono"/>
                <w:sz w:val="14"/>
              </w:rPr>
              <w:t>create table public.forecast_runs (</w:t>
              <w:br/>
            </w:r>
            <w:r>
              <w:rPr>
                <w:rFonts w:ascii="Liberation Mono" w:hAnsi="Liberation Mono"/>
                <w:sz w:val="14"/>
              </w:rPr>
              <w:t xml:space="preserve">  id uuid primary key default gen_random_uuid(),</w:t>
              <w:br/>
            </w:r>
            <w:r>
              <w:rPr>
                <w:rFonts w:ascii="Liberation Mono" w:hAnsi="Liberation Mono"/>
                <w:sz w:val="14"/>
              </w:rPr>
              <w:t xml:space="preserve">  user_id uuid not null references auth.users(id),</w:t>
              <w:br/>
            </w:r>
            <w:r>
              <w:rPr>
                <w:rFonts w:ascii="Liberation Mono" w:hAnsi="Liberation Mono"/>
                <w:sz w:val="14"/>
              </w:rPr>
              <w:t xml:space="preserve">  asset_id uuid not null references public.assets(id),</w:t>
              <w:br/>
            </w:r>
            <w:r>
              <w:rPr>
                <w:rFonts w:ascii="Liberation Mono" w:hAnsi="Liberation Mono"/>
                <w:sz w:val="14"/>
              </w:rPr>
              <w:t xml:space="preserve">  quote_snapshot_id uuid not null references public.quote_snapshots(id),</w:t>
              <w:br/>
            </w:r>
            <w:r>
              <w:rPr>
                <w:rFonts w:ascii="Liberation Mono" w:hAnsi="Liberation Mono"/>
                <w:sz w:val="14"/>
              </w:rPr>
              <w:t xml:space="preserve">  market_state_id uuid not null references public.market_states(id),</w:t>
              <w:br/>
            </w:r>
            <w:r>
              <w:rPr>
                <w:rFonts w:ascii="Liberation Mono" w:hAnsi="Liberation Mono"/>
                <w:sz w:val="14"/>
              </w:rPr>
              <w:t xml:space="preserve">  as_of timestamptz not null,</w:t>
              <w:br/>
            </w:r>
            <w:r>
              <w:rPr>
                <w:rFonts w:ascii="Liberation Mono" w:hAnsi="Liberation Mono"/>
                <w:sz w:val="14"/>
              </w:rPr>
              <w:t xml:space="preserve">  request_source text not null,</w:t>
              <w:br/>
            </w:r>
            <w:r>
              <w:rPr>
                <w:rFonts w:ascii="Liberation Mono" w:hAnsi="Liberation Mono"/>
                <w:sz w:val="14"/>
              </w:rPr>
              <w:t xml:space="preserve">  requested_horizon integer,</w:t>
              <w:br/>
            </w:r>
            <w:r>
              <w:rPr>
                <w:rFonts w:ascii="Liberation Mono" w:hAnsi="Liberation Mono"/>
                <w:sz w:val="14"/>
              </w:rPr>
              <w:t xml:space="preserve">  status text not null default 'completed',</w:t>
              <w:br/>
            </w:r>
            <w:r>
              <w:rPr>
                <w:rFonts w:ascii="Liberation Mono" w:hAnsi="Liberation Mono"/>
                <w:sz w:val="14"/>
              </w:rPr>
              <w:t xml:space="preserve">  created_at timestamptz not null default now()</w:t>
              <w:br/>
            </w:r>
            <w:r>
              <w:rPr>
                <w:rFonts w:ascii="Liberation Mono" w:hAnsi="Liberation Mono"/>
                <w:sz w:val="14"/>
              </w:rPr>
              <w:t>);</w:t>
              <w:br/>
            </w:r>
            <w:r>
              <w:rPr>
                <w:rFonts w:ascii="Liberation Mono" w:hAnsi="Liberation Mono"/>
                <w:sz w:val="14"/>
              </w:rPr>
              <w:br/>
            </w:r>
            <w:r>
              <w:rPr>
                <w:rFonts w:ascii="Liberation Mono" w:hAnsi="Liberation Mono"/>
                <w:sz w:val="14"/>
              </w:rPr>
              <w:t>create table public.forecasts (</w:t>
              <w:br/>
            </w:r>
            <w:r>
              <w:rPr>
                <w:rFonts w:ascii="Liberation Mono" w:hAnsi="Liberation Mono"/>
                <w:sz w:val="14"/>
              </w:rPr>
              <w:t xml:space="preserve">  id uuid primary key default gen_random_uuid(),</w:t>
              <w:br/>
            </w:r>
            <w:r>
              <w:rPr>
                <w:rFonts w:ascii="Liberation Mono" w:hAnsi="Liberation Mono"/>
                <w:sz w:val="14"/>
              </w:rPr>
              <w:t xml:space="preserve">  forecast_run_id uuid not null references public.forecast_runs(id),</w:t>
              <w:br/>
            </w:r>
            <w:r>
              <w:rPr>
                <w:rFonts w:ascii="Liberation Mono" w:hAnsi="Liberation Mono"/>
                <w:sz w:val="14"/>
              </w:rPr>
              <w:t xml:space="preserve">  model_version_id uuid not null references public.model_versions(id),</w:t>
              <w:br/>
            </w:r>
            <w:r>
              <w:rPr>
                <w:rFonts w:ascii="Liberation Mono" w:hAnsi="Liberation Mono"/>
                <w:sz w:val="14"/>
              </w:rPr>
              <w:t xml:space="preserve">  target text not null,</w:t>
              <w:br/>
            </w:r>
            <w:r>
              <w:rPr>
                <w:rFonts w:ascii="Liberation Mono" w:hAnsi="Liberation Mono"/>
                <w:sz w:val="14"/>
              </w:rPr>
              <w:t xml:space="preserve">  horizon_trading_days integer not null,</w:t>
              <w:br/>
            </w:r>
            <w:r>
              <w:rPr>
                <w:rFonts w:ascii="Liberation Mono" w:hAnsi="Liberation Mono"/>
                <w:sz w:val="14"/>
              </w:rPr>
              <w:t xml:space="preserve">  benchmark_asset_id uuid references public.assets(id),</w:t>
              <w:br/>
            </w:r>
            <w:r>
              <w:rPr>
                <w:rFonts w:ascii="Liberation Mono" w:hAnsi="Liberation Mono"/>
                <w:sz w:val="14"/>
              </w:rPr>
              <w:t xml:space="preserve">  probability numeric(8,6),</w:t>
              <w:br/>
            </w:r>
            <w:r>
              <w:rPr>
                <w:rFonts w:ascii="Liberation Mono" w:hAnsi="Liberation Mono"/>
                <w:sz w:val="14"/>
              </w:rPr>
              <w:t xml:space="preserve">  q20 numeric(12,8),</w:t>
              <w:br/>
            </w:r>
            <w:r>
              <w:rPr>
                <w:rFonts w:ascii="Liberation Mono" w:hAnsi="Liberation Mono"/>
                <w:sz w:val="14"/>
              </w:rPr>
              <w:t xml:space="preserve">  q50 numeric(12,8),</w:t>
              <w:br/>
            </w:r>
            <w:r>
              <w:rPr>
                <w:rFonts w:ascii="Liberation Mono" w:hAnsi="Liberation Mono"/>
                <w:sz w:val="14"/>
              </w:rPr>
              <w:t xml:space="preserve">  q80 numeric(12,8),</w:t>
              <w:br/>
            </w:r>
            <w:r>
              <w:rPr>
                <w:rFonts w:ascii="Liberation Mono" w:hAnsi="Liberation Mono"/>
                <w:sz w:val="14"/>
              </w:rPr>
              <w:t xml:space="preserve">  expected_mae numeric(12,8),</w:t>
              <w:br/>
            </w:r>
            <w:r>
              <w:rPr>
                <w:rFonts w:ascii="Liberation Mono" w:hAnsi="Liberation Mono"/>
                <w:sz w:val="14"/>
              </w:rPr>
              <w:t xml:space="preserve">  expected_mfe numeric(12,8),</w:t>
              <w:br/>
            </w:r>
            <w:r>
              <w:rPr>
                <w:rFonts w:ascii="Liberation Mono" w:hAnsi="Liberation Mono"/>
                <w:sz w:val="14"/>
              </w:rPr>
              <w:t xml:space="preserve">  confidence_score numeric(8,6) not null,</w:t>
              <w:br/>
            </w:r>
            <w:r>
              <w:rPr>
                <w:rFonts w:ascii="Liberation Mono" w:hAnsi="Liberation Mono"/>
                <w:sz w:val="14"/>
              </w:rPr>
              <w:t xml:space="preserve">  confidence_tier text not null,</w:t>
              <w:br/>
            </w:r>
            <w:r>
              <w:rPr>
                <w:rFonts w:ascii="Liberation Mono" w:hAnsi="Liberation Mono"/>
                <w:sz w:val="14"/>
              </w:rPr>
              <w:t xml:space="preserve">  independent_episode_count integer,</w:t>
              <w:br/>
            </w:r>
            <w:r>
              <w:rPr>
                <w:rFonts w:ascii="Liberation Mono" w:hAnsi="Liberation Mono"/>
                <w:sz w:val="14"/>
              </w:rPr>
              <w:t xml:space="preserve">  no_signal_reason text,</w:t>
              <w:br/>
            </w:r>
            <w:r>
              <w:rPr>
                <w:rFonts w:ascii="Liberation Mono" w:hAnsi="Liberation Mono"/>
                <w:sz w:val="14"/>
              </w:rPr>
              <w:t xml:space="preserve">  created_at timestamptz not null default now()</w:t>
              <w:br/>
            </w:r>
            <w:r>
              <w:rPr>
                <w:rFonts w:ascii="Liberation Mono" w:hAnsi="Liberation Mono"/>
                <w:sz w:val="14"/>
              </w:rPr>
              <w:t>);</w:t>
              <w:br/>
            </w:r>
            <w:r>
              <w:rPr>
                <w:rFonts w:ascii="Liberation Mono" w:hAnsi="Liberation Mono"/>
                <w:sz w:val="14"/>
              </w:rPr>
              <w:br/>
            </w:r>
            <w:r>
              <w:rPr>
                <w:rFonts w:ascii="Liberation Mono" w:hAnsi="Liberation Mono"/>
                <w:sz w:val="14"/>
              </w:rPr>
              <w:t>create table public.user_decisions (</w:t>
              <w:br/>
            </w:r>
            <w:r>
              <w:rPr>
                <w:rFonts w:ascii="Liberation Mono" w:hAnsi="Liberation Mono"/>
                <w:sz w:val="14"/>
              </w:rPr>
              <w:t xml:space="preserve">  id uuid primary key default gen_random_uuid(),</w:t>
              <w:br/>
            </w:r>
            <w:r>
              <w:rPr>
                <w:rFonts w:ascii="Liberation Mono" w:hAnsi="Liberation Mono"/>
                <w:sz w:val="14"/>
              </w:rPr>
              <w:t xml:space="preserve">  user_id uuid not null references auth.users(id),</w:t>
              <w:br/>
            </w:r>
            <w:r>
              <w:rPr>
                <w:rFonts w:ascii="Liberation Mono" w:hAnsi="Liberation Mono"/>
                <w:sz w:val="14"/>
              </w:rPr>
              <w:t xml:space="preserve">  forecast_run_id uuid not null references public.forecast_runs(id),</w:t>
              <w:br/>
            </w:r>
            <w:r>
              <w:rPr>
                <w:rFonts w:ascii="Liberation Mono" w:hAnsi="Liberation Mono"/>
                <w:sz w:val="14"/>
              </w:rPr>
              <w:t xml:space="preserve">  action public.decision_action not null,</w:t>
              <w:br/>
            </w:r>
            <w:r>
              <w:rPr>
                <w:rFonts w:ascii="Liberation Mono" w:hAnsi="Liberation Mono"/>
                <w:sz w:val="14"/>
              </w:rPr>
              <w:t xml:space="preserve">  decision_at timestamptz not null default now(),</w:t>
              <w:br/>
            </w:r>
            <w:r>
              <w:rPr>
                <w:rFonts w:ascii="Liberation Mono" w:hAnsi="Liberation Mono"/>
                <w:sz w:val="14"/>
              </w:rPr>
              <w:t xml:space="preserve">  decision_price numeric(18,6),</w:t>
              <w:br/>
            </w:r>
            <w:r>
              <w:rPr>
                <w:rFonts w:ascii="Liberation Mono" w:hAnsi="Liberation Mono"/>
                <w:sz w:val="14"/>
              </w:rPr>
              <w:t xml:space="preserve">  notional_amount numeric(18,2),</w:t>
              <w:br/>
            </w:r>
            <w:r>
              <w:rPr>
                <w:rFonts w:ascii="Liberation Mono" w:hAnsi="Liberation Mono"/>
                <w:sz w:val="14"/>
              </w:rPr>
              <w:t xml:space="preserve">  portfolio_weight numeric(9,6),</w:t>
              <w:br/>
            </w:r>
            <w:r>
              <w:rPr>
                <w:rFonts w:ascii="Liberation Mono" w:hAnsi="Liberation Mono"/>
                <w:sz w:val="14"/>
              </w:rPr>
              <w:t xml:space="preserve">  confidence integer check (confidence between 0 and 100),</w:t>
              <w:br/>
            </w:r>
            <w:r>
              <w:rPr>
                <w:rFonts w:ascii="Liberation Mono" w:hAnsi="Liberation Mono"/>
                <w:sz w:val="14"/>
              </w:rPr>
              <w:t xml:space="preserve">  intended_horizon_days integer,</w:t>
              <w:br/>
            </w:r>
            <w:r>
              <w:rPr>
                <w:rFonts w:ascii="Liberation Mono" w:hAnsi="Liberation Mono"/>
                <w:sz w:val="14"/>
              </w:rPr>
              <w:t xml:space="preserve">  thesis text,</w:t>
              <w:br/>
            </w:r>
            <w:r>
              <w:rPr>
                <w:rFonts w:ascii="Liberation Mono" w:hAnsi="Liberation Mono"/>
                <w:sz w:val="14"/>
              </w:rPr>
              <w:t xml:space="preserve">  invalidation text,</w:t>
              <w:br/>
            </w:r>
            <w:r>
              <w:rPr>
                <w:rFonts w:ascii="Liberation Mono" w:hAnsi="Liberation Mono"/>
                <w:sz w:val="14"/>
              </w:rPr>
              <w:t xml:space="preserve">  agreement_reason text,</w:t>
              <w:br/>
            </w:r>
            <w:r>
              <w:rPr>
                <w:rFonts w:ascii="Liberation Mono" w:hAnsi="Liberation Mono"/>
                <w:sz w:val="14"/>
              </w:rPr>
              <w:t xml:space="preserve">  outside_information boolean not null default false,</w:t>
              <w:br/>
            </w:r>
            <w:r>
              <w:rPr>
                <w:rFonts w:ascii="Liberation Mono" w:hAnsi="Liberation Mono"/>
                <w:sz w:val="14"/>
              </w:rPr>
              <w:t xml:space="preserve">  created_at timestamptz not null default now()</w:t>
              <w:br/>
            </w:r>
            <w:r>
              <w:rPr>
                <w:rFonts w:ascii="Liberation Mono" w:hAnsi="Liberation Mono"/>
                <w:sz w:val="14"/>
              </w:rPr>
              <w:t>);</w:t>
              <w:br/>
            </w:r>
            <w:r>
              <w:rPr>
                <w:rFonts w:ascii="Liberation Mono" w:hAnsi="Liberation Mono"/>
                <w:sz w:val="14"/>
              </w:rPr>
              <w:br/>
            </w:r>
            <w:r>
              <w:rPr>
                <w:rFonts w:ascii="Liberation Mono" w:hAnsi="Liberation Mono"/>
                <w:sz w:val="14"/>
              </w:rPr>
              <w:t>alter table public.quote_snapshots enable row level security;</w:t>
              <w:br/>
            </w:r>
            <w:r>
              <w:rPr>
                <w:rFonts w:ascii="Liberation Mono" w:hAnsi="Liberation Mono"/>
                <w:sz w:val="14"/>
              </w:rPr>
              <w:t>alter table public.market_states enable row level security;</w:t>
              <w:br/>
            </w:r>
            <w:r>
              <w:rPr>
                <w:rFonts w:ascii="Liberation Mono" w:hAnsi="Liberation Mono"/>
                <w:sz w:val="14"/>
              </w:rPr>
              <w:t>alter table public.forecast_runs enable row level security;</w:t>
              <w:br/>
            </w:r>
            <w:r>
              <w:rPr>
                <w:rFonts w:ascii="Liberation Mono" w:hAnsi="Liberation Mono"/>
                <w:sz w:val="14"/>
              </w:rPr>
              <w:t>alter table public.forecasts enable row level security;</w:t>
              <w:br/>
            </w:r>
            <w:r>
              <w:rPr>
                <w:rFonts w:ascii="Liberation Mono" w:hAnsi="Liberation Mono"/>
                <w:sz w:val="14"/>
              </w:rPr>
              <w:t>alter table public.user_decisions enable row level security;</w:t>
              <w:br/>
            </w:r>
            <w:r>
              <w:rPr>
                <w:rFonts w:ascii="Liberation Mono" w:hAnsi="Liberation Mono"/>
                <w:sz w:val="14"/>
              </w:rPr>
              <w:br/>
            </w:r>
            <w:r>
              <w:rPr>
                <w:rFonts w:ascii="Liberation Mono" w:hAnsi="Liberation Mono"/>
                <w:sz w:val="14"/>
              </w:rPr>
              <w:t>create policy "own quote snapshots"</w:t>
              <w:br/>
            </w:r>
            <w:r>
              <w:rPr>
                <w:rFonts w:ascii="Liberation Mono" w:hAnsi="Liberation Mono"/>
                <w:sz w:val="14"/>
              </w:rPr>
              <w:t xml:space="preserve">  on public.quote_snapshots for all</w:t>
              <w:br/>
            </w:r>
            <w:r>
              <w:rPr>
                <w:rFonts w:ascii="Liberation Mono" w:hAnsi="Liberation Mono"/>
                <w:sz w:val="14"/>
              </w:rPr>
              <w:t xml:space="preserve">  using (auth.uid() = user_id)</w:t>
              <w:br/>
            </w:r>
            <w:r>
              <w:rPr>
                <w:rFonts w:ascii="Liberation Mono" w:hAnsi="Liberation Mono"/>
                <w:sz w:val="14"/>
              </w:rPr>
              <w:t xml:space="preserve">  with check (auth.uid() = user_id);</w:t>
              <w:br/>
            </w:r>
            <w:r>
              <w:rPr>
                <w:rFonts w:ascii="Liberation Mono" w:hAnsi="Liberation Mono"/>
                <w:sz w:val="14"/>
              </w:rPr>
              <w:br/>
            </w:r>
            <w:r>
              <w:rPr>
                <w:rFonts w:ascii="Liberation Mono" w:hAnsi="Liberation Mono"/>
                <w:sz w:val="14"/>
              </w:rPr>
              <w:t>create policy "own market states"</w:t>
              <w:br/>
            </w:r>
            <w:r>
              <w:rPr>
                <w:rFonts w:ascii="Liberation Mono" w:hAnsi="Liberation Mono"/>
                <w:sz w:val="14"/>
              </w:rPr>
              <w:t xml:space="preserve">  on public.market_states for all</w:t>
              <w:br/>
            </w:r>
            <w:r>
              <w:rPr>
                <w:rFonts w:ascii="Liberation Mono" w:hAnsi="Liberation Mono"/>
                <w:sz w:val="14"/>
              </w:rPr>
              <w:t xml:space="preserve">  using (auth.uid() = user_id)</w:t>
              <w:br/>
            </w:r>
            <w:r>
              <w:rPr>
                <w:rFonts w:ascii="Liberation Mono" w:hAnsi="Liberation Mono"/>
                <w:sz w:val="14"/>
              </w:rPr>
              <w:t xml:space="preserve">  with check (auth.uid() = user_id);</w:t>
              <w:br/>
            </w:r>
            <w:r>
              <w:rPr>
                <w:rFonts w:ascii="Liberation Mono" w:hAnsi="Liberation Mono"/>
                <w:sz w:val="14"/>
              </w:rPr>
              <w:br/>
            </w:r>
            <w:r>
              <w:rPr>
                <w:rFonts w:ascii="Liberation Mono" w:hAnsi="Liberation Mono"/>
                <w:sz w:val="14"/>
              </w:rPr>
              <w:t>create policy "own forecast runs"</w:t>
              <w:br/>
            </w:r>
            <w:r>
              <w:rPr>
                <w:rFonts w:ascii="Liberation Mono" w:hAnsi="Liberation Mono"/>
                <w:sz w:val="14"/>
              </w:rPr>
              <w:t xml:space="preserve">  on public.forecast_runs for all</w:t>
              <w:br/>
            </w:r>
            <w:r>
              <w:rPr>
                <w:rFonts w:ascii="Liberation Mono" w:hAnsi="Liberation Mono"/>
                <w:sz w:val="14"/>
              </w:rPr>
              <w:t xml:space="preserve">  using (auth.uid() = user_id)</w:t>
              <w:br/>
            </w:r>
            <w:r>
              <w:rPr>
                <w:rFonts w:ascii="Liberation Mono" w:hAnsi="Liberation Mono"/>
                <w:sz w:val="14"/>
              </w:rPr>
              <w:t xml:space="preserve">  with check (auth.uid() = user_id);</w:t>
              <w:br/>
            </w:r>
            <w:r>
              <w:rPr>
                <w:rFonts w:ascii="Liberation Mono" w:hAnsi="Liberation Mono"/>
                <w:sz w:val="14"/>
              </w:rPr>
              <w:br/>
            </w:r>
            <w:r>
              <w:rPr>
                <w:rFonts w:ascii="Liberation Mono" w:hAnsi="Liberation Mono"/>
                <w:sz w:val="14"/>
              </w:rPr>
              <w:t>create policy "read forecasts through owned run"</w:t>
              <w:br/>
            </w:r>
            <w:r>
              <w:rPr>
                <w:rFonts w:ascii="Liberation Mono" w:hAnsi="Liberation Mono"/>
                <w:sz w:val="14"/>
              </w:rPr>
              <w:t xml:space="preserve">  on public.forecasts for select</w:t>
              <w:br/>
            </w:r>
            <w:r>
              <w:rPr>
                <w:rFonts w:ascii="Liberation Mono" w:hAnsi="Liberation Mono"/>
                <w:sz w:val="14"/>
              </w:rPr>
              <w:t xml:space="preserve">  using (exists (</w:t>
              <w:br/>
            </w:r>
            <w:r>
              <w:rPr>
                <w:rFonts w:ascii="Liberation Mono" w:hAnsi="Liberation Mono"/>
                <w:sz w:val="14"/>
              </w:rPr>
              <w:t xml:space="preserve">    select 1 from public.forecast_runs fr</w:t>
              <w:br/>
            </w:r>
            <w:r>
              <w:rPr>
                <w:rFonts w:ascii="Liberation Mono" w:hAnsi="Liberation Mono"/>
                <w:sz w:val="14"/>
              </w:rPr>
              <w:t xml:space="preserve">    where fr.id = forecasts.forecast_run_id</w:t>
              <w:br/>
            </w:r>
            <w:r>
              <w:rPr>
                <w:rFonts w:ascii="Liberation Mono" w:hAnsi="Liberation Mono"/>
                <w:sz w:val="14"/>
              </w:rPr>
              <w:t xml:space="preserve">      and fr.user_id = auth.uid()</w:t>
              <w:br/>
            </w:r>
            <w:r>
              <w:rPr>
                <w:rFonts w:ascii="Liberation Mono" w:hAnsi="Liberation Mono"/>
                <w:sz w:val="14"/>
              </w:rPr>
              <w:t xml:space="preserve">  ));</w:t>
              <w:br/>
            </w:r>
            <w:r>
              <w:rPr>
                <w:rFonts w:ascii="Liberation Mono" w:hAnsi="Liberation Mono"/>
                <w:sz w:val="14"/>
              </w:rPr>
              <w:br/>
            </w:r>
            <w:r>
              <w:rPr>
                <w:rFonts w:ascii="Liberation Mono" w:hAnsi="Liberation Mono"/>
                <w:sz w:val="14"/>
              </w:rPr>
              <w:t>create policy "own user decisions"</w:t>
              <w:br/>
            </w:r>
            <w:r>
              <w:rPr>
                <w:rFonts w:ascii="Liberation Mono" w:hAnsi="Liberation Mono"/>
                <w:sz w:val="14"/>
              </w:rPr>
              <w:t xml:space="preserve">  on public.user_decisions for all</w:t>
              <w:br/>
            </w:r>
            <w:r>
              <w:rPr>
                <w:rFonts w:ascii="Liberation Mono" w:hAnsi="Liberation Mono"/>
                <w:sz w:val="14"/>
              </w:rPr>
              <w:t xml:space="preserve">  using (auth.uid() = user_id)</w:t>
              <w:br/>
            </w:r>
            <w:r>
              <w:rPr>
                <w:rFonts w:ascii="Liberation Mono" w:hAnsi="Liberation Mono"/>
                <w:sz w:val="14"/>
              </w:rPr>
              <w:t xml:space="preserve">  with check (auth.uid() = user_id);</w:t>
            </w:r>
          </w:p>
        </w:tc>
      </w:tr>
    </w:tbl>
    <w:p>
      <w:pPr>
        <w:spacing w:after="0"/>
      </w:pPr>
    </w:p>
    <w:p>
      <w:pPr>
        <w:pStyle w:val="Heading2"/>
      </w:pPr>
      <w:r>
        <w:t>12.2 Vector Search</w:t>
      </w:r>
    </w:p>
    <w:p>
      <w:r>
        <w:rPr>
          <w:i w:val="0"/>
        </w:rPr>
        <w:t>Use pgvector for embeddings of news documents, structured events, user theses, model postmortems, and explanatory market-state summaries. Keep quantitative market-state features in ordinary numeric/JSON columns for deterministic similarity and SQL analytics. Add HNSW indexing only after the volume justifies it.</w:t>
      </w:r>
    </w:p>
    <w:p>
      <w:pPr>
        <w:pStyle w:val="Heading2"/>
      </w:pPr>
      <w:r>
        <w:t>12.3 Security</w:t>
      </w:r>
    </w:p>
    <w:p>
      <w:pPr>
        <w:pStyle w:val="ListBullet"/>
      </w:pPr>
      <w:r>
        <w:t>Use Supabase Auth even for a single-user deployment.</w:t>
      </w:r>
    </w:p>
    <w:p>
      <w:pPr>
        <w:pStyle w:val="ListBullet"/>
      </w:pPr>
      <w:r>
        <w:t>Enable RLS on every private table; shared market tables can be read-only to authenticated users.</w:t>
      </w:r>
    </w:p>
    <w:p>
      <w:pPr>
        <w:pStyle w:val="ListBullet"/>
      </w:pPr>
      <w:r>
        <w:t>Never expose SUPABASE_SERVICE_ROLE_KEY to the browser.</w:t>
      </w:r>
    </w:p>
    <w:p>
      <w:pPr>
        <w:pStyle w:val="ListBullet"/>
      </w:pPr>
      <w:r>
        <w:t>Quant jobs and migrations may use the service role only in secured server environments or GitHub encrypted secrets.</w:t>
      </w:r>
    </w:p>
    <w:p>
      <w:pPr>
        <w:pStyle w:val="ListBullet"/>
      </w:pPr>
      <w:r>
        <w:t>Validate JWTs for user-invoked Edge Functions and API routes.</w:t>
      </w:r>
    </w:p>
    <w:p>
      <w:pPr>
        <w:pStyle w:val="ListBullet"/>
      </w:pPr>
      <w:r>
        <w:t>Store third-party API keys in deployment secrets; use Supabase Vault only where database-initiated jobs need access.</w:t>
      </w:r>
    </w:p>
    <w:p>
      <w:pPr>
        <w:pStyle w:val="ListBullet"/>
      </w:pPr>
      <w:r>
        <w:t>Log administrative model promotions and data corrections.</w:t>
      </w:r>
    </w:p>
    <w:p>
      <w:r>
        <w:br w:type="page"/>
      </w:r>
    </w:p>
    <w:p>
      <w:pPr>
        <w:pStyle w:val="Heading1"/>
      </w:pPr>
      <w:r>
        <w:t>13. Application and Quant APIs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448"/>
            <w:shd w:fill="1F4E78"/>
          </w:tcPr>
          <w:p>
            <w:r>
              <w:rPr>
                <w:b/>
                <w:color w:val="FFFFFF"/>
                <w:sz w:val="16"/>
              </w:rPr>
              <w:t>Endpoint</w:t>
            </w:r>
          </w:p>
        </w:tc>
        <w:tc>
          <w:tcPr>
            <w:tcW w:type="dxa" w:w="3456"/>
            <w:shd w:fill="1F4E78"/>
          </w:tcPr>
          <w:p>
            <w:r>
              <w:rPr>
                <w:b/>
                <w:color w:val="FFFFFF"/>
                <w:sz w:val="16"/>
              </w:rPr>
              <w:t>Purpose</w:t>
            </w:r>
          </w:p>
        </w:tc>
        <w:tc>
          <w:tcPr>
            <w:tcW w:type="dxa" w:w="2088"/>
            <w:shd w:fill="1F4E78"/>
          </w:tcPr>
          <w:p>
            <w:r>
              <w:rPr>
                <w:b/>
                <w:color w:val="FFFFFF"/>
                <w:sz w:val="16"/>
              </w:rPr>
              <w:t>Input</w:t>
            </w:r>
          </w:p>
        </w:tc>
        <w:tc>
          <w:tcPr>
            <w:tcW w:type="dxa" w:w="2016"/>
            <w:shd w:fill="1F4E78"/>
          </w:tcPr>
          <w:p>
            <w:r>
              <w:rPr>
                <w:b/>
                <w:color w:val="FFFFFF"/>
                <w:sz w:val="16"/>
              </w:rPr>
              <w:t>Output</w:t>
            </w:r>
          </w:p>
        </w:tc>
      </w:tr>
      <w:tr>
        <w:tc>
          <w:tcPr>
            <w:tcW w:type="dxa" w:w="2448"/>
            <w:vAlign w:val="top"/>
            <w:tcMar>
              <w:top w:w="60" w:type="dxa"/>
              <w:start w:w="70" w:type="dxa"/>
              <w:bottom w:w="60" w:type="dxa"/>
              <w:end w:w="70" w:type="dxa"/>
            </w:tcMar>
          </w:tcPr>
          <w:p>
            <w:r>
              <w:rPr>
                <w:sz w:val="15"/>
              </w:rPr>
              <w:t>POST /api/quotes/resolve</w:t>
            </w:r>
          </w:p>
        </w:tc>
        <w:tc>
          <w:tcPr>
            <w:tcW w:type="dxa" w:w="3456"/>
            <w:vAlign w:val="top"/>
            <w:tcMar>
              <w:top w:w="60" w:type="dxa"/>
              <w:start w:w="70" w:type="dxa"/>
              <w:bottom w:w="60" w:type="dxa"/>
              <w:end w:w="70" w:type="dxa"/>
            </w:tcMar>
          </w:tcPr>
          <w:p>
            <w:r>
              <w:rPr>
                <w:sz w:val="15"/>
              </w:rPr>
              <w:t>Fetch quote and accept optional manual override</w:t>
            </w:r>
          </w:p>
        </w:tc>
        <w:tc>
          <w:tcPr>
            <w:tcW w:type="dxa" w:w="2088"/>
            <w:vAlign w:val="top"/>
            <w:tcMar>
              <w:top w:w="60" w:type="dxa"/>
              <w:start w:w="70" w:type="dxa"/>
              <w:bottom w:w="60" w:type="dxa"/>
              <w:end w:w="70" w:type="dxa"/>
            </w:tcMar>
          </w:tcPr>
          <w:p>
            <w:r>
              <w:rPr>
                <w:sz w:val="15"/>
              </w:rPr>
              <w:t>{symbol, manualPrice?}</w:t>
            </w:r>
          </w:p>
        </w:tc>
        <w:tc>
          <w:tcPr>
            <w:tcW w:type="dxa" w:w="2016"/>
            <w:vAlign w:val="top"/>
            <w:tcMar>
              <w:top w:w="60" w:type="dxa"/>
              <w:start w:w="70" w:type="dxa"/>
              <w:bottom w:w="60" w:type="dxa"/>
              <w:end w:w="70" w:type="dxa"/>
            </w:tcMar>
          </w:tcPr>
          <w:p>
            <w:r>
              <w:rPr>
                <w:sz w:val="15"/>
              </w:rPr>
              <w:t>Quote snapshot</w:t>
            </w:r>
          </w:p>
        </w:tc>
      </w:tr>
      <w:tr>
        <w:tc>
          <w:tcPr>
            <w:tcW w:type="dxa" w:w="2448"/>
            <w:vAlign w:val="top"/>
            <w:tcMar>
              <w:top w:w="60" w:type="dxa"/>
              <w:start w:w="70" w:type="dxa"/>
              <w:bottom w:w="60" w:type="dxa"/>
              <w:end w:w="70" w:type="dxa"/>
            </w:tcMar>
          </w:tcPr>
          <w:p>
            <w:r>
              <w:rPr>
                <w:sz w:val="15"/>
              </w:rPr>
              <w:t>POST /api/analysis</w:t>
            </w:r>
          </w:p>
        </w:tc>
        <w:tc>
          <w:tcPr>
            <w:tcW w:type="dxa" w:w="3456"/>
            <w:vAlign w:val="top"/>
            <w:tcMar>
              <w:top w:w="60" w:type="dxa"/>
              <w:start w:w="70" w:type="dxa"/>
              <w:bottom w:w="60" w:type="dxa"/>
              <w:end w:w="70" w:type="dxa"/>
            </w:tcMar>
          </w:tcPr>
          <w:p>
            <w:r>
              <w:rPr>
                <w:sz w:val="15"/>
              </w:rPr>
              <w:t>Create an on-demand forecast run</w:t>
            </w:r>
          </w:p>
        </w:tc>
        <w:tc>
          <w:tcPr>
            <w:tcW w:type="dxa" w:w="2088"/>
            <w:vAlign w:val="top"/>
            <w:tcMar>
              <w:top w:w="60" w:type="dxa"/>
              <w:start w:w="70" w:type="dxa"/>
              <w:bottom w:w="60" w:type="dxa"/>
              <w:end w:w="70" w:type="dxa"/>
            </w:tcMar>
          </w:tcPr>
          <w:p>
            <w:r>
              <w:rPr>
                <w:sz w:val="15"/>
              </w:rPr>
              <w:t>{symbol, quoteSnapshotId, horizon, benchmark}</w:t>
            </w:r>
          </w:p>
        </w:tc>
        <w:tc>
          <w:tcPr>
            <w:tcW w:type="dxa" w:w="2016"/>
            <w:vAlign w:val="top"/>
            <w:tcMar>
              <w:top w:w="60" w:type="dxa"/>
              <w:start w:w="70" w:type="dxa"/>
              <w:bottom w:w="60" w:type="dxa"/>
              <w:end w:w="70" w:type="dxa"/>
            </w:tcMar>
          </w:tcPr>
          <w:p>
            <w:r>
              <w:rPr>
                <w:sz w:val="15"/>
              </w:rPr>
              <w:t>Forecast card + evidence</w:t>
            </w:r>
          </w:p>
        </w:tc>
      </w:tr>
      <w:tr>
        <w:tc>
          <w:tcPr>
            <w:tcW w:type="dxa" w:w="2448"/>
            <w:vAlign w:val="top"/>
            <w:tcMar>
              <w:top w:w="60" w:type="dxa"/>
              <w:start w:w="70" w:type="dxa"/>
              <w:bottom w:w="60" w:type="dxa"/>
              <w:end w:w="70" w:type="dxa"/>
            </w:tcMar>
          </w:tcPr>
          <w:p>
            <w:r>
              <w:rPr>
                <w:sz w:val="15"/>
              </w:rPr>
              <w:t>GET /api/opportunities</w:t>
            </w:r>
          </w:p>
        </w:tc>
        <w:tc>
          <w:tcPr>
            <w:tcW w:type="dxa" w:w="3456"/>
            <w:vAlign w:val="top"/>
            <w:tcMar>
              <w:top w:w="60" w:type="dxa"/>
              <w:start w:w="70" w:type="dxa"/>
              <w:bottom w:w="60" w:type="dxa"/>
              <w:end w:w="70" w:type="dxa"/>
            </w:tcMar>
          </w:tcPr>
          <w:p>
            <w:r>
              <w:rPr>
                <w:sz w:val="15"/>
              </w:rPr>
              <w:t>Retrieve ranked daily opportunities</w:t>
            </w:r>
          </w:p>
        </w:tc>
        <w:tc>
          <w:tcPr>
            <w:tcW w:type="dxa" w:w="2088"/>
            <w:vAlign w:val="top"/>
            <w:tcMar>
              <w:top w:w="60" w:type="dxa"/>
              <w:start w:w="70" w:type="dxa"/>
              <w:bottom w:w="60" w:type="dxa"/>
              <w:end w:w="70" w:type="dxa"/>
            </w:tcMar>
          </w:tcPr>
          <w:p>
            <w:r>
              <w:rPr>
                <w:sz w:val="15"/>
              </w:rPr>
              <w:t>?date=</w:t>
            </w:r>
          </w:p>
        </w:tc>
        <w:tc>
          <w:tcPr>
            <w:tcW w:type="dxa" w:w="2016"/>
            <w:vAlign w:val="top"/>
            <w:tcMar>
              <w:top w:w="60" w:type="dxa"/>
              <w:start w:w="70" w:type="dxa"/>
              <w:bottom w:w="60" w:type="dxa"/>
              <w:end w:w="70" w:type="dxa"/>
            </w:tcMar>
          </w:tcPr>
          <w:p>
            <w:r>
              <w:rPr>
                <w:sz w:val="15"/>
              </w:rPr>
              <w:t>Opportunity cards</w:t>
            </w:r>
          </w:p>
        </w:tc>
      </w:tr>
      <w:tr>
        <w:tc>
          <w:tcPr>
            <w:tcW w:type="dxa" w:w="2448"/>
            <w:vAlign w:val="top"/>
            <w:tcMar>
              <w:top w:w="60" w:type="dxa"/>
              <w:start w:w="70" w:type="dxa"/>
              <w:bottom w:w="60" w:type="dxa"/>
              <w:end w:w="70" w:type="dxa"/>
            </w:tcMar>
          </w:tcPr>
          <w:p>
            <w:r>
              <w:rPr>
                <w:sz w:val="15"/>
              </w:rPr>
              <w:t>POST /api/decisions</w:t>
            </w:r>
          </w:p>
        </w:tc>
        <w:tc>
          <w:tcPr>
            <w:tcW w:type="dxa" w:w="3456"/>
            <w:vAlign w:val="top"/>
            <w:tcMar>
              <w:top w:w="60" w:type="dxa"/>
              <w:start w:w="70" w:type="dxa"/>
              <w:bottom w:w="60" w:type="dxa"/>
              <w:end w:w="70" w:type="dxa"/>
            </w:tcMar>
          </w:tcPr>
          <w:p>
            <w:r>
              <w:rPr>
                <w:sz w:val="15"/>
              </w:rPr>
              <w:t>Log user action</w:t>
            </w:r>
          </w:p>
        </w:tc>
        <w:tc>
          <w:tcPr>
            <w:tcW w:type="dxa" w:w="2088"/>
            <w:vAlign w:val="top"/>
            <w:tcMar>
              <w:top w:w="60" w:type="dxa"/>
              <w:start w:w="70" w:type="dxa"/>
              <w:bottom w:w="60" w:type="dxa"/>
              <w:end w:w="70" w:type="dxa"/>
            </w:tcMar>
          </w:tcPr>
          <w:p>
            <w:r>
              <w:rPr>
                <w:sz w:val="15"/>
              </w:rPr>
              <w:t>Decision form</w:t>
            </w:r>
          </w:p>
        </w:tc>
        <w:tc>
          <w:tcPr>
            <w:tcW w:type="dxa" w:w="2016"/>
            <w:vAlign w:val="top"/>
            <w:tcMar>
              <w:top w:w="60" w:type="dxa"/>
              <w:start w:w="70" w:type="dxa"/>
              <w:bottom w:w="60" w:type="dxa"/>
              <w:end w:w="70" w:type="dxa"/>
            </w:tcMar>
          </w:tcPr>
          <w:p>
            <w:r>
              <w:rPr>
                <w:sz w:val="15"/>
              </w:rPr>
              <w:t>Immutable decision</w:t>
            </w:r>
          </w:p>
        </w:tc>
      </w:tr>
      <w:tr>
        <w:tc>
          <w:tcPr>
            <w:tcW w:type="dxa" w:w="2448"/>
            <w:vAlign w:val="top"/>
            <w:tcMar>
              <w:top w:w="60" w:type="dxa"/>
              <w:start w:w="70" w:type="dxa"/>
              <w:bottom w:w="60" w:type="dxa"/>
              <w:end w:w="70" w:type="dxa"/>
            </w:tcMar>
          </w:tcPr>
          <w:p>
            <w:r>
              <w:rPr>
                <w:sz w:val="15"/>
              </w:rPr>
              <w:t>POST /api/executions</w:t>
            </w:r>
          </w:p>
        </w:tc>
        <w:tc>
          <w:tcPr>
            <w:tcW w:type="dxa" w:w="3456"/>
            <w:vAlign w:val="top"/>
            <w:tcMar>
              <w:top w:w="60" w:type="dxa"/>
              <w:start w:w="70" w:type="dxa"/>
              <w:bottom w:w="60" w:type="dxa"/>
              <w:end w:w="70" w:type="dxa"/>
            </w:tcMar>
          </w:tcPr>
          <w:p>
            <w:r>
              <w:rPr>
                <w:sz w:val="15"/>
              </w:rPr>
              <w:t>Record actual trade fill</w:t>
            </w:r>
          </w:p>
        </w:tc>
        <w:tc>
          <w:tcPr>
            <w:tcW w:type="dxa" w:w="2088"/>
            <w:vAlign w:val="top"/>
            <w:tcMar>
              <w:top w:w="60" w:type="dxa"/>
              <w:start w:w="70" w:type="dxa"/>
              <w:bottom w:w="60" w:type="dxa"/>
              <w:end w:w="70" w:type="dxa"/>
            </w:tcMar>
          </w:tcPr>
          <w:p>
            <w:r>
              <w:rPr>
                <w:sz w:val="15"/>
              </w:rPr>
              <w:t>Execution details</w:t>
            </w:r>
          </w:p>
        </w:tc>
        <w:tc>
          <w:tcPr>
            <w:tcW w:type="dxa" w:w="2016"/>
            <w:vAlign w:val="top"/>
            <w:tcMar>
              <w:top w:w="60" w:type="dxa"/>
              <w:start w:w="70" w:type="dxa"/>
              <w:bottom w:w="60" w:type="dxa"/>
              <w:end w:w="70" w:type="dxa"/>
            </w:tcMar>
          </w:tcPr>
          <w:p>
            <w:r>
              <w:rPr>
                <w:sz w:val="15"/>
              </w:rPr>
              <w:t>Execution record</w:t>
            </w:r>
          </w:p>
        </w:tc>
      </w:tr>
      <w:tr>
        <w:tc>
          <w:tcPr>
            <w:tcW w:type="dxa" w:w="2448"/>
            <w:vAlign w:val="top"/>
            <w:tcMar>
              <w:top w:w="60" w:type="dxa"/>
              <w:start w:w="70" w:type="dxa"/>
              <w:bottom w:w="60" w:type="dxa"/>
              <w:end w:w="70" w:type="dxa"/>
            </w:tcMar>
          </w:tcPr>
          <w:p>
            <w:r>
              <w:rPr>
                <w:sz w:val="15"/>
              </w:rPr>
              <w:t>GET /api/forecasts/:id</w:t>
            </w:r>
          </w:p>
        </w:tc>
        <w:tc>
          <w:tcPr>
            <w:tcW w:type="dxa" w:w="3456"/>
            <w:vAlign w:val="top"/>
            <w:tcMar>
              <w:top w:w="60" w:type="dxa"/>
              <w:start w:w="70" w:type="dxa"/>
              <w:bottom w:w="60" w:type="dxa"/>
              <w:end w:w="70" w:type="dxa"/>
            </w:tcMar>
          </w:tcPr>
          <w:p>
            <w:r>
              <w:rPr>
                <w:sz w:val="15"/>
              </w:rPr>
              <w:t>Forecast detail and analogs</w:t>
            </w:r>
          </w:p>
        </w:tc>
        <w:tc>
          <w:tcPr>
            <w:tcW w:type="dxa" w:w="2088"/>
            <w:vAlign w:val="top"/>
            <w:tcMar>
              <w:top w:w="60" w:type="dxa"/>
              <w:start w:w="70" w:type="dxa"/>
              <w:bottom w:w="60" w:type="dxa"/>
              <w:end w:w="70" w:type="dxa"/>
            </w:tcMar>
          </w:tcPr>
          <w:p>
            <w:r>
              <w:rPr>
                <w:sz w:val="15"/>
              </w:rPr>
              <w:t>Forecast ID</w:t>
            </w:r>
          </w:p>
        </w:tc>
        <w:tc>
          <w:tcPr>
            <w:tcW w:type="dxa" w:w="2016"/>
            <w:vAlign w:val="top"/>
            <w:tcMar>
              <w:top w:w="60" w:type="dxa"/>
              <w:start w:w="70" w:type="dxa"/>
              <w:bottom w:w="60" w:type="dxa"/>
              <w:end w:w="70" w:type="dxa"/>
            </w:tcMar>
          </w:tcPr>
          <w:p>
            <w:r>
              <w:rPr>
                <w:sz w:val="15"/>
              </w:rPr>
              <w:t>Full forecast</w:t>
            </w:r>
          </w:p>
        </w:tc>
      </w:tr>
      <w:tr>
        <w:tc>
          <w:tcPr>
            <w:tcW w:type="dxa" w:w="2448"/>
            <w:vAlign w:val="top"/>
            <w:tcMar>
              <w:top w:w="60" w:type="dxa"/>
              <w:start w:w="70" w:type="dxa"/>
              <w:bottom w:w="60" w:type="dxa"/>
              <w:end w:w="70" w:type="dxa"/>
            </w:tcMar>
          </w:tcPr>
          <w:p>
            <w:r>
              <w:rPr>
                <w:sz w:val="15"/>
              </w:rPr>
              <w:t>GET /api/scorecards/model</w:t>
            </w:r>
          </w:p>
        </w:tc>
        <w:tc>
          <w:tcPr>
            <w:tcW w:type="dxa" w:w="3456"/>
            <w:vAlign w:val="top"/>
            <w:tcMar>
              <w:top w:w="60" w:type="dxa"/>
              <w:start w:w="70" w:type="dxa"/>
              <w:bottom w:w="60" w:type="dxa"/>
              <w:end w:w="70" w:type="dxa"/>
            </w:tcMar>
          </w:tcPr>
          <w:p>
            <w:r>
              <w:rPr>
                <w:sz w:val="15"/>
              </w:rPr>
              <w:t>Model evaluation</w:t>
            </w:r>
          </w:p>
        </w:tc>
        <w:tc>
          <w:tcPr>
            <w:tcW w:type="dxa" w:w="2088"/>
            <w:vAlign w:val="top"/>
            <w:tcMar>
              <w:top w:w="60" w:type="dxa"/>
              <w:start w:w="70" w:type="dxa"/>
              <w:bottom w:w="60" w:type="dxa"/>
              <w:end w:w="70" w:type="dxa"/>
            </w:tcMar>
          </w:tcPr>
          <w:p>
            <w:r>
              <w:rPr>
                <w:sz w:val="15"/>
              </w:rPr>
              <w:t>Filters</w:t>
            </w:r>
          </w:p>
        </w:tc>
        <w:tc>
          <w:tcPr>
            <w:tcW w:type="dxa" w:w="2016"/>
            <w:vAlign w:val="top"/>
            <w:tcMar>
              <w:top w:w="60" w:type="dxa"/>
              <w:start w:w="70" w:type="dxa"/>
              <w:bottom w:w="60" w:type="dxa"/>
              <w:end w:w="70" w:type="dxa"/>
            </w:tcMar>
          </w:tcPr>
          <w:p>
            <w:r>
              <w:rPr>
                <w:sz w:val="15"/>
              </w:rPr>
              <w:t>Calibration/economic metrics</w:t>
            </w:r>
          </w:p>
        </w:tc>
      </w:tr>
      <w:tr>
        <w:tc>
          <w:tcPr>
            <w:tcW w:type="dxa" w:w="2448"/>
            <w:vAlign w:val="top"/>
            <w:tcMar>
              <w:top w:w="60" w:type="dxa"/>
              <w:start w:w="70" w:type="dxa"/>
              <w:bottom w:w="60" w:type="dxa"/>
              <w:end w:w="70" w:type="dxa"/>
            </w:tcMar>
          </w:tcPr>
          <w:p>
            <w:r>
              <w:rPr>
                <w:sz w:val="15"/>
              </w:rPr>
              <w:t>GET /api/scorecards/user</w:t>
            </w:r>
          </w:p>
        </w:tc>
        <w:tc>
          <w:tcPr>
            <w:tcW w:type="dxa" w:w="3456"/>
            <w:vAlign w:val="top"/>
            <w:tcMar>
              <w:top w:w="60" w:type="dxa"/>
              <w:start w:w="70" w:type="dxa"/>
              <w:bottom w:w="60" w:type="dxa"/>
              <w:end w:w="70" w:type="dxa"/>
            </w:tcMar>
          </w:tcPr>
          <w:p>
            <w:r>
              <w:rPr>
                <w:sz w:val="15"/>
              </w:rPr>
              <w:t>Personal decision analytics</w:t>
            </w:r>
          </w:p>
        </w:tc>
        <w:tc>
          <w:tcPr>
            <w:tcW w:type="dxa" w:w="2088"/>
            <w:vAlign w:val="top"/>
            <w:tcMar>
              <w:top w:w="60" w:type="dxa"/>
              <w:start w:w="70" w:type="dxa"/>
              <w:bottom w:w="60" w:type="dxa"/>
              <w:end w:w="70" w:type="dxa"/>
            </w:tcMar>
          </w:tcPr>
          <w:p>
            <w:r>
              <w:rPr>
                <w:sz w:val="15"/>
              </w:rPr>
              <w:t>Filters</w:t>
            </w:r>
          </w:p>
        </w:tc>
        <w:tc>
          <w:tcPr>
            <w:tcW w:type="dxa" w:w="2016"/>
            <w:vAlign w:val="top"/>
            <w:tcMar>
              <w:top w:w="60" w:type="dxa"/>
              <w:start w:w="70" w:type="dxa"/>
              <w:bottom w:w="60" w:type="dxa"/>
              <w:end w:w="70" w:type="dxa"/>
            </w:tcMar>
          </w:tcPr>
          <w:p>
            <w:r>
              <w:rPr>
                <w:sz w:val="15"/>
              </w:rPr>
              <w:t>User metrics</w:t>
            </w:r>
          </w:p>
        </w:tc>
      </w:tr>
      <w:tr>
        <w:tc>
          <w:tcPr>
            <w:tcW w:type="dxa" w:w="2448"/>
            <w:vAlign w:val="top"/>
            <w:tcMar>
              <w:top w:w="60" w:type="dxa"/>
              <w:start w:w="70" w:type="dxa"/>
              <w:bottom w:w="60" w:type="dxa"/>
              <w:end w:w="70" w:type="dxa"/>
            </w:tcMar>
          </w:tcPr>
          <w:p>
            <w:r>
              <w:rPr>
                <w:sz w:val="15"/>
              </w:rPr>
              <w:t>POST /api/search</w:t>
            </w:r>
          </w:p>
        </w:tc>
        <w:tc>
          <w:tcPr>
            <w:tcW w:type="dxa" w:w="3456"/>
            <w:vAlign w:val="top"/>
            <w:tcMar>
              <w:top w:w="60" w:type="dxa"/>
              <w:start w:w="70" w:type="dxa"/>
              <w:bottom w:w="60" w:type="dxa"/>
              <w:end w:w="70" w:type="dxa"/>
            </w:tcMar>
          </w:tcPr>
          <w:p>
            <w:r>
              <w:rPr>
                <w:sz w:val="15"/>
              </w:rPr>
              <w:t>Grounded conversational query</w:t>
            </w:r>
          </w:p>
        </w:tc>
        <w:tc>
          <w:tcPr>
            <w:tcW w:type="dxa" w:w="2088"/>
            <w:vAlign w:val="top"/>
            <w:tcMar>
              <w:top w:w="60" w:type="dxa"/>
              <w:start w:w="70" w:type="dxa"/>
              <w:bottom w:w="60" w:type="dxa"/>
              <w:end w:w="70" w:type="dxa"/>
            </w:tcMar>
          </w:tcPr>
          <w:p>
            <w:r>
              <w:rPr>
                <w:sz w:val="15"/>
              </w:rPr>
              <w:t>{threadId?, message}</w:t>
            </w:r>
          </w:p>
        </w:tc>
        <w:tc>
          <w:tcPr>
            <w:tcW w:type="dxa" w:w="2016"/>
            <w:vAlign w:val="top"/>
            <w:tcMar>
              <w:top w:w="60" w:type="dxa"/>
              <w:start w:w="70" w:type="dxa"/>
              <w:bottom w:w="60" w:type="dxa"/>
              <w:end w:w="70" w:type="dxa"/>
            </w:tcMar>
          </w:tcPr>
          <w:p>
            <w:r>
              <w:rPr>
                <w:sz w:val="15"/>
              </w:rPr>
              <w:t>Answer + evidence</w:t>
            </w:r>
          </w:p>
        </w:tc>
      </w:tr>
      <w:tr>
        <w:tc>
          <w:tcPr>
            <w:tcW w:type="dxa" w:w="2448"/>
            <w:vAlign w:val="top"/>
            <w:tcMar>
              <w:top w:w="60" w:type="dxa"/>
              <w:start w:w="70" w:type="dxa"/>
              <w:bottom w:w="60" w:type="dxa"/>
              <w:end w:w="70" w:type="dxa"/>
            </w:tcMar>
          </w:tcPr>
          <w:p>
            <w:r>
              <w:rPr>
                <w:sz w:val="15"/>
              </w:rPr>
              <w:t>POST /api/feedback</w:t>
            </w:r>
          </w:p>
        </w:tc>
        <w:tc>
          <w:tcPr>
            <w:tcW w:type="dxa" w:w="3456"/>
            <w:vAlign w:val="top"/>
            <w:tcMar>
              <w:top w:w="60" w:type="dxa"/>
              <w:start w:w="70" w:type="dxa"/>
              <w:bottom w:w="60" w:type="dxa"/>
              <w:end w:w="70" w:type="dxa"/>
            </w:tcMar>
          </w:tcPr>
          <w:p>
            <w:r>
              <w:rPr>
                <w:sz w:val="15"/>
              </w:rPr>
              <w:t>Log explanation/data feedback</w:t>
            </w:r>
          </w:p>
        </w:tc>
        <w:tc>
          <w:tcPr>
            <w:tcW w:type="dxa" w:w="2088"/>
            <w:vAlign w:val="top"/>
            <w:tcMar>
              <w:top w:w="60" w:type="dxa"/>
              <w:start w:w="70" w:type="dxa"/>
              <w:bottom w:w="60" w:type="dxa"/>
              <w:end w:w="70" w:type="dxa"/>
            </w:tcMar>
          </w:tcPr>
          <w:p>
            <w:r>
              <w:rPr>
                <w:sz w:val="15"/>
              </w:rPr>
              <w:t>Feedback record</w:t>
            </w:r>
          </w:p>
        </w:tc>
        <w:tc>
          <w:tcPr>
            <w:tcW w:type="dxa" w:w="2016"/>
            <w:vAlign w:val="top"/>
            <w:tcMar>
              <w:top w:w="60" w:type="dxa"/>
              <w:start w:w="70" w:type="dxa"/>
              <w:bottom w:w="60" w:type="dxa"/>
              <w:end w:w="70" w:type="dxa"/>
            </w:tcMar>
          </w:tcPr>
          <w:p>
            <w:r>
              <w:rPr>
                <w:sz w:val="15"/>
              </w:rPr>
              <w:t>Stored feedback</w:t>
            </w:r>
          </w:p>
        </w:tc>
      </w:tr>
    </w:tbl>
    <w:p>
      <w:pPr>
        <w:pStyle w:val="Heading2"/>
      </w:pPr>
      <w:r>
        <w:t>13.1 Quant API Endpoints</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POST /v1/features/build</w:t>
              <w:br/>
            </w:r>
            <w:r>
              <w:rPr>
                <w:rFonts w:ascii="Liberation Mono" w:hAnsi="Liberation Mono"/>
                <w:sz w:val="17"/>
              </w:rPr>
              <w:t>POST /v1/regimes/infer</w:t>
              <w:br/>
            </w:r>
            <w:r>
              <w:rPr>
                <w:rFonts w:ascii="Liberation Mono" w:hAnsi="Liberation Mono"/>
                <w:sz w:val="17"/>
              </w:rPr>
              <w:t>POST /v1/analogs/search</w:t>
              <w:br/>
            </w:r>
            <w:r>
              <w:rPr>
                <w:rFonts w:ascii="Liberation Mono" w:hAnsi="Liberation Mono"/>
                <w:sz w:val="17"/>
              </w:rPr>
              <w:t>POST /v1/forecasts/predict</w:t>
              <w:br/>
            </w:r>
            <w:r>
              <w:rPr>
                <w:rFonts w:ascii="Liberation Mono" w:hAnsi="Liberation Mono"/>
                <w:sz w:val="17"/>
              </w:rPr>
              <w:t>POST /v1/forecasts/score</w:t>
              <w:br/>
            </w:r>
            <w:r>
              <w:rPr>
                <w:rFonts w:ascii="Liberation Mono" w:hAnsi="Liberation Mono"/>
                <w:sz w:val="17"/>
              </w:rPr>
              <w:t>POST /v1/models/evaluate</w:t>
              <w:br/>
            </w:r>
            <w:r>
              <w:rPr>
                <w:rFonts w:ascii="Liberation Mono" w:hAnsi="Liberation Mono"/>
                <w:sz w:val="17"/>
              </w:rPr>
              <w:t>GET  /v1/models/health</w:t>
              <w:br/>
            </w:r>
            <w:r>
              <w:rPr>
                <w:rFonts w:ascii="Liberation Mono" w:hAnsi="Liberation Mono"/>
                <w:sz w:val="17"/>
              </w:rPr>
              <w:br/>
            </w:r>
            <w:r>
              <w:rPr>
                <w:rFonts w:ascii="Liberation Mono" w:hAnsi="Liberation Mono"/>
                <w:sz w:val="17"/>
              </w:rPr>
              <w:t>All requests include:</w:t>
              <w:br/>
            </w:r>
            <w:r>
              <w:rPr>
                <w:rFonts w:ascii="Liberation Mono" w:hAnsi="Liberation Mono"/>
                <w:sz w:val="17"/>
              </w:rPr>
              <w:t>- as_of timestamp</w:t>
              <w:br/>
            </w:r>
            <w:r>
              <w:rPr>
                <w:rFonts w:ascii="Liberation Mono" w:hAnsi="Liberation Mono"/>
                <w:sz w:val="17"/>
              </w:rPr>
              <w:t>- effective analysis price</w:t>
              <w:br/>
            </w:r>
            <w:r>
              <w:rPr>
                <w:rFonts w:ascii="Liberation Mono" w:hAnsi="Liberation Mono"/>
                <w:sz w:val="17"/>
              </w:rPr>
              <w:t>- quote provenance</w:t>
              <w:br/>
            </w:r>
            <w:r>
              <w:rPr>
                <w:rFonts w:ascii="Liberation Mono" w:hAnsi="Liberation Mono"/>
                <w:sz w:val="17"/>
              </w:rPr>
              <w:t>- asset identifier</w:t>
              <w:br/>
            </w:r>
            <w:r>
              <w:rPr>
                <w:rFonts w:ascii="Liberation Mono" w:hAnsi="Liberation Mono"/>
                <w:sz w:val="17"/>
              </w:rPr>
              <w:t>- feature schema version</w:t>
              <w:br/>
            </w:r>
            <w:r>
              <w:rPr>
                <w:rFonts w:ascii="Liberation Mono" w:hAnsi="Liberation Mono"/>
                <w:sz w:val="17"/>
              </w:rPr>
              <w:t>- requested horizons</w:t>
              <w:br/>
            </w:r>
            <w:r>
              <w:rPr>
                <w:rFonts w:ascii="Liberation Mono" w:hAnsi="Liberation Mono"/>
                <w:sz w:val="17"/>
              </w:rPr>
              <w:t>- model version or champion selector</w:t>
              <w:br/>
            </w:r>
            <w:r>
              <w:rPr>
                <w:rFonts w:ascii="Liberation Mono" w:hAnsi="Liberation Mono"/>
                <w:sz w:val="17"/>
              </w:rPr>
              <w:br/>
            </w:r>
            <w:r>
              <w:rPr>
                <w:rFonts w:ascii="Liberation Mono" w:hAnsi="Liberation Mono"/>
                <w:sz w:val="17"/>
              </w:rPr>
              <w:t>All responses include:</w:t>
              <w:br/>
            </w:r>
            <w:r>
              <w:rPr>
                <w:rFonts w:ascii="Liberation Mono" w:hAnsi="Liberation Mono"/>
                <w:sz w:val="17"/>
              </w:rPr>
              <w:t>- input hash</w:t>
              <w:br/>
            </w:r>
            <w:r>
              <w:rPr>
                <w:rFonts w:ascii="Liberation Mono" w:hAnsi="Liberation Mono"/>
                <w:sz w:val="17"/>
              </w:rPr>
              <w:t>- model version</w:t>
              <w:br/>
            </w:r>
            <w:r>
              <w:rPr>
                <w:rFonts w:ascii="Liberation Mono" w:hAnsi="Liberation Mono"/>
                <w:sz w:val="17"/>
              </w:rPr>
              <w:t>- warnings</w:t>
              <w:br/>
            </w:r>
            <w:r>
              <w:rPr>
                <w:rFonts w:ascii="Liberation Mono" w:hAnsi="Liberation Mono"/>
                <w:sz w:val="17"/>
              </w:rPr>
              <w:t>- data-quality flags</w:t>
              <w:br/>
            </w:r>
            <w:r>
              <w:rPr>
                <w:rFonts w:ascii="Liberation Mono" w:hAnsi="Liberation Mono"/>
                <w:sz w:val="17"/>
              </w:rPr>
              <w:t>- deterministic evidence payload</w:t>
            </w:r>
          </w:p>
        </w:tc>
      </w:tr>
    </w:tbl>
    <w:p>
      <w:pPr>
        <w:spacing w:after="0"/>
      </w:pPr>
    </w:p>
    <w:p>
      <w:pPr>
        <w:pStyle w:val="Heading2"/>
      </w:pPr>
      <w:r>
        <w:t>13.2 Example Analysis Request</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w:t>
              <w:br/>
            </w:r>
            <w:r>
              <w:rPr>
                <w:rFonts w:ascii="Liberation Mono" w:hAnsi="Liberation Mono"/>
                <w:sz w:val="17"/>
              </w:rPr>
              <w:t xml:space="preserve">  "symbol": "SMH",</w:t>
              <w:br/>
            </w:r>
            <w:r>
              <w:rPr>
                <w:rFonts w:ascii="Liberation Mono" w:hAnsi="Liberation Mono"/>
                <w:sz w:val="17"/>
              </w:rPr>
              <w:t xml:space="preserve">  "quoteSnapshotId": "uuid",</w:t>
              <w:br/>
            </w:r>
            <w:r>
              <w:rPr>
                <w:rFonts w:ascii="Liberation Mono" w:hAnsi="Liberation Mono"/>
                <w:sz w:val="17"/>
              </w:rPr>
              <w:t xml:space="preserve">  "effectivePrice": 280.90,</w:t>
              <w:br/>
            </w:r>
            <w:r>
              <w:rPr>
                <w:rFonts w:ascii="Liberation Mono" w:hAnsi="Liberation Mono"/>
                <w:sz w:val="17"/>
              </w:rPr>
              <w:t xml:space="preserve">  "effectiveSource": "manual",</w:t>
              <w:br/>
            </w:r>
            <w:r>
              <w:rPr>
                <w:rFonts w:ascii="Liberation Mono" w:hAnsi="Liberation Mono"/>
                <w:sz w:val="17"/>
              </w:rPr>
              <w:t xml:space="preserve">  "asOf": "2026-07-12T15:21:07-04:00",</w:t>
              <w:br/>
            </w:r>
            <w:r>
              <w:rPr>
                <w:rFonts w:ascii="Liberation Mono" w:hAnsi="Liberation Mono"/>
                <w:sz w:val="17"/>
              </w:rPr>
              <w:t xml:space="preserve">  "horizons": [5, 20, 60],</w:t>
              <w:br/>
            </w:r>
            <w:r>
              <w:rPr>
                <w:rFonts w:ascii="Liberation Mono" w:hAnsi="Liberation Mono"/>
                <w:sz w:val="17"/>
              </w:rPr>
              <w:t xml:space="preserve">  "benchmark": "SPY",</w:t>
              <w:br/>
            </w:r>
            <w:r>
              <w:rPr>
                <w:rFonts w:ascii="Liberation Mono" w:hAnsi="Liberation Mono"/>
                <w:sz w:val="17"/>
              </w:rPr>
              <w:t xml:space="preserve">  "includeNews": true</w:t>
              <w:br/>
            </w:r>
            <w:r>
              <w:rPr>
                <w:rFonts w:ascii="Liberation Mono" w:hAnsi="Liberation Mono"/>
                <w:sz w:val="17"/>
              </w:rPr>
              <w:t>}</w:t>
            </w:r>
          </w:p>
        </w:tc>
      </w:tr>
    </w:tbl>
    <w:p>
      <w:pPr>
        <w:spacing w:after="0"/>
      </w:pPr>
    </w:p>
    <w:p>
      <w:pPr>
        <w:pStyle w:val="Heading2"/>
      </w:pPr>
      <w:r>
        <w:t>13.3 Example Response</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w:t>
              <w:br/>
            </w:r>
            <w:r>
              <w:rPr>
                <w:rFonts w:ascii="Liberation Mono" w:hAnsi="Liberation Mono"/>
                <w:sz w:val="17"/>
              </w:rPr>
              <w:t xml:space="preserve">  "forecastRunId": "uuid",</w:t>
              <w:br/>
            </w:r>
            <w:r>
              <w:rPr>
                <w:rFonts w:ascii="Liberation Mono" w:hAnsi="Liberation Mono"/>
                <w:sz w:val="17"/>
              </w:rPr>
              <w:t xml:space="preserve">  "symbol": "SMH",</w:t>
              <w:br/>
            </w:r>
            <w:r>
              <w:rPr>
                <w:rFonts w:ascii="Liberation Mono" w:hAnsi="Liberation Mono"/>
                <w:sz w:val="17"/>
              </w:rPr>
              <w:t xml:space="preserve">  "asOf": "2026-07-12T15:21:07-04:00",</w:t>
              <w:br/>
            </w:r>
            <w:r>
              <w:rPr>
                <w:rFonts w:ascii="Liberation Mono" w:hAnsi="Liberation Mono"/>
                <w:sz w:val="17"/>
              </w:rPr>
              <w:t xml:space="preserve">  "effectivePrice": 280.90,</w:t>
              <w:br/>
            </w:r>
            <w:r>
              <w:rPr>
                <w:rFonts w:ascii="Liberation Mono" w:hAnsi="Liberation Mono"/>
                <w:sz w:val="17"/>
              </w:rPr>
              <w:t xml:space="preserve">  "priceSource": "manual",</w:t>
              <w:br/>
            </w:r>
            <w:r>
              <w:rPr>
                <w:rFonts w:ascii="Liberation Mono" w:hAnsi="Liberation Mono"/>
                <w:sz w:val="17"/>
              </w:rPr>
              <w:t xml:space="preserve">  "intradayProxy": true,</w:t>
              <w:br/>
            </w:r>
            <w:r>
              <w:rPr>
                <w:rFonts w:ascii="Liberation Mono" w:hAnsi="Liberation Mono"/>
                <w:sz w:val="17"/>
              </w:rPr>
              <w:t xml:space="preserve">  "recommendation": "moderate_long_candidate",</w:t>
              <w:br/>
            </w:r>
            <w:r>
              <w:rPr>
                <w:rFonts w:ascii="Liberation Mono" w:hAnsi="Liberation Mono"/>
                <w:sz w:val="17"/>
              </w:rPr>
              <w:t xml:space="preserve">  "forecasts": [</w:t>
              <w:br/>
            </w:r>
            <w:r>
              <w:rPr>
                <w:rFonts w:ascii="Liberation Mono" w:hAnsi="Liberation Mono"/>
                <w:sz w:val="17"/>
              </w:rPr>
              <w:t xml:space="preserve">    {</w:t>
              <w:br/>
            </w:r>
            <w:r>
              <w:rPr>
                <w:rFonts w:ascii="Liberation Mono" w:hAnsi="Liberation Mono"/>
                <w:sz w:val="17"/>
              </w:rPr>
              <w:t xml:space="preserve">      "horizonTradingDays": 5,</w:t>
              <w:br/>
            </w:r>
            <w:r>
              <w:rPr>
                <w:rFonts w:ascii="Liberation Mono" w:hAnsi="Liberation Mono"/>
                <w:sz w:val="17"/>
              </w:rPr>
              <w:t xml:space="preserve">      "probabilityPositive": 0.68,</w:t>
              <w:br/>
            </w:r>
            <w:r>
              <w:rPr>
                <w:rFonts w:ascii="Liberation Mono" w:hAnsi="Liberation Mono"/>
                <w:sz w:val="17"/>
              </w:rPr>
              <w:t xml:space="preserve">      "probabilityExcessPositive": 0.61,</w:t>
              <w:br/>
            </w:r>
            <w:r>
              <w:rPr>
                <w:rFonts w:ascii="Liberation Mono" w:hAnsi="Liberation Mono"/>
                <w:sz w:val="17"/>
              </w:rPr>
              <w:t xml:space="preserve">      "returnQuantiles": {"q20": -0.034, "q50": 0.027, "q80": 0.079},</w:t>
              <w:br/>
            </w:r>
            <w:r>
              <w:rPr>
                <w:rFonts w:ascii="Liberation Mono" w:hAnsi="Liberation Mono"/>
                <w:sz w:val="17"/>
              </w:rPr>
              <w:t xml:space="preserve">      "expectedMAE": -0.046,</w:t>
              <w:br/>
            </w:r>
            <w:r>
              <w:rPr>
                <w:rFonts w:ascii="Liberation Mono" w:hAnsi="Liberation Mono"/>
                <w:sz w:val="17"/>
              </w:rPr>
              <w:t xml:space="preserve">      "confidenceScore": 0.64,</w:t>
              <w:br/>
            </w:r>
            <w:r>
              <w:rPr>
                <w:rFonts w:ascii="Liberation Mono" w:hAnsi="Liberation Mono"/>
                <w:sz w:val="17"/>
              </w:rPr>
              <w:t xml:space="preserve">      "confidenceTier": "moderate",</w:t>
              <w:br/>
            </w:r>
            <w:r>
              <w:rPr>
                <w:rFonts w:ascii="Liberation Mono" w:hAnsi="Liberation Mono"/>
                <w:sz w:val="17"/>
              </w:rPr>
              <w:t xml:space="preserve">      "independentEpisodeCount": 29</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"regime": {</w:t>
              <w:br/>
            </w:r>
            <w:r>
              <w:rPr>
                <w:rFonts w:ascii="Liberation Mono" w:hAnsi="Liberation Mono"/>
                <w:sz w:val="17"/>
              </w:rPr>
              <w:t xml:space="preserve">    "growth": "slowing",</w:t>
              <w:br/>
            </w:r>
            <w:r>
              <w:rPr>
                <w:rFonts w:ascii="Liberation Mono" w:hAnsi="Liberation Mono"/>
                <w:sz w:val="17"/>
              </w:rPr>
              <w:t xml:space="preserve">    "inflation": "falling",</w:t>
              <w:br/>
            </w:r>
            <w:r>
              <w:rPr>
                <w:rFonts w:ascii="Liberation Mono" w:hAnsi="Liberation Mono"/>
                <w:sz w:val="17"/>
              </w:rPr>
              <w:t xml:space="preserve">    "rates": "stable_to_easing",</w:t>
              <w:br/>
            </w:r>
            <w:r>
              <w:rPr>
                <w:rFonts w:ascii="Liberation Mono" w:hAnsi="Liberation Mono"/>
                <w:sz w:val="17"/>
              </w:rPr>
              <w:t xml:space="preserve">    "credit": "calm",</w:t>
              <w:br/>
            </w:r>
            <w:r>
              <w:rPr>
                <w:rFonts w:ascii="Liberation Mono" w:hAnsi="Liberation Mono"/>
                <w:sz w:val="17"/>
              </w:rPr>
              <w:t xml:space="preserve">    "riskAppetite": "risk_off"</w:t>
              <w:br/>
            </w:r>
            <w:r>
              <w:rPr>
                <w:rFonts w:ascii="Liberation Mono" w:hAnsi="Liberation Mono"/>
                <w:sz w:val="17"/>
              </w:rPr>
              <w:t xml:space="preserve">  },</w:t>
              <w:br/>
            </w:r>
            <w:r>
              <w:rPr>
                <w:rFonts w:ascii="Liberation Mono" w:hAnsi="Liberation Mono"/>
                <w:sz w:val="17"/>
              </w:rPr>
              <w:t xml:space="preserve">  "warnings": ["Intraday proxy uses daily-trained model"],</w:t>
              <w:br/>
            </w:r>
            <w:r>
              <w:rPr>
                <w:rFonts w:ascii="Liberation Mono" w:hAnsi="Liberation Mono"/>
                <w:sz w:val="17"/>
              </w:rPr>
              <w:t xml:space="preserve">  "evidence": ["analog-run-id", "macro-state-id", "news-event-id"]</w:t>
              <w:br/>
            </w:r>
            <w:r>
              <w:rPr>
                <w:rFonts w:ascii="Liberation Mono" w:hAnsi="Liberation Mono"/>
                <w:sz w:val="17"/>
              </w:rPr>
              <w:t>}</w:t>
            </w:r>
          </w:p>
        </w:tc>
      </w:tr>
    </w:tbl>
    <w:p>
      <w:pPr>
        <w:spacing w:after="0"/>
      </w:pPr>
    </w:p>
    <w:p>
      <w:r>
        <w:br w:type="page"/>
      </w:r>
    </w:p>
    <w:p>
      <w:pPr>
        <w:pStyle w:val="Heading1"/>
      </w:pPr>
      <w:r>
        <w:t>14. Frontend Specification</w:t>
      </w:r>
    </w:p>
    <w:p>
      <w:pPr>
        <w:pStyle w:val="Heading2"/>
      </w:pPr>
      <w:r>
        <w:t>14.1 Screens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8"/>
          </w:tcPr>
          <w:p>
            <w:r>
              <w:rPr>
                <w:b/>
                <w:color w:val="FFFFFF"/>
              </w:rPr>
              <w:t>Item</w:t>
            </w:r>
          </w:p>
        </w:tc>
        <w:tc>
          <w:tcPr>
            <w:tcW w:type="dxa" w:w="8064"/>
            <w:shd w:fill="1F4E78"/>
          </w:tcPr>
          <w:p>
            <w:r>
              <w:rPr>
                <w:b/>
                <w:color w:val="FFFFFF"/>
              </w:rPr>
              <w:t>Specification</w:t>
            </w:r>
          </w:p>
        </w:tc>
      </w:tr>
      <w:tr>
        <w:tc>
          <w:tcPr>
            <w:tcW w:type="dxa" w:w="2016"/>
            <w:vAlign w:val="top"/>
            <w:tcMar>
              <w:top w:w="80" w:type="dxa"/>
              <w:start w:w="90" w:type="dxa"/>
              <w:bottom w:w="80" w:type="dxa"/>
              <w:end w:w="90" w:type="dxa"/>
            </w:tcMar>
          </w:tcPr>
          <w:p>
            <w:r>
              <w:t>Home</w:t>
            </w:r>
          </w:p>
        </w:tc>
        <w:tc>
          <w:tcPr>
            <w:tcW w:type="dxa" w:w="8064"/>
            <w:vAlign w:val="top"/>
            <w:tcMar>
              <w:top w:w="80" w:type="dxa"/>
              <w:start w:w="90" w:type="dxa"/>
              <w:bottom w:w="80" w:type="dxa"/>
              <w:end w:w="90" w:type="dxa"/>
            </w:tcMar>
          </w:tcPr>
          <w:p>
            <w:r>
              <w:t>Today’s Setups, market/regime summary, what changed, open decisions, search box.</w:t>
            </w:r>
          </w:p>
        </w:tc>
      </w:tr>
      <w:tr>
        <w:tc>
          <w:tcPr>
            <w:tcW w:type="dxa" w:w="2016"/>
            <w:vAlign w:val="top"/>
            <w:tcMar>
              <w:top w:w="80" w:type="dxa"/>
              <w:start w:w="90" w:type="dxa"/>
              <w:bottom w:w="80" w:type="dxa"/>
              <w:end w:w="90" w:type="dxa"/>
            </w:tcMar>
          </w:tcPr>
          <w:p>
            <w:r>
              <w:t>Analyze ETF</w:t>
            </w:r>
          </w:p>
        </w:tc>
        <w:tc>
          <w:tcPr>
            <w:tcW w:type="dxa" w:w="8064"/>
            <w:vAlign w:val="top"/>
            <w:tcMar>
              <w:top w:w="80" w:type="dxa"/>
              <w:start w:w="90" w:type="dxa"/>
              <w:bottom w:w="80" w:type="dxa"/>
              <w:end w:w="90" w:type="dxa"/>
            </w:tcMar>
          </w:tcPr>
          <w:p>
            <w:r>
              <w:t>Ticker entry, quote retrieval, manual price override, horizon/benchmark selection, run analysis.</w:t>
            </w:r>
          </w:p>
        </w:tc>
      </w:tr>
      <w:tr>
        <w:tc>
          <w:tcPr>
            <w:tcW w:type="dxa" w:w="2016"/>
            <w:vAlign w:val="top"/>
            <w:tcMar>
              <w:top w:w="80" w:type="dxa"/>
              <w:start w:w="90" w:type="dxa"/>
              <w:bottom w:w="80" w:type="dxa"/>
              <w:end w:w="90" w:type="dxa"/>
            </w:tcMar>
          </w:tcPr>
          <w:p>
            <w:r>
              <w:t>Forecast detail</w:t>
            </w:r>
          </w:p>
        </w:tc>
        <w:tc>
          <w:tcPr>
            <w:tcW w:type="dxa" w:w="8064"/>
            <w:vAlign w:val="top"/>
            <w:tcMar>
              <w:top w:w="80" w:type="dxa"/>
              <w:start w:w="90" w:type="dxa"/>
              <w:bottom w:w="80" w:type="dxa"/>
              <w:end w:w="90" w:type="dxa"/>
            </w:tcMar>
          </w:tcPr>
          <w:p>
            <w:r>
              <w:t>Recommendation, probabilities, ranges, drivers, regime, analogs, risks, model version, price provenance.</w:t>
            </w:r>
          </w:p>
        </w:tc>
      </w:tr>
      <w:tr>
        <w:tc>
          <w:tcPr>
            <w:tcW w:type="dxa" w:w="2016"/>
            <w:vAlign w:val="top"/>
            <w:tcMar>
              <w:top w:w="80" w:type="dxa"/>
              <w:start w:w="90" w:type="dxa"/>
              <w:bottom w:w="80" w:type="dxa"/>
              <w:end w:w="90" w:type="dxa"/>
            </w:tcMar>
          </w:tcPr>
          <w:p>
            <w:r>
              <w:t>Decision form</w:t>
            </w:r>
          </w:p>
        </w:tc>
        <w:tc>
          <w:tcPr>
            <w:tcW w:type="dxa" w:w="8064"/>
            <w:vAlign w:val="top"/>
            <w:tcMar>
              <w:top w:w="80" w:type="dxa"/>
              <w:start w:w="90" w:type="dxa"/>
              <w:bottom w:w="80" w:type="dxa"/>
              <w:end w:w="90" w:type="dxa"/>
            </w:tcMar>
          </w:tcPr>
          <w:p>
            <w:r>
              <w:t>Action, price, size, confidence, horizon, thesis, invalidation, agree/disagree reason.</w:t>
            </w:r>
          </w:p>
        </w:tc>
      </w:tr>
      <w:tr>
        <w:tc>
          <w:tcPr>
            <w:tcW w:type="dxa" w:w="2016"/>
            <w:vAlign w:val="top"/>
            <w:tcMar>
              <w:top w:w="80" w:type="dxa"/>
              <w:start w:w="90" w:type="dxa"/>
              <w:bottom w:w="80" w:type="dxa"/>
              <w:end w:w="90" w:type="dxa"/>
            </w:tcMar>
          </w:tcPr>
          <w:p>
            <w:r>
              <w:t>Decision history</w:t>
            </w:r>
          </w:p>
        </w:tc>
        <w:tc>
          <w:tcPr>
            <w:tcW w:type="dxa" w:w="8064"/>
            <w:vAlign w:val="top"/>
            <w:tcMar>
              <w:top w:w="80" w:type="dxa"/>
              <w:start w:w="90" w:type="dxa"/>
              <w:bottom w:w="80" w:type="dxa"/>
              <w:end w:w="90" w:type="dxa"/>
            </w:tcMar>
          </w:tcPr>
          <w:p>
            <w:r>
              <w:t>Chronological model/user records with current outcomes and review status.</w:t>
            </w:r>
          </w:p>
        </w:tc>
      </w:tr>
      <w:tr>
        <w:tc>
          <w:tcPr>
            <w:tcW w:type="dxa" w:w="2016"/>
            <w:vAlign w:val="top"/>
            <w:tcMar>
              <w:top w:w="80" w:type="dxa"/>
              <w:start w:w="90" w:type="dxa"/>
              <w:bottom w:w="80" w:type="dxa"/>
              <w:end w:w="90" w:type="dxa"/>
            </w:tcMar>
          </w:tcPr>
          <w:p>
            <w:r>
              <w:t>Model scorecard</w:t>
            </w:r>
          </w:p>
        </w:tc>
        <w:tc>
          <w:tcPr>
            <w:tcW w:type="dxa" w:w="8064"/>
            <w:vAlign w:val="top"/>
            <w:tcMar>
              <w:top w:w="80" w:type="dxa"/>
              <w:start w:w="90" w:type="dxa"/>
              <w:bottom w:w="80" w:type="dxa"/>
              <w:end w:w="90" w:type="dxa"/>
            </w:tcMar>
          </w:tcPr>
          <w:p>
            <w:r>
              <w:t>Calibration, Brier/log loss, performance by horizon/ETF/regime, drift warnings.</w:t>
            </w:r>
          </w:p>
        </w:tc>
      </w:tr>
      <w:tr>
        <w:tc>
          <w:tcPr>
            <w:tcW w:type="dxa" w:w="2016"/>
            <w:vAlign w:val="top"/>
            <w:tcMar>
              <w:top w:w="80" w:type="dxa"/>
              <w:start w:w="90" w:type="dxa"/>
              <w:bottom w:w="80" w:type="dxa"/>
              <w:end w:w="90" w:type="dxa"/>
            </w:tcMar>
          </w:tcPr>
          <w:p>
            <w:r>
              <w:t>My scorecard</w:t>
            </w:r>
          </w:p>
        </w:tc>
        <w:tc>
          <w:tcPr>
            <w:tcW w:type="dxa" w:w="8064"/>
            <w:vAlign w:val="top"/>
            <w:tcMar>
              <w:top w:w="80" w:type="dxa"/>
              <w:start w:w="90" w:type="dxa"/>
              <w:bottom w:w="80" w:type="dxa"/>
              <w:end w:w="90" w:type="dxa"/>
            </w:tcMar>
          </w:tcPr>
          <w:p>
            <w:r>
              <w:t>Actions, overrides, stand-down value, sizing, timing, and personal patterns.</w:t>
            </w:r>
          </w:p>
        </w:tc>
      </w:tr>
      <w:tr>
        <w:tc>
          <w:tcPr>
            <w:tcW w:type="dxa" w:w="2016"/>
            <w:vAlign w:val="top"/>
            <w:tcMar>
              <w:top w:w="80" w:type="dxa"/>
              <w:start w:w="90" w:type="dxa"/>
              <w:bottom w:w="80" w:type="dxa"/>
              <w:end w:w="90" w:type="dxa"/>
            </w:tcMar>
          </w:tcPr>
          <w:p>
            <w:r>
              <w:t>Ask Market Memory</w:t>
            </w:r>
          </w:p>
        </w:tc>
        <w:tc>
          <w:tcPr>
            <w:tcW w:type="dxa" w:w="8064"/>
            <w:vAlign w:val="top"/>
            <w:tcMar>
              <w:top w:w="80" w:type="dxa"/>
              <w:start w:w="90" w:type="dxa"/>
              <w:bottom w:w="80" w:type="dxa"/>
              <w:end w:w="90" w:type="dxa"/>
            </w:tcMar>
          </w:tcPr>
          <w:p>
            <w:r>
              <w:t>Conversation, evidence drawer, links to forecasts, decisions, and source records.</w:t>
            </w:r>
          </w:p>
        </w:tc>
      </w:tr>
      <w:tr>
        <w:tc>
          <w:tcPr>
            <w:tcW w:type="dxa" w:w="2016"/>
            <w:vAlign w:val="top"/>
            <w:tcMar>
              <w:top w:w="80" w:type="dxa"/>
              <w:start w:w="90" w:type="dxa"/>
              <w:bottom w:w="80" w:type="dxa"/>
              <w:end w:w="90" w:type="dxa"/>
            </w:tcMar>
          </w:tcPr>
          <w:p>
            <w:r>
              <w:t>Settings</w:t>
            </w:r>
          </w:p>
        </w:tc>
        <w:tc>
          <w:tcPr>
            <w:tcW w:type="dxa" w:w="8064"/>
            <w:vAlign w:val="top"/>
            <w:tcMar>
              <w:top w:w="80" w:type="dxa"/>
              <w:start w:w="90" w:type="dxa"/>
              <w:bottom w:w="80" w:type="dxa"/>
              <w:end w:w="90" w:type="dxa"/>
            </w:tcMar>
          </w:tcPr>
          <w:p>
            <w:r>
              <w:t>ETF universe, provider selection, API status, benchmarks, scanner thresholds, notification preferences.</w:t>
            </w:r>
          </w:p>
        </w:tc>
      </w:tr>
    </w:tbl>
    <w:p>
      <w:pPr>
        <w:pStyle w:val="Heading2"/>
      </w:pPr>
      <w:r>
        <w:t>14.2 Analyze ETF Interaction</w:t>
      </w:r>
    </w:p>
    <w:p>
      <w:pPr>
        <w:ind w:left="346" w:hanging="346"/>
      </w:pPr>
      <w:r>
        <w:rPr>
          <w:b w:val="0"/>
        </w:rPr>
        <w:t xml:space="preserve">1. </w:t>
      </w:r>
      <w:r>
        <w:t>User enters symbol.</w:t>
      </w:r>
    </w:p>
    <w:p>
      <w:pPr>
        <w:ind w:left="346" w:hanging="346"/>
      </w:pPr>
      <w:r>
        <w:rPr>
          <w:b w:val="0"/>
        </w:rPr>
        <w:t xml:space="preserve">2. </w:t>
      </w:r>
      <w:r>
        <w:t>App resolves asset and fetches quote.</w:t>
      </w:r>
    </w:p>
    <w:p>
      <w:pPr>
        <w:ind w:left="346" w:hanging="346"/>
      </w:pPr>
      <w:r>
        <w:rPr>
          <w:b w:val="0"/>
        </w:rPr>
        <w:t xml:space="preserve">3. </w:t>
      </w:r>
      <w:r>
        <w:t>Quote card displays source and timestamp.</w:t>
      </w:r>
    </w:p>
    <w:p>
      <w:pPr>
        <w:ind w:left="346" w:hanging="346"/>
      </w:pPr>
      <w:r>
        <w:rPr>
          <w:b w:val="0"/>
        </w:rPr>
        <w:t xml:space="preserve">4. </w:t>
      </w:r>
      <w:r>
        <w:t>User can enter a different price. Effective price changes visibly.</w:t>
      </w:r>
    </w:p>
    <w:p>
      <w:pPr>
        <w:ind w:left="346" w:hanging="346"/>
      </w:pPr>
      <w:r>
        <w:rPr>
          <w:b w:val="0"/>
        </w:rPr>
        <w:t xml:space="preserve">5. </w:t>
      </w:r>
      <w:r>
        <w:t>User selects horizon and benchmark or accepts defaults.</w:t>
      </w:r>
    </w:p>
    <w:p>
      <w:pPr>
        <w:ind w:left="346" w:hanging="346"/>
      </w:pPr>
      <w:r>
        <w:rPr>
          <w:b w:val="0"/>
        </w:rPr>
        <w:t xml:space="preserve">6. </w:t>
      </w:r>
      <w:r>
        <w:t>Run Analysis calls the orchestrator.</w:t>
      </w:r>
    </w:p>
    <w:p>
      <w:pPr>
        <w:ind w:left="346" w:hanging="346"/>
      </w:pPr>
      <w:r>
        <w:rPr>
          <w:b w:val="0"/>
        </w:rPr>
        <w:t xml:space="preserve">7. </w:t>
      </w:r>
      <w:r>
        <w:t>The model output is persisted before the decision form becomes editable.</w:t>
      </w:r>
    </w:p>
    <w:p>
      <w:pPr>
        <w:ind w:left="346" w:hanging="346"/>
      </w:pPr>
      <w:r>
        <w:rPr>
          <w:b w:val="0"/>
        </w:rPr>
        <w:t xml:space="preserve">8. </w:t>
      </w:r>
      <w:r>
        <w:t>User reviews evidence and logs decision or leaves without acting.</w:t>
      </w:r>
    </w:p>
    <w:p>
      <w:pPr>
        <w:ind w:left="346" w:hanging="346"/>
      </w:pPr>
      <w:r>
        <w:rPr>
          <w:b w:val="0"/>
        </w:rPr>
        <w:t xml:space="preserve">9. </w:t>
      </w:r>
      <w:r>
        <w:t>The forecast remains in history even when no decision is logged.</w:t>
      </w:r>
    </w:p>
    <w:p>
      <w:pPr>
        <w:pStyle w:val="Heading2"/>
      </w:pPr>
      <w:r>
        <w:t>14.3 Evidence Drawer</w:t>
      </w:r>
    </w:p>
    <w:p>
      <w:pPr>
        <w:pStyle w:val="ListBullet"/>
      </w:pPr>
      <w:r>
        <w:t>Top historical analog episodes with similarity and future outcomes.</w:t>
      </w:r>
    </w:p>
    <w:p>
      <w:pPr>
        <w:pStyle w:val="ListBullet"/>
      </w:pPr>
      <w:r>
        <w:t>Current versus analog feature comparison.</w:t>
      </w:r>
    </w:p>
    <w:p>
      <w:pPr>
        <w:pStyle w:val="ListBullet"/>
      </w:pPr>
      <w:r>
        <w:t>Current regime dimensions.</w:t>
      </w:r>
    </w:p>
    <w:p>
      <w:pPr>
        <w:pStyle w:val="ListBullet"/>
      </w:pPr>
      <w:r>
        <w:t>Macro series values and vintage timestamps.</w:t>
      </w:r>
    </w:p>
    <w:p>
      <w:pPr>
        <w:pStyle w:val="ListBullet"/>
      </w:pPr>
      <w:r>
        <w:t>Relevant news events with article links and publication times.</w:t>
      </w:r>
    </w:p>
    <w:p>
      <w:pPr>
        <w:pStyle w:val="ListBullet"/>
      </w:pPr>
      <w:r>
        <w:t>Model component outputs and disagreements.</w:t>
      </w:r>
    </w:p>
    <w:p>
      <w:pPr>
        <w:pStyle w:val="ListBullet"/>
      </w:pPr>
      <w:r>
        <w:t>Data-quality warnings and intraday-proxy status.</w:t>
      </w:r>
    </w:p>
    <w:p>
      <w:r>
        <w:br w:type="page"/>
      </w:r>
    </w:p>
    <w:p>
      <w:pPr>
        <w:pStyle w:val="Heading1"/>
      </w:pPr>
      <w:r>
        <w:t>15. Scheduled Workflows and Operations</w:t>
      </w:r>
    </w:p>
    <w:p>
      <w:pPr>
        <w:pStyle w:val="Heading2"/>
      </w:pPr>
      <w:r>
        <w:t>15.1 GitHub Actions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shd w:fill="1F4E78"/>
          </w:tcPr>
          <w:p>
            <w:r>
              <w:rPr>
                <w:b/>
                <w:color w:val="FFFFFF"/>
                <w:sz w:val="16"/>
              </w:rPr>
              <w:t>Workflow</w:t>
            </w:r>
          </w:p>
        </w:tc>
        <w:tc>
          <w:tcPr>
            <w:tcW w:type="dxa" w:w="1728"/>
            <w:shd w:fill="1F4E78"/>
          </w:tcPr>
          <w:p>
            <w:r>
              <w:rPr>
                <w:b/>
                <w:color w:val="FFFFFF"/>
                <w:sz w:val="16"/>
              </w:rPr>
              <w:t>Schedule</w:t>
            </w:r>
          </w:p>
        </w:tc>
        <w:tc>
          <w:tcPr>
            <w:tcW w:type="dxa" w:w="3816"/>
            <w:shd w:fill="1F4E78"/>
          </w:tcPr>
          <w:p>
            <w:r>
              <w:rPr>
                <w:b/>
                <w:color w:val="FFFFFF"/>
                <w:sz w:val="16"/>
              </w:rPr>
              <w:t>Jobs</w:t>
            </w:r>
          </w:p>
        </w:tc>
        <w:tc>
          <w:tcPr>
            <w:tcW w:type="dxa" w:w="2304"/>
            <w:shd w:fill="1F4E78"/>
          </w:tcPr>
          <w:p>
            <w:r>
              <w:rPr>
                <w:b/>
                <w:color w:val="FFFFFF"/>
                <w:sz w:val="16"/>
              </w:rPr>
              <w:t>Failure behavior</w:t>
            </w:r>
          </w:p>
        </w:tc>
      </w:tr>
      <w:tr>
        <w:tc>
          <w:tcPr>
            <w:tcW w:type="dxa" w:w="2088"/>
            <w:vAlign w:val="top"/>
            <w:tcMar>
              <w:top w:w="60" w:type="dxa"/>
              <w:start w:w="70" w:type="dxa"/>
              <w:bottom w:w="60" w:type="dxa"/>
              <w:end w:w="70" w:type="dxa"/>
            </w:tcMar>
          </w:tcPr>
          <w:p>
            <w:r>
              <w:rPr>
                <w:sz w:val="15"/>
              </w:rPr>
              <w:t>daily-market-pipeline</w:t>
            </w:r>
          </w:p>
        </w:tc>
        <w:tc>
          <w:tcPr>
            <w:tcW w:type="dxa" w:w="1728"/>
            <w:vAlign w:val="top"/>
            <w:tcMar>
              <w:top w:w="60" w:type="dxa"/>
              <w:start w:w="70" w:type="dxa"/>
              <w:bottom w:w="60" w:type="dxa"/>
              <w:end w:w="70" w:type="dxa"/>
            </w:tcMar>
          </w:tcPr>
          <w:p>
            <w:r>
              <w:rPr>
                <w:sz w:val="15"/>
              </w:rPr>
              <w:t>Weekdays after market close</w:t>
            </w:r>
          </w:p>
        </w:tc>
        <w:tc>
          <w:tcPr>
            <w:tcW w:type="dxa" w:w="3816"/>
            <w:vAlign w:val="top"/>
            <w:tcMar>
              <w:top w:w="60" w:type="dxa"/>
              <w:start w:w="70" w:type="dxa"/>
              <w:bottom w:w="60" w:type="dxa"/>
              <w:end w:w="70" w:type="dxa"/>
            </w:tcMar>
          </w:tcPr>
          <w:p>
            <w:r>
              <w:rPr>
                <w:sz w:val="15"/>
              </w:rPr>
              <w:t>Prices, macro, news, features, regimes, scanner</w:t>
            </w:r>
          </w:p>
        </w:tc>
        <w:tc>
          <w:tcPr>
            <w:tcW w:type="dxa" w:w="2304"/>
            <w:vAlign w:val="top"/>
            <w:tcMar>
              <w:top w:w="60" w:type="dxa"/>
              <w:start w:w="70" w:type="dxa"/>
              <w:bottom w:w="60" w:type="dxa"/>
              <w:end w:w="70" w:type="dxa"/>
            </w:tcMar>
          </w:tcPr>
          <w:p>
            <w:r>
              <w:rPr>
                <w:sz w:val="15"/>
              </w:rPr>
              <w:t>Record job_run; do not publish partial scan</w:t>
            </w:r>
          </w:p>
        </w:tc>
      </w:tr>
      <w:tr>
        <w:tc>
          <w:tcPr>
            <w:tcW w:type="dxa" w:w="2088"/>
            <w:vAlign w:val="top"/>
            <w:tcMar>
              <w:top w:w="60" w:type="dxa"/>
              <w:start w:w="70" w:type="dxa"/>
              <w:bottom w:w="60" w:type="dxa"/>
              <w:end w:w="70" w:type="dxa"/>
            </w:tcMar>
          </w:tcPr>
          <w:p>
            <w:r>
              <w:rPr>
                <w:sz w:val="15"/>
              </w:rPr>
              <w:t>score-outcomes</w:t>
            </w:r>
          </w:p>
        </w:tc>
        <w:tc>
          <w:tcPr>
            <w:tcW w:type="dxa" w:w="1728"/>
            <w:vAlign w:val="top"/>
            <w:tcMar>
              <w:top w:w="60" w:type="dxa"/>
              <w:start w:w="70" w:type="dxa"/>
              <w:bottom w:w="60" w:type="dxa"/>
              <w:end w:w="70" w:type="dxa"/>
            </w:tcMar>
          </w:tcPr>
          <w:p>
            <w:r>
              <w:rPr>
                <w:sz w:val="15"/>
              </w:rPr>
              <w:t>Daily</w:t>
            </w:r>
          </w:p>
        </w:tc>
        <w:tc>
          <w:tcPr>
            <w:tcW w:type="dxa" w:w="3816"/>
            <w:vAlign w:val="top"/>
            <w:tcMar>
              <w:top w:w="60" w:type="dxa"/>
              <w:start w:w="70" w:type="dxa"/>
              <w:bottom w:w="60" w:type="dxa"/>
              <w:end w:w="70" w:type="dxa"/>
            </w:tcMar>
          </w:tcPr>
          <w:p>
            <w:r>
              <w:rPr>
                <w:sz w:val="15"/>
              </w:rPr>
              <w:t>Find matured forecasts, fetch evaluation prices, calculate metrics</w:t>
            </w:r>
          </w:p>
        </w:tc>
        <w:tc>
          <w:tcPr>
            <w:tcW w:type="dxa" w:w="2304"/>
            <w:vAlign w:val="top"/>
            <w:tcMar>
              <w:top w:w="60" w:type="dxa"/>
              <w:start w:w="70" w:type="dxa"/>
              <w:bottom w:w="60" w:type="dxa"/>
              <w:end w:w="70" w:type="dxa"/>
            </w:tcMar>
          </w:tcPr>
          <w:p>
            <w:r>
              <w:rPr>
                <w:sz w:val="15"/>
              </w:rPr>
              <w:t>Retry provider errors; flag missing data</w:t>
            </w:r>
          </w:p>
        </w:tc>
      </w:tr>
      <w:tr>
        <w:tc>
          <w:tcPr>
            <w:tcW w:type="dxa" w:w="2088"/>
            <w:vAlign w:val="top"/>
            <w:tcMar>
              <w:top w:w="60" w:type="dxa"/>
              <w:start w:w="70" w:type="dxa"/>
              <w:bottom w:w="60" w:type="dxa"/>
              <w:end w:w="70" w:type="dxa"/>
            </w:tcMar>
          </w:tcPr>
          <w:p>
            <w:r>
              <w:rPr>
                <w:sz w:val="15"/>
              </w:rPr>
              <w:t>weekly-quality</w:t>
            </w:r>
          </w:p>
        </w:tc>
        <w:tc>
          <w:tcPr>
            <w:tcW w:type="dxa" w:w="1728"/>
            <w:vAlign w:val="top"/>
            <w:tcMar>
              <w:top w:w="60" w:type="dxa"/>
              <w:start w:w="70" w:type="dxa"/>
              <w:bottom w:w="60" w:type="dxa"/>
              <w:end w:w="70" w:type="dxa"/>
            </w:tcMar>
          </w:tcPr>
          <w:p>
            <w:r>
              <w:rPr>
                <w:sz w:val="15"/>
              </w:rPr>
              <w:t>Weekend</w:t>
            </w:r>
          </w:p>
        </w:tc>
        <w:tc>
          <w:tcPr>
            <w:tcW w:type="dxa" w:w="3816"/>
            <w:vAlign w:val="top"/>
            <w:tcMar>
              <w:top w:w="60" w:type="dxa"/>
              <w:start w:w="70" w:type="dxa"/>
              <w:bottom w:w="60" w:type="dxa"/>
              <w:end w:w="70" w:type="dxa"/>
            </w:tcMar>
          </w:tcPr>
          <w:p>
            <w:r>
              <w:rPr>
                <w:sz w:val="15"/>
              </w:rPr>
              <w:t>Missing bars, duplicate news, stale series, corporate action checks</w:t>
            </w:r>
          </w:p>
        </w:tc>
        <w:tc>
          <w:tcPr>
            <w:tcW w:type="dxa" w:w="2304"/>
            <w:vAlign w:val="top"/>
            <w:tcMar>
              <w:top w:w="60" w:type="dxa"/>
              <w:start w:w="70" w:type="dxa"/>
              <w:bottom w:w="60" w:type="dxa"/>
              <w:end w:w="70" w:type="dxa"/>
            </w:tcMar>
          </w:tcPr>
          <w:p>
            <w:r>
              <w:rPr>
                <w:sz w:val="15"/>
              </w:rPr>
              <w:t>Create data-quality events</w:t>
            </w:r>
          </w:p>
        </w:tc>
      </w:tr>
      <w:tr>
        <w:tc>
          <w:tcPr>
            <w:tcW w:type="dxa" w:w="2088"/>
            <w:vAlign w:val="top"/>
            <w:tcMar>
              <w:top w:w="60" w:type="dxa"/>
              <w:start w:w="70" w:type="dxa"/>
              <w:bottom w:w="60" w:type="dxa"/>
              <w:end w:w="70" w:type="dxa"/>
            </w:tcMar>
          </w:tcPr>
          <w:p>
            <w:r>
              <w:rPr>
                <w:sz w:val="15"/>
              </w:rPr>
              <w:t>monthly-model-research</w:t>
            </w:r>
          </w:p>
        </w:tc>
        <w:tc>
          <w:tcPr>
            <w:tcW w:type="dxa" w:w="1728"/>
            <w:vAlign w:val="top"/>
            <w:tcMar>
              <w:top w:w="60" w:type="dxa"/>
              <w:start w:w="70" w:type="dxa"/>
              <w:bottom w:w="60" w:type="dxa"/>
              <w:end w:w="70" w:type="dxa"/>
            </w:tcMar>
          </w:tcPr>
          <w:p>
            <w:r>
              <w:rPr>
                <w:sz w:val="15"/>
              </w:rPr>
              <w:t>Monthly/manual dispatch</w:t>
            </w:r>
          </w:p>
        </w:tc>
        <w:tc>
          <w:tcPr>
            <w:tcW w:type="dxa" w:w="3816"/>
            <w:vAlign w:val="top"/>
            <w:tcMar>
              <w:top w:w="60" w:type="dxa"/>
              <w:start w:w="70" w:type="dxa"/>
              <w:bottom w:w="60" w:type="dxa"/>
              <w:end w:w="70" w:type="dxa"/>
            </w:tcMar>
          </w:tcPr>
          <w:p>
            <w:r>
              <w:rPr>
                <w:sz w:val="15"/>
              </w:rPr>
              <w:t>Build candidate data, train challenger, walk-forward evaluation</w:t>
            </w:r>
          </w:p>
        </w:tc>
        <w:tc>
          <w:tcPr>
            <w:tcW w:type="dxa" w:w="2304"/>
            <w:vAlign w:val="top"/>
            <w:tcMar>
              <w:top w:w="60" w:type="dxa"/>
              <w:start w:w="70" w:type="dxa"/>
              <w:bottom w:w="60" w:type="dxa"/>
              <w:end w:w="70" w:type="dxa"/>
            </w:tcMar>
          </w:tcPr>
          <w:p>
            <w:r>
              <w:rPr>
                <w:sz w:val="15"/>
              </w:rPr>
              <w:t>Never auto-promote</w:t>
            </w:r>
          </w:p>
        </w:tc>
      </w:tr>
      <w:tr>
        <w:tc>
          <w:tcPr>
            <w:tcW w:type="dxa" w:w="2088"/>
            <w:vAlign w:val="top"/>
            <w:tcMar>
              <w:top w:w="60" w:type="dxa"/>
              <w:start w:w="70" w:type="dxa"/>
              <w:bottom w:w="60" w:type="dxa"/>
              <w:end w:w="70" w:type="dxa"/>
            </w:tcMar>
          </w:tcPr>
          <w:p>
            <w:r>
              <w:rPr>
                <w:sz w:val="15"/>
              </w:rPr>
              <w:t>ci</w:t>
            </w:r>
          </w:p>
        </w:tc>
        <w:tc>
          <w:tcPr>
            <w:tcW w:type="dxa" w:w="1728"/>
            <w:vAlign w:val="top"/>
            <w:tcMar>
              <w:top w:w="60" w:type="dxa"/>
              <w:start w:w="70" w:type="dxa"/>
              <w:bottom w:w="60" w:type="dxa"/>
              <w:end w:w="70" w:type="dxa"/>
            </w:tcMar>
          </w:tcPr>
          <w:p>
            <w:r>
              <w:rPr>
                <w:sz w:val="15"/>
              </w:rPr>
              <w:t>Pull request/push</w:t>
            </w:r>
          </w:p>
        </w:tc>
        <w:tc>
          <w:tcPr>
            <w:tcW w:type="dxa" w:w="3816"/>
            <w:vAlign w:val="top"/>
            <w:tcMar>
              <w:top w:w="60" w:type="dxa"/>
              <w:start w:w="70" w:type="dxa"/>
              <w:bottom w:w="60" w:type="dxa"/>
              <w:end w:w="70" w:type="dxa"/>
            </w:tcMar>
          </w:tcPr>
          <w:p>
            <w:r>
              <w:rPr>
                <w:sz w:val="15"/>
              </w:rPr>
              <w:t>Lint, types, unit tests, migrations, integration tests</w:t>
            </w:r>
          </w:p>
        </w:tc>
        <w:tc>
          <w:tcPr>
            <w:tcW w:type="dxa" w:w="2304"/>
            <w:vAlign w:val="top"/>
            <w:tcMar>
              <w:top w:w="60" w:type="dxa"/>
              <w:start w:w="70" w:type="dxa"/>
              <w:bottom w:w="60" w:type="dxa"/>
              <w:end w:w="70" w:type="dxa"/>
            </w:tcMar>
          </w:tcPr>
          <w:p>
            <w:r>
              <w:rPr>
                <w:sz w:val="15"/>
              </w:rPr>
              <w:t>Block merge</w:t>
            </w:r>
          </w:p>
        </w:tc>
      </w:tr>
    </w:tbl>
    <w:p>
      <w:pPr>
        <w:pStyle w:val="Heading2"/>
      </w:pPr>
      <w:r>
        <w:t>15.2 Supabase Cron and Edge Functions</w:t>
      </w:r>
    </w:p>
    <w:p>
      <w:r>
        <w:rPr>
          <w:i w:val="0"/>
        </w:rPr>
        <w:t>Use Supabase Cron for lightweight periodic invocations, reminders, or health checks. It can invoke Edge Functions on a schedule. Heavy feature and model jobs remain in Python workflows for V1.</w:t>
      </w:r>
    </w:p>
    <w:p>
      <w:pPr>
        <w:pStyle w:val="ListBullet"/>
      </w:pPr>
      <w:r>
        <w:t>Create a daily check that verifies the GitHub pipeline completed and alerts on failure.</w:t>
      </w:r>
    </w:p>
    <w:p>
      <w:pPr>
        <w:pStyle w:val="ListBullet"/>
      </w:pPr>
      <w:r>
        <w:t>Schedule optional reminders for decisions reaching evaluation dates.</w:t>
      </w:r>
    </w:p>
    <w:p>
      <w:pPr>
        <w:pStyle w:val="ListBullet"/>
      </w:pPr>
      <w:r>
        <w:t>Use Edge Functions for secured notification delivery or small API integrations.</w:t>
      </w:r>
    </w:p>
    <w:p>
      <w:pPr>
        <w:pStyle w:val="ListBullet"/>
      </w:pPr>
      <w:r>
        <w:t>Record every job result in job_runs.</w:t>
      </w:r>
    </w:p>
    <w:p>
      <w:pPr>
        <w:pStyle w:val="Heading2"/>
      </w:pPr>
      <w:r>
        <w:t>15.3 Environment Variables</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 Web</w:t>
              <w:br/>
            </w:r>
            <w:r>
              <w:rPr>
                <w:rFonts w:ascii="Liberation Mono" w:hAnsi="Liberation Mono"/>
                <w:sz w:val="17"/>
              </w:rPr>
              <w:t>NEXT_PUBLIC_SUPABASE_URL=</w:t>
              <w:br/>
            </w:r>
            <w:r>
              <w:rPr>
                <w:rFonts w:ascii="Liberation Mono" w:hAnsi="Liberation Mono"/>
                <w:sz w:val="17"/>
              </w:rPr>
              <w:t>NEXT_PUBLIC_SUPABASE_ANON_KEY=</w:t>
              <w:br/>
            </w:r>
            <w:r>
              <w:rPr>
                <w:rFonts w:ascii="Liberation Mono" w:hAnsi="Liberation Mono"/>
                <w:sz w:val="17"/>
              </w:rPr>
              <w:t>SUPABASE_SERVICE_ROLE_KEY=        # server only</w:t>
              <w:br/>
            </w:r>
            <w:r>
              <w:rPr>
                <w:rFonts w:ascii="Liberation Mono" w:hAnsi="Liberation Mono"/>
                <w:sz w:val="17"/>
              </w:rPr>
              <w:t>QUANT_API_URL=</w:t>
              <w:br/>
            </w:r>
            <w:r>
              <w:rPr>
                <w:rFonts w:ascii="Liberation Mono" w:hAnsi="Liberation Mono"/>
                <w:sz w:val="17"/>
              </w:rPr>
              <w:t>QUANT_API_TOKEN=</w:t>
              <w:br/>
            </w:r>
            <w:r>
              <w:rPr>
                <w:rFonts w:ascii="Liberation Mono" w:hAnsi="Liberation Mono"/>
                <w:sz w:val="17"/>
              </w:rPr>
              <w:t>LLM_PROVIDER=</w:t>
              <w:br/>
            </w:r>
            <w:r>
              <w:rPr>
                <w:rFonts w:ascii="Liberation Mono" w:hAnsi="Liberation Mono"/>
                <w:sz w:val="17"/>
              </w:rPr>
              <w:t>LLM_API_KEY=</w:t>
              <w:br/>
            </w:r>
            <w:r>
              <w:rPr>
                <w:rFonts w:ascii="Liberation Mono" w:hAnsi="Liberation Mono"/>
                <w:sz w:val="17"/>
              </w:rPr>
              <w:t>MARKET_DATA_PROVIDER=</w:t>
              <w:br/>
            </w:r>
            <w:r>
              <w:rPr>
                <w:rFonts w:ascii="Liberation Mono" w:hAnsi="Liberation Mono"/>
                <w:sz w:val="17"/>
              </w:rPr>
              <w:t>MARKET_DATA_API_KEY=</w:t>
              <w:br/>
            </w:r>
            <w:r>
              <w:rPr>
                <w:rFonts w:ascii="Liberation Mono" w:hAnsi="Liberation Mono"/>
                <w:sz w:val="17"/>
              </w:rPr>
              <w:t>PRICE_MAX_AGE_SECONDS=900</w:t>
              <w:br/>
            </w:r>
            <w:r>
              <w:rPr>
                <w:rFonts w:ascii="Liberation Mono" w:hAnsi="Liberation Mono"/>
                <w:sz w:val="17"/>
              </w:rPr>
              <w:t>DEFAULT_BENCHMARK=SPY</w:t>
              <w:br/>
            </w:r>
            <w:r>
              <w:rPr>
                <w:rFonts w:ascii="Liberation Mono" w:hAnsi="Liberation Mono"/>
                <w:sz w:val="17"/>
              </w:rPr>
              <w:br/>
            </w:r>
            <w:r>
              <w:rPr>
                <w:rFonts w:ascii="Liberation Mono" w:hAnsi="Liberation Mono"/>
                <w:sz w:val="17"/>
              </w:rPr>
              <w:t># Quant/jobs</w:t>
              <w:br/>
            </w:r>
            <w:r>
              <w:rPr>
                <w:rFonts w:ascii="Liberation Mono" w:hAnsi="Liberation Mono"/>
                <w:sz w:val="17"/>
              </w:rPr>
              <w:t>SUPABASE_URL=</w:t>
              <w:br/>
            </w:r>
            <w:r>
              <w:rPr>
                <w:rFonts w:ascii="Liberation Mono" w:hAnsi="Liberation Mono"/>
                <w:sz w:val="17"/>
              </w:rPr>
              <w:t>SUPABASE_SERVICE_ROLE_KEY=</w:t>
              <w:br/>
            </w:r>
            <w:r>
              <w:rPr>
                <w:rFonts w:ascii="Liberation Mono" w:hAnsi="Liberation Mono"/>
                <w:sz w:val="17"/>
              </w:rPr>
              <w:t>MARKET_DATA_PROVIDER=</w:t>
              <w:br/>
            </w:r>
            <w:r>
              <w:rPr>
                <w:rFonts w:ascii="Liberation Mono" w:hAnsi="Liberation Mono"/>
                <w:sz w:val="17"/>
              </w:rPr>
              <w:t>MARKET_DATA_API_KEY=</w:t>
              <w:br/>
            </w:r>
            <w:r>
              <w:rPr>
                <w:rFonts w:ascii="Liberation Mono" w:hAnsi="Liberation Mono"/>
                <w:sz w:val="17"/>
              </w:rPr>
              <w:t>FRED_API_KEY=</w:t>
              <w:br/>
            </w:r>
            <w:r>
              <w:rPr>
                <w:rFonts w:ascii="Liberation Mono" w:hAnsi="Liberation Mono"/>
                <w:sz w:val="17"/>
              </w:rPr>
              <w:t>MODEL_ARTIFACT_BUCKET=models</w:t>
              <w:br/>
            </w:r>
            <w:r>
              <w:rPr>
                <w:rFonts w:ascii="Liberation Mono" w:hAnsi="Liberation Mono"/>
                <w:sz w:val="17"/>
              </w:rPr>
              <w:t>APP_TIMEZONE=America/New_York</w:t>
            </w:r>
          </w:p>
        </w:tc>
      </w:tr>
    </w:tbl>
    <w:p>
      <w:pPr>
        <w:spacing w:after="0"/>
      </w:pPr>
    </w:p>
    <w:p>
      <w:r>
        <w:br w:type="page"/>
      </w:r>
    </w:p>
    <w:p>
      <w:pPr>
        <w:pStyle w:val="Heading1"/>
      </w:pPr>
      <w:r>
        <w:t>16. Testing and Statistical Validation</w:t>
      </w:r>
    </w:p>
    <w:p>
      <w:pPr>
        <w:pStyle w:val="Heading2"/>
      </w:pPr>
      <w:r>
        <w:t>16.1 Software Tests</w:t>
      </w:r>
    </w:p>
    <w:p>
      <w:pPr>
        <w:pStyle w:val="ListBullet"/>
      </w:pPr>
      <w:r>
        <w:t>Unit tests for price-provider normalization, manual override, feature calculations, RSI, returns, drawdown, horizons, and ranking.</w:t>
      </w:r>
    </w:p>
    <w:p>
      <w:pPr>
        <w:pStyle w:val="ListBullet"/>
      </w:pPr>
      <w:r>
        <w:t>Contract tests for every external provider adapter using recorded fixtures.</w:t>
      </w:r>
    </w:p>
    <w:p>
      <w:pPr>
        <w:pStyle w:val="ListBullet"/>
      </w:pPr>
      <w:r>
        <w:t>Database migration and RLS tests.</w:t>
      </w:r>
    </w:p>
    <w:p>
      <w:pPr>
        <w:pStyle w:val="ListBullet"/>
      </w:pPr>
      <w:r>
        <w:t>Quant API schema and deterministic inference tests.</w:t>
      </w:r>
    </w:p>
    <w:p>
      <w:pPr>
        <w:pStyle w:val="ListBullet"/>
      </w:pPr>
      <w:r>
        <w:t>Integration test from quote resolution through forecast persistence and decision logging.</w:t>
      </w:r>
    </w:p>
    <w:p>
      <w:pPr>
        <w:pStyle w:val="ListBullet"/>
      </w:pPr>
      <w:r>
        <w:t>Scheduled outcome test using a controlled trading calendar.</w:t>
      </w:r>
    </w:p>
    <w:p>
      <w:pPr>
        <w:pStyle w:val="ListBullet"/>
      </w:pPr>
      <w:r>
        <w:t>Search test that verifies numerical answers come from structured tools, not LLM arithmetic.</w:t>
      </w:r>
    </w:p>
    <w:p>
      <w:pPr>
        <w:pStyle w:val="ListBullet"/>
      </w:pPr>
      <w:r>
        <w:t>End-to-end browser tests for the main user flows.</w:t>
      </w:r>
    </w:p>
    <w:p>
      <w:pPr>
        <w:pStyle w:val="Heading2"/>
      </w:pPr>
      <w:r>
        <w:t>16.2 Quantitative Tests</w:t>
      </w:r>
    </w:p>
    <w:p>
      <w:pPr>
        <w:pStyle w:val="ListBullet"/>
      </w:pPr>
      <w:r>
        <w:t>Walk-forward validation; never random train/test split for time series.</w:t>
      </w:r>
    </w:p>
    <w:p>
      <w:pPr>
        <w:pStyle w:val="ListBullet"/>
      </w:pPr>
      <w:r>
        <w:t>Locked holdout not used during model design.</w:t>
      </w:r>
    </w:p>
    <w:p>
      <w:pPr>
        <w:pStyle w:val="ListBullet"/>
      </w:pPr>
      <w:r>
        <w:t>Episode-level analog independence tests.</w:t>
      </w:r>
    </w:p>
    <w:p>
      <w:pPr>
        <w:pStyle w:val="ListBullet"/>
      </w:pPr>
      <w:r>
        <w:t>Point-in-time macro vintage tests.</w:t>
      </w:r>
    </w:p>
    <w:p>
      <w:pPr>
        <w:pStyle w:val="ListBullet"/>
      </w:pPr>
      <w:r>
        <w:t>Feature leakage audit.</w:t>
      </w:r>
    </w:p>
    <w:p>
      <w:pPr>
        <w:pStyle w:val="ListBullet"/>
      </w:pPr>
      <w:r>
        <w:t>Calibration plots and bucket counts.</w:t>
      </w:r>
    </w:p>
    <w:p>
      <w:pPr>
        <w:pStyle w:val="ListBullet"/>
      </w:pPr>
      <w:r>
        <w:t>Performance segmented by ETF, horizon, regime, and event trigger.</w:t>
      </w:r>
    </w:p>
    <w:p>
      <w:pPr>
        <w:pStyle w:val="ListBullet"/>
      </w:pPr>
      <w:r>
        <w:t>Sensitivity to reasonable feature weights and thresholds.</w:t>
      </w:r>
    </w:p>
    <w:p>
      <w:pPr>
        <w:pStyle w:val="ListBullet"/>
      </w:pPr>
      <w:r>
        <w:t>Comparison to unconditional base rates and simple mean-reversion rules.</w:t>
      </w:r>
    </w:p>
    <w:p>
      <w:pPr>
        <w:pStyle w:val="ListBullet"/>
      </w:pPr>
      <w:r>
        <w:t>Transaction-cost and adverse-excursion analysis.</w:t>
      </w:r>
    </w:p>
    <w:p>
      <w:pPr>
        <w:pStyle w:val="Heading2"/>
      </w:pPr>
      <w:r>
        <w:t>16.3 Critical Edge Cases</w:t>
      </w:r>
    </w:p>
    <w:p>
      <w:pPr>
        <w:pStyle w:val="ListBullet"/>
      </w:pPr>
      <w:r>
        <w:t>Provider quote unavailable; manual price supplied.</w:t>
      </w:r>
    </w:p>
    <w:p>
      <w:pPr>
        <w:pStyle w:val="ListBullet"/>
      </w:pPr>
      <w:r>
        <w:t>Provider quote stale; user accepts it knowingly.</w:t>
      </w:r>
    </w:p>
    <w:p>
      <w:pPr>
        <w:pStyle w:val="ListBullet"/>
      </w:pPr>
      <w:r>
        <w:t>Manual price differs materially from provider quote.</w:t>
      </w:r>
    </w:p>
    <w:p>
      <w:pPr>
        <w:pStyle w:val="ListBullet"/>
      </w:pPr>
      <w:r>
        <w:t>Ticker entered during pre-market or after-hours.</w:t>
      </w:r>
    </w:p>
    <w:p>
      <w:pPr>
        <w:pStyle w:val="ListBullet"/>
      </w:pPr>
      <w:r>
        <w:t>Missing benchmark quote.</w:t>
      </w:r>
    </w:p>
    <w:p>
      <w:pPr>
        <w:pStyle w:val="ListBullet"/>
      </w:pPr>
      <w:r>
        <w:t>ETF split or distribution causes apparent discontinuity.</w:t>
      </w:r>
    </w:p>
    <w:p>
      <w:pPr>
        <w:pStyle w:val="ListBullet"/>
      </w:pPr>
      <w:r>
        <w:t>Macro observation revised after forecast date.</w:t>
      </w:r>
    </w:p>
    <w:p>
      <w:pPr>
        <w:pStyle w:val="ListBullet"/>
      </w:pPr>
      <w:r>
        <w:t>News published after the forecast cutoff.</w:t>
      </w:r>
    </w:p>
    <w:p>
      <w:pPr>
        <w:pStyle w:val="ListBullet"/>
      </w:pPr>
      <w:r>
        <w:t>Insufficient analog episodes.</w:t>
      </w:r>
    </w:p>
    <w:p>
      <w:pPr>
        <w:pStyle w:val="ListBullet"/>
      </w:pPr>
      <w:r>
        <w:t>Models disagree materially.</w:t>
      </w:r>
    </w:p>
    <w:p>
      <w:pPr>
        <w:pStyle w:val="ListBullet"/>
      </w:pPr>
      <w:r>
        <w:t>No market session on evaluation date.</w:t>
      </w:r>
    </w:p>
    <w:p>
      <w:pPr>
        <w:pStyle w:val="ListBullet"/>
      </w:pPr>
      <w:r>
        <w:t>User decision entered after the market moves substantially.</w:t>
      </w:r>
    </w:p>
    <w:p>
      <w:r>
        <w:br w:type="page"/>
      </w:r>
    </w:p>
    <w:p>
      <w:pPr>
        <w:pStyle w:val="Heading1"/>
      </w:pPr>
      <w:r>
        <w:t>17. Build Roadmap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1F4E78"/>
          </w:tcPr>
          <w:p>
            <w:r>
              <w:rPr>
                <w:b/>
                <w:color w:val="FFFFFF"/>
                <w:sz w:val="16"/>
              </w:rPr>
              <w:t>Milestone</w:t>
            </w:r>
          </w:p>
        </w:tc>
        <w:tc>
          <w:tcPr>
            <w:tcW w:type="dxa" w:w="4608"/>
            <w:shd w:fill="1F4E78"/>
          </w:tcPr>
          <w:p>
            <w:r>
              <w:rPr>
                <w:b/>
                <w:color w:val="FFFFFF"/>
                <w:sz w:val="16"/>
              </w:rPr>
              <w:t>Scope</w:t>
            </w:r>
          </w:p>
        </w:tc>
        <w:tc>
          <w:tcPr>
            <w:tcW w:type="dxa" w:w="2376"/>
            <w:shd w:fill="1F4E78"/>
          </w:tcPr>
          <w:p>
            <w:r>
              <w:rPr>
                <w:b/>
                <w:color w:val="FFFFFF"/>
                <w:sz w:val="16"/>
              </w:rPr>
              <w:t>Exit criterion</w:t>
            </w:r>
          </w:p>
        </w:tc>
        <w:tc>
          <w:tcPr>
            <w:tcW w:type="dxa" w:w="1152"/>
            <w:shd w:fill="1F4E78"/>
          </w:tcPr>
          <w:p>
            <w:r>
              <w:rPr>
                <w:b/>
                <w:color w:val="FFFFFF"/>
                <w:sz w:val="16"/>
              </w:rPr>
              <w:t>Deferred</w:t>
            </w:r>
          </w:p>
        </w:tc>
      </w:tr>
      <w:tr>
        <w:tc>
          <w:tcPr>
            <w:tcW w:type="dxa" w:w="1944"/>
            <w:vAlign w:val="top"/>
            <w:tcMar>
              <w:top w:w="60" w:type="dxa"/>
              <w:start w:w="70" w:type="dxa"/>
              <w:bottom w:w="60" w:type="dxa"/>
              <w:end w:w="70" w:type="dxa"/>
            </w:tcMar>
          </w:tcPr>
          <w:p>
            <w:r>
              <w:rPr>
                <w:sz w:val="14"/>
              </w:rPr>
              <w:t>M0: Repository audit</w:t>
            </w:r>
          </w:p>
        </w:tc>
        <w:tc>
          <w:tcPr>
            <w:tcW w:type="dxa" w:w="4608"/>
            <w:vAlign w:val="top"/>
            <w:tcMar>
              <w:top w:w="60" w:type="dxa"/>
              <w:start w:w="70" w:type="dxa"/>
              <w:bottom w:w="60" w:type="dxa"/>
              <w:end w:w="70" w:type="dxa"/>
            </w:tcMar>
          </w:tcPr>
          <w:p>
            <w:r>
              <w:rPr>
                <w:sz w:val="14"/>
              </w:rPr>
              <w:t>Inspect repo, frameworks, Supabase link, CI, env conventions. Produce implementation plan without destructive rewrites.</w:t>
            </w:r>
          </w:p>
        </w:tc>
        <w:tc>
          <w:tcPr>
            <w:tcW w:type="dxa" w:w="2376"/>
            <w:vAlign w:val="top"/>
            <w:tcMar>
              <w:top w:w="60" w:type="dxa"/>
              <w:start w:w="70" w:type="dxa"/>
              <w:bottom w:w="60" w:type="dxa"/>
              <w:end w:w="70" w:type="dxa"/>
            </w:tcMar>
          </w:tcPr>
          <w:p>
            <w:r>
              <w:rPr>
                <w:sz w:val="14"/>
              </w:rPr>
              <w:t>Repo map and confirmed architecture.</w:t>
            </w:r>
          </w:p>
        </w:tc>
        <w:tc>
          <w:tcPr>
            <w:tcW w:type="dxa" w:w="1152"/>
            <w:vAlign w:val="top"/>
            <w:tcMar>
              <w:top w:w="60" w:type="dxa"/>
              <w:start w:w="70" w:type="dxa"/>
              <w:bottom w:w="60" w:type="dxa"/>
              <w:end w:w="70" w:type="dxa"/>
            </w:tcMar>
          </w:tcPr>
          <w:p>
            <w:r>
              <w:rPr>
                <w:sz w:val="14"/>
              </w:rPr>
              <w:t>No brokerage execution</w:t>
            </w:r>
          </w:p>
        </w:tc>
      </w:tr>
      <w:tr>
        <w:tc>
          <w:tcPr>
            <w:tcW w:type="dxa" w:w="1944"/>
            <w:vAlign w:val="top"/>
            <w:tcMar>
              <w:top w:w="60" w:type="dxa"/>
              <w:start w:w="70" w:type="dxa"/>
              <w:bottom w:w="60" w:type="dxa"/>
              <w:end w:w="70" w:type="dxa"/>
            </w:tcMar>
          </w:tcPr>
          <w:p>
            <w:r>
              <w:rPr>
                <w:sz w:val="14"/>
              </w:rPr>
              <w:t>M1: Foundation</w:t>
            </w:r>
          </w:p>
        </w:tc>
        <w:tc>
          <w:tcPr>
            <w:tcW w:type="dxa" w:w="4608"/>
            <w:vAlign w:val="top"/>
            <w:tcMar>
              <w:top w:w="60" w:type="dxa"/>
              <w:start w:w="70" w:type="dxa"/>
              <w:bottom w:w="60" w:type="dxa"/>
              <w:end w:w="70" w:type="dxa"/>
            </w:tcMar>
          </w:tcPr>
          <w:p>
            <w:r>
              <w:rPr>
                <w:sz w:val="14"/>
              </w:rPr>
              <w:t>Next.js auth shell, Supabase migrations, assets/universe, RLS, seed data, shared types.</w:t>
            </w:r>
          </w:p>
        </w:tc>
        <w:tc>
          <w:tcPr>
            <w:tcW w:type="dxa" w:w="2376"/>
            <w:vAlign w:val="top"/>
            <w:tcMar>
              <w:top w:w="60" w:type="dxa"/>
              <w:start w:w="70" w:type="dxa"/>
              <w:bottom w:w="60" w:type="dxa"/>
              <w:end w:w="70" w:type="dxa"/>
            </w:tcMar>
          </w:tcPr>
          <w:p>
            <w:r>
              <w:rPr>
                <w:sz w:val="14"/>
              </w:rPr>
              <w:t>Authenticated app and database.</w:t>
            </w:r>
          </w:p>
        </w:tc>
        <w:tc>
          <w:tcPr>
            <w:tcW w:type="dxa" w:w="1152"/>
            <w:vAlign w:val="top"/>
            <w:tcMar>
              <w:top w:w="60" w:type="dxa"/>
              <w:start w:w="70" w:type="dxa"/>
              <w:bottom w:w="60" w:type="dxa"/>
              <w:end w:w="70" w:type="dxa"/>
            </w:tcMar>
          </w:tcPr>
          <w:p>
            <w:r>
              <w:rPr>
                <w:sz w:val="14"/>
              </w:rPr>
              <w:t>No brokerage execution</w:t>
            </w:r>
          </w:p>
        </w:tc>
      </w:tr>
      <w:tr>
        <w:tc>
          <w:tcPr>
            <w:tcW w:type="dxa" w:w="1944"/>
            <w:vAlign w:val="top"/>
            <w:tcMar>
              <w:top w:w="60" w:type="dxa"/>
              <w:start w:w="70" w:type="dxa"/>
              <w:bottom w:w="60" w:type="dxa"/>
              <w:end w:w="70" w:type="dxa"/>
            </w:tcMar>
          </w:tcPr>
          <w:p>
            <w:r>
              <w:rPr>
                <w:sz w:val="14"/>
              </w:rPr>
              <w:t>M2: Prices and journal</w:t>
            </w:r>
          </w:p>
        </w:tc>
        <w:tc>
          <w:tcPr>
            <w:tcW w:type="dxa" w:w="4608"/>
            <w:vAlign w:val="top"/>
            <w:tcMar>
              <w:top w:w="60" w:type="dxa"/>
              <w:start w:w="70" w:type="dxa"/>
              <w:bottom w:w="60" w:type="dxa"/>
              <w:end w:w="70" w:type="dxa"/>
            </w:tcMar>
          </w:tcPr>
          <w:p>
            <w:r>
              <w:rPr>
                <w:sz w:val="14"/>
              </w:rPr>
              <w:t>Provider adapter, quote/manual override, historical bars, decision form, history.</w:t>
            </w:r>
          </w:p>
        </w:tc>
        <w:tc>
          <w:tcPr>
            <w:tcW w:type="dxa" w:w="2376"/>
            <w:vAlign w:val="top"/>
            <w:tcMar>
              <w:top w:w="60" w:type="dxa"/>
              <w:start w:w="70" w:type="dxa"/>
              <w:bottom w:w="60" w:type="dxa"/>
              <w:end w:w="70" w:type="dxa"/>
            </w:tcMar>
          </w:tcPr>
          <w:p>
            <w:r>
              <w:rPr>
                <w:sz w:val="14"/>
              </w:rPr>
              <w:t>User can log a decision at a real or manual price.</w:t>
            </w:r>
          </w:p>
        </w:tc>
        <w:tc>
          <w:tcPr>
            <w:tcW w:type="dxa" w:w="1152"/>
            <w:vAlign w:val="top"/>
            <w:tcMar>
              <w:top w:w="60" w:type="dxa"/>
              <w:start w:w="70" w:type="dxa"/>
              <w:bottom w:w="60" w:type="dxa"/>
              <w:end w:w="70" w:type="dxa"/>
            </w:tcMar>
          </w:tcPr>
          <w:p>
            <w:r>
              <w:rPr>
                <w:sz w:val="14"/>
              </w:rPr>
              <w:t>No brokerage execution</w:t>
            </w:r>
          </w:p>
        </w:tc>
      </w:tr>
      <w:tr>
        <w:tc>
          <w:tcPr>
            <w:tcW w:type="dxa" w:w="1944"/>
            <w:vAlign w:val="top"/>
            <w:tcMar>
              <w:top w:w="60" w:type="dxa"/>
              <w:start w:w="70" w:type="dxa"/>
              <w:bottom w:w="60" w:type="dxa"/>
              <w:end w:w="70" w:type="dxa"/>
            </w:tcMar>
          </w:tcPr>
          <w:p>
            <w:r>
              <w:rPr>
                <w:sz w:val="14"/>
              </w:rPr>
              <w:t>M3: Baseline analytics</w:t>
            </w:r>
          </w:p>
        </w:tc>
        <w:tc>
          <w:tcPr>
            <w:tcW w:type="dxa" w:w="4608"/>
            <w:vAlign w:val="top"/>
            <w:tcMar>
              <w:top w:w="60" w:type="dxa"/>
              <w:start w:w="70" w:type="dxa"/>
              <w:bottom w:w="60" w:type="dxa"/>
              <w:end w:w="70" w:type="dxa"/>
            </w:tcMar>
          </w:tcPr>
          <w:p>
            <w:r>
              <w:rPr>
                <w:sz w:val="14"/>
              </w:rPr>
              <w:t>Features, regime rules, analog search, simple calibrated baseline, forecast persistence.</w:t>
            </w:r>
          </w:p>
        </w:tc>
        <w:tc>
          <w:tcPr>
            <w:tcW w:type="dxa" w:w="2376"/>
            <w:vAlign w:val="top"/>
            <w:tcMar>
              <w:top w:w="60" w:type="dxa"/>
              <w:start w:w="70" w:type="dxa"/>
              <w:bottom w:w="60" w:type="dxa"/>
              <w:end w:w="70" w:type="dxa"/>
            </w:tcMar>
          </w:tcPr>
          <w:p>
            <w:r>
              <w:rPr>
                <w:sz w:val="14"/>
              </w:rPr>
              <w:t>On-demand evidence-based forecast.</w:t>
            </w:r>
          </w:p>
        </w:tc>
        <w:tc>
          <w:tcPr>
            <w:tcW w:type="dxa" w:w="1152"/>
            <w:vAlign w:val="top"/>
            <w:tcMar>
              <w:top w:w="60" w:type="dxa"/>
              <w:start w:w="70" w:type="dxa"/>
              <w:bottom w:w="60" w:type="dxa"/>
              <w:end w:w="70" w:type="dxa"/>
            </w:tcMar>
          </w:tcPr>
          <w:p>
            <w:r>
              <w:rPr>
                <w:sz w:val="14"/>
              </w:rPr>
              <w:t>No brokerage execution</w:t>
            </w:r>
          </w:p>
        </w:tc>
      </w:tr>
      <w:tr>
        <w:tc>
          <w:tcPr>
            <w:tcW w:type="dxa" w:w="1944"/>
            <w:vAlign w:val="top"/>
            <w:tcMar>
              <w:top w:w="60" w:type="dxa"/>
              <w:start w:w="70" w:type="dxa"/>
              <w:bottom w:w="60" w:type="dxa"/>
              <w:end w:w="70" w:type="dxa"/>
            </w:tcMar>
          </w:tcPr>
          <w:p>
            <w:r>
              <w:rPr>
                <w:sz w:val="14"/>
              </w:rPr>
              <w:t>M4: Daily scanner</w:t>
            </w:r>
          </w:p>
        </w:tc>
        <w:tc>
          <w:tcPr>
            <w:tcW w:type="dxa" w:w="4608"/>
            <w:vAlign w:val="top"/>
            <w:tcMar>
              <w:top w:w="60" w:type="dxa"/>
              <w:start w:w="70" w:type="dxa"/>
              <w:bottom w:w="60" w:type="dxa"/>
              <w:end w:w="70" w:type="dxa"/>
            </w:tcMar>
          </w:tcPr>
          <w:p>
            <w:r>
              <w:rPr>
                <w:sz w:val="14"/>
              </w:rPr>
              <w:t>Scheduled ingestion, event triggers, ranking, Today’s Setups.</w:t>
            </w:r>
          </w:p>
        </w:tc>
        <w:tc>
          <w:tcPr>
            <w:tcW w:type="dxa" w:w="2376"/>
            <w:vAlign w:val="top"/>
            <w:tcMar>
              <w:top w:w="60" w:type="dxa"/>
              <w:start w:w="70" w:type="dxa"/>
              <w:bottom w:w="60" w:type="dxa"/>
              <w:end w:w="70" w:type="dxa"/>
            </w:tcMar>
          </w:tcPr>
          <w:p>
            <w:r>
              <w:rPr>
                <w:sz w:val="14"/>
              </w:rPr>
              <w:t>End-of-day opportunity feed.</w:t>
            </w:r>
          </w:p>
        </w:tc>
        <w:tc>
          <w:tcPr>
            <w:tcW w:type="dxa" w:w="1152"/>
            <w:vAlign w:val="top"/>
            <w:tcMar>
              <w:top w:w="60" w:type="dxa"/>
              <w:start w:w="70" w:type="dxa"/>
              <w:bottom w:w="60" w:type="dxa"/>
              <w:end w:w="70" w:type="dxa"/>
            </w:tcMar>
          </w:tcPr>
          <w:p>
            <w:r>
              <w:rPr>
                <w:sz w:val="14"/>
              </w:rPr>
              <w:t>No brokerage execution</w:t>
            </w:r>
          </w:p>
        </w:tc>
      </w:tr>
      <w:tr>
        <w:tc>
          <w:tcPr>
            <w:tcW w:type="dxa" w:w="1944"/>
            <w:vAlign w:val="top"/>
            <w:tcMar>
              <w:top w:w="60" w:type="dxa"/>
              <w:start w:w="70" w:type="dxa"/>
              <w:bottom w:w="60" w:type="dxa"/>
              <w:end w:w="70" w:type="dxa"/>
            </w:tcMar>
          </w:tcPr>
          <w:p>
            <w:r>
              <w:rPr>
                <w:sz w:val="14"/>
              </w:rPr>
              <w:t>M5: Outcomes and scorecards</w:t>
            </w:r>
          </w:p>
        </w:tc>
        <w:tc>
          <w:tcPr>
            <w:tcW w:type="dxa" w:w="4608"/>
            <w:vAlign w:val="top"/>
            <w:tcMar>
              <w:top w:w="60" w:type="dxa"/>
              <w:start w:w="70" w:type="dxa"/>
              <w:bottom w:w="60" w:type="dxa"/>
              <w:end w:w="70" w:type="dxa"/>
            </w:tcMar>
          </w:tcPr>
          <w:p>
            <w:r>
              <w:rPr>
                <w:sz w:val="14"/>
              </w:rPr>
              <w:t>Scheduled scoring, calibration, model/user history.</w:t>
            </w:r>
          </w:p>
        </w:tc>
        <w:tc>
          <w:tcPr>
            <w:tcW w:type="dxa" w:w="2376"/>
            <w:vAlign w:val="top"/>
            <w:tcMar>
              <w:top w:w="60" w:type="dxa"/>
              <w:start w:w="70" w:type="dxa"/>
              <w:bottom w:w="60" w:type="dxa"/>
              <w:end w:w="70" w:type="dxa"/>
            </w:tcMar>
          </w:tcPr>
          <w:p>
            <w:r>
              <w:rPr>
                <w:sz w:val="14"/>
              </w:rPr>
              <w:t>Model said / user did / reality view.</w:t>
            </w:r>
          </w:p>
        </w:tc>
        <w:tc>
          <w:tcPr>
            <w:tcW w:type="dxa" w:w="1152"/>
            <w:vAlign w:val="top"/>
            <w:tcMar>
              <w:top w:w="60" w:type="dxa"/>
              <w:start w:w="70" w:type="dxa"/>
              <w:bottom w:w="60" w:type="dxa"/>
              <w:end w:w="70" w:type="dxa"/>
            </w:tcMar>
          </w:tcPr>
          <w:p>
            <w:r>
              <w:rPr>
                <w:sz w:val="14"/>
              </w:rPr>
              <w:t>No brokerage execution</w:t>
            </w:r>
          </w:p>
        </w:tc>
      </w:tr>
      <w:tr>
        <w:tc>
          <w:tcPr>
            <w:tcW w:type="dxa" w:w="1944"/>
            <w:vAlign w:val="top"/>
            <w:tcMar>
              <w:top w:w="60" w:type="dxa"/>
              <w:start w:w="70" w:type="dxa"/>
              <w:bottom w:w="60" w:type="dxa"/>
              <w:end w:w="70" w:type="dxa"/>
            </w:tcMar>
          </w:tcPr>
          <w:p>
            <w:r>
              <w:rPr>
                <w:sz w:val="14"/>
              </w:rPr>
              <w:t>M6: Search</w:t>
            </w:r>
          </w:p>
        </w:tc>
        <w:tc>
          <w:tcPr>
            <w:tcW w:type="dxa" w:w="4608"/>
            <w:vAlign w:val="top"/>
            <w:tcMar>
              <w:top w:w="60" w:type="dxa"/>
              <w:start w:w="70" w:type="dxa"/>
              <w:bottom w:w="60" w:type="dxa"/>
              <w:end w:w="70" w:type="dxa"/>
            </w:tcMar>
          </w:tcPr>
          <w:p>
            <w:r>
              <w:rPr>
                <w:sz w:val="14"/>
              </w:rPr>
              <w:t>SQL tools, vector retrieval, grounded LLM explanations, evidence drawer.</w:t>
            </w:r>
          </w:p>
        </w:tc>
        <w:tc>
          <w:tcPr>
            <w:tcW w:type="dxa" w:w="2376"/>
            <w:vAlign w:val="top"/>
            <w:tcMar>
              <w:top w:w="60" w:type="dxa"/>
              <w:start w:w="70" w:type="dxa"/>
              <w:bottom w:w="60" w:type="dxa"/>
              <w:end w:w="70" w:type="dxa"/>
            </w:tcMar>
          </w:tcPr>
          <w:p>
            <w:r>
              <w:rPr>
                <w:sz w:val="14"/>
              </w:rPr>
              <w:t>Ask Market Memory works over stored data.</w:t>
            </w:r>
          </w:p>
        </w:tc>
        <w:tc>
          <w:tcPr>
            <w:tcW w:type="dxa" w:w="1152"/>
            <w:vAlign w:val="top"/>
            <w:tcMar>
              <w:top w:w="60" w:type="dxa"/>
              <w:start w:w="70" w:type="dxa"/>
              <w:bottom w:w="60" w:type="dxa"/>
              <w:end w:w="70" w:type="dxa"/>
            </w:tcMar>
          </w:tcPr>
          <w:p>
            <w:r>
              <w:rPr>
                <w:sz w:val="14"/>
              </w:rPr>
              <w:t>No brokerage execution</w:t>
            </w:r>
          </w:p>
        </w:tc>
      </w:tr>
      <w:tr>
        <w:tc>
          <w:tcPr>
            <w:tcW w:type="dxa" w:w="1944"/>
            <w:vAlign w:val="top"/>
            <w:tcMar>
              <w:top w:w="60" w:type="dxa"/>
              <w:start w:w="70" w:type="dxa"/>
              <w:bottom w:w="60" w:type="dxa"/>
              <w:end w:w="70" w:type="dxa"/>
            </w:tcMar>
          </w:tcPr>
          <w:p>
            <w:r>
              <w:rPr>
                <w:sz w:val="14"/>
              </w:rPr>
              <w:t>M7: Controlled refinement</w:t>
            </w:r>
          </w:p>
        </w:tc>
        <w:tc>
          <w:tcPr>
            <w:tcW w:type="dxa" w:w="4608"/>
            <w:vAlign w:val="top"/>
            <w:tcMar>
              <w:top w:w="60" w:type="dxa"/>
              <w:start w:w="70" w:type="dxa"/>
              <w:bottom w:w="60" w:type="dxa"/>
              <w:end w:w="70" w:type="dxa"/>
            </w:tcMar>
          </w:tcPr>
          <w:p>
            <w:r>
              <w:rPr>
                <w:sz w:val="14"/>
              </w:rPr>
              <w:t>Model registry, challenger training, walk-forward report, shadow mode, manual promotion.</w:t>
            </w:r>
          </w:p>
        </w:tc>
        <w:tc>
          <w:tcPr>
            <w:tcW w:type="dxa" w:w="2376"/>
            <w:vAlign w:val="top"/>
            <w:tcMar>
              <w:top w:w="60" w:type="dxa"/>
              <w:start w:w="70" w:type="dxa"/>
              <w:bottom w:w="60" w:type="dxa"/>
              <w:end w:w="70" w:type="dxa"/>
            </w:tcMar>
          </w:tcPr>
          <w:p>
            <w:r>
              <w:rPr>
                <w:sz w:val="14"/>
              </w:rPr>
              <w:t>Safe learning loop.</w:t>
            </w:r>
          </w:p>
        </w:tc>
        <w:tc>
          <w:tcPr>
            <w:tcW w:type="dxa" w:w="1152"/>
            <w:vAlign w:val="top"/>
            <w:tcMar>
              <w:top w:w="60" w:type="dxa"/>
              <w:start w:w="70" w:type="dxa"/>
              <w:bottom w:w="60" w:type="dxa"/>
              <w:end w:w="70" w:type="dxa"/>
            </w:tcMar>
          </w:tcPr>
          <w:p>
            <w:r>
              <w:rPr>
                <w:sz w:val="14"/>
              </w:rPr>
              <w:t>No brokerage execution</w:t>
            </w:r>
          </w:p>
        </w:tc>
      </w:tr>
      <w:tr>
        <w:tc>
          <w:tcPr>
            <w:tcW w:type="dxa" w:w="1944"/>
            <w:vAlign w:val="top"/>
            <w:tcMar>
              <w:top w:w="60" w:type="dxa"/>
              <w:start w:w="70" w:type="dxa"/>
              <w:bottom w:w="60" w:type="dxa"/>
              <w:end w:w="70" w:type="dxa"/>
            </w:tcMar>
          </w:tcPr>
          <w:p>
            <w:r>
              <w:rPr>
                <w:sz w:val="14"/>
              </w:rPr>
              <w:t>M8: Hardening</w:t>
            </w:r>
          </w:p>
        </w:tc>
        <w:tc>
          <w:tcPr>
            <w:tcW w:type="dxa" w:w="4608"/>
            <w:vAlign w:val="top"/>
            <w:tcMar>
              <w:top w:w="60" w:type="dxa"/>
              <w:start w:w="70" w:type="dxa"/>
              <w:bottom w:w="60" w:type="dxa"/>
              <w:end w:w="70" w:type="dxa"/>
            </w:tcMar>
          </w:tcPr>
          <w:p>
            <w:r>
              <w:rPr>
                <w:sz w:val="14"/>
              </w:rPr>
              <w:t>Data-quality dashboards, notifications, backups, runbook, security review.</w:t>
            </w:r>
          </w:p>
        </w:tc>
        <w:tc>
          <w:tcPr>
            <w:tcW w:type="dxa" w:w="2376"/>
            <w:vAlign w:val="top"/>
            <w:tcMar>
              <w:top w:w="60" w:type="dxa"/>
              <w:start w:w="70" w:type="dxa"/>
              <w:bottom w:w="60" w:type="dxa"/>
              <w:end w:w="70" w:type="dxa"/>
            </w:tcMar>
          </w:tcPr>
          <w:p>
            <w:r>
              <w:rPr>
                <w:sz w:val="14"/>
              </w:rPr>
              <w:t>Reliable personal production use.</w:t>
            </w:r>
          </w:p>
        </w:tc>
        <w:tc>
          <w:tcPr>
            <w:tcW w:type="dxa" w:w="1152"/>
            <w:vAlign w:val="top"/>
            <w:tcMar>
              <w:top w:w="60" w:type="dxa"/>
              <w:start w:w="70" w:type="dxa"/>
              <w:bottom w:w="60" w:type="dxa"/>
              <w:end w:w="70" w:type="dxa"/>
            </w:tcMar>
          </w:tcPr>
          <w:p>
            <w:r>
              <w:rPr>
                <w:sz w:val="14"/>
              </w:rPr>
              <w:t>No brokerage execution</w:t>
            </w:r>
          </w:p>
        </w:tc>
      </w:tr>
    </w:tbl>
    <w:p>
      <w:pPr>
        <w:pStyle w:val="Heading2"/>
      </w:pPr>
      <w:r>
        <w:t>17.1 MVP Definition</w:t>
      </w:r>
    </w:p>
    <w:p>
      <w:r>
        <w:rPr>
          <w:i w:val="0"/>
        </w:rPr>
        <w:t>The MVP is complete when the user can:</w:t>
      </w:r>
    </w:p>
    <w:p>
      <w:pPr>
        <w:ind w:left="346" w:hanging="346"/>
      </w:pPr>
      <w:r>
        <w:rPr>
          <w:b w:val="0"/>
        </w:rPr>
        <w:t xml:space="preserve">1. </w:t>
      </w:r>
      <w:r>
        <w:t>Sign in and view a configured ETF universe.</w:t>
      </w:r>
    </w:p>
    <w:p>
      <w:pPr>
        <w:ind w:left="346" w:hanging="346"/>
      </w:pPr>
      <w:r>
        <w:rPr>
          <w:b w:val="0"/>
        </w:rPr>
        <w:t xml:space="preserve">2. </w:t>
      </w:r>
      <w:r>
        <w:t>Enter SMH or another ETF, retrieve a quote, or enter a price manually.</w:t>
      </w:r>
    </w:p>
    <w:p>
      <w:pPr>
        <w:ind w:left="346" w:hanging="346"/>
      </w:pPr>
      <w:r>
        <w:rPr>
          <w:b w:val="0"/>
        </w:rPr>
        <w:t xml:space="preserve">3. </w:t>
      </w:r>
      <w:r>
        <w:t>Run a point-in-time analysis that saves the input snapshot and model version.</w:t>
      </w:r>
    </w:p>
    <w:p>
      <w:pPr>
        <w:ind w:left="346" w:hanging="346"/>
      </w:pPr>
      <w:r>
        <w:rPr>
          <w:b w:val="0"/>
        </w:rPr>
        <w:t xml:space="preserve">4. </w:t>
      </w:r>
      <w:r>
        <w:t>See a probability forecast, return range, downside range, regime, analogs, drivers, risks, and data-quality warnings.</w:t>
      </w:r>
    </w:p>
    <w:p>
      <w:pPr>
        <w:ind w:left="346" w:hanging="346"/>
      </w:pPr>
      <w:r>
        <w:rPr>
          <w:b w:val="0"/>
        </w:rPr>
        <w:t xml:space="preserve">5. </w:t>
      </w:r>
      <w:r>
        <w:t>Log Buy, Sell, Hold, Watch, or Stand Down with thesis and position details.</w:t>
      </w:r>
    </w:p>
    <w:p>
      <w:pPr>
        <w:ind w:left="346" w:hanging="346"/>
      </w:pPr>
      <w:r>
        <w:rPr>
          <w:b w:val="0"/>
        </w:rPr>
        <w:t xml:space="preserve">6. </w:t>
      </w:r>
      <w:r>
        <w:t>Open a prior forecast and see what the model said, what the user did, and what happened at matured horizons.</w:t>
      </w:r>
    </w:p>
    <w:p>
      <w:pPr>
        <w:ind w:left="346" w:hanging="346"/>
      </w:pPr>
      <w:r>
        <w:rPr>
          <w:b w:val="0"/>
        </w:rPr>
        <w:t xml:space="preserve">7. </w:t>
      </w:r>
      <w:r>
        <w:t>View a daily scanner list generated from completed market data.</w:t>
      </w:r>
    </w:p>
    <w:p>
      <w:pPr>
        <w:ind w:left="346" w:hanging="346"/>
      </w:pPr>
      <w:r>
        <w:rPr>
          <w:b w:val="0"/>
        </w:rPr>
        <w:t xml:space="preserve">8. </w:t>
      </w:r>
      <w:r>
        <w:t>Ask basic natural-language questions about forecasts and decisions with inspectable evidence.</w:t>
      </w:r>
    </w:p>
    <w:p>
      <w:pPr>
        <w:ind w:left="346" w:hanging="346"/>
      </w:pPr>
      <w:r>
        <w:rPr>
          <w:b w:val="0"/>
        </w:rPr>
        <w:t xml:space="preserve">9. </w:t>
      </w:r>
      <w:r>
        <w:t>View calibration and personal-decision scorecards.</w:t>
      </w:r>
    </w:p>
    <w:p>
      <w:pPr>
        <w:ind w:left="346" w:hanging="346"/>
      </w:pPr>
      <w:r>
        <w:rPr>
          <w:b w:val="0"/>
        </w:rPr>
        <w:t xml:space="preserve">10. </w:t>
      </w:r>
      <w:r>
        <w:t>Run a challenger evaluation without automatically changing the champion.</w:t>
      </w:r>
    </w:p>
    <w:p>
      <w:pPr>
        <w:pStyle w:val="Heading2"/>
      </w:pPr>
      <w:r>
        <w:t>17.2 Explicitly Deferred</w:t>
      </w:r>
    </w:p>
    <w:p>
      <w:pPr>
        <w:pStyle w:val="ListBullet"/>
      </w:pPr>
      <w:r>
        <w:t>Brokerage connection and automated execution.</w:t>
      </w:r>
    </w:p>
    <w:p>
      <w:pPr>
        <w:pStyle w:val="ListBullet"/>
      </w:pPr>
      <w:r>
        <w:t>Tick-level or same-time intraday historical analogs.</w:t>
      </w:r>
    </w:p>
    <w:p>
      <w:pPr>
        <w:pStyle w:val="ListBullet"/>
      </w:pPr>
      <w:r>
        <w:t>Individual stocks and earnings-prediction models.</w:t>
      </w:r>
    </w:p>
    <w:p>
      <w:pPr>
        <w:pStyle w:val="ListBullet"/>
      </w:pPr>
      <w:r>
        <w:t>Options surfaces and complex derivatives.</w:t>
      </w:r>
    </w:p>
    <w:p>
      <w:pPr>
        <w:pStyle w:val="ListBullet"/>
      </w:pPr>
      <w:r>
        <w:t>Reinforcement learning and autonomous self-modification.</w:t>
      </w:r>
    </w:p>
    <w:p>
      <w:pPr>
        <w:pStyle w:val="ListBullet"/>
      </w:pPr>
      <w:r>
        <w:t>Satellite, shipping, or expensive alternative data.</w:t>
      </w:r>
    </w:p>
    <w:p>
      <w:pPr>
        <w:pStyle w:val="ListBullet"/>
      </w:pPr>
      <w:r>
        <w:t>Multi-user billing and public distribution.</w:t>
      </w:r>
    </w:p>
    <w:p>
      <w:pPr>
        <w:pStyle w:val="ListBullet"/>
      </w:pPr>
      <w:r>
        <w:t>Institutional compliance and client reporting.</w:t>
      </w:r>
    </w:p>
    <w:p>
      <w:r>
        <w:br w:type="page"/>
      </w:r>
    </w:p>
    <w:p>
      <w:pPr>
        <w:pStyle w:val="Heading1"/>
      </w:pPr>
      <w:r>
        <w:t>18. Acceptance Criteria and Definition of Done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F4E78"/>
          </w:tcPr>
          <w:p>
            <w:r>
              <w:rPr>
                <w:b/>
                <w:color w:val="FFFFFF"/>
                <w:sz w:val="16"/>
              </w:rPr>
              <w:t>Area</w:t>
            </w:r>
          </w:p>
        </w:tc>
        <w:tc>
          <w:tcPr>
            <w:tcW w:type="dxa" w:w="3528"/>
            <w:shd w:fill="1F4E78"/>
          </w:tcPr>
          <w:p>
            <w:r>
              <w:rPr>
                <w:b/>
                <w:color w:val="FFFFFF"/>
                <w:sz w:val="16"/>
              </w:rPr>
              <w:t>Required behavior</w:t>
            </w:r>
          </w:p>
        </w:tc>
        <w:tc>
          <w:tcPr>
            <w:tcW w:type="dxa" w:w="2592"/>
            <w:shd w:fill="1F4E78"/>
          </w:tcPr>
          <w:p>
            <w:r>
              <w:rPr>
                <w:b/>
                <w:color w:val="FFFFFF"/>
                <w:sz w:val="16"/>
              </w:rPr>
              <w:t>Test</w:t>
            </w:r>
          </w:p>
        </w:tc>
        <w:tc>
          <w:tcPr>
            <w:tcW w:type="dxa" w:w="2592"/>
            <w:shd w:fill="1F4E78"/>
          </w:tcPr>
          <w:p>
            <w:r>
              <w:rPr>
                <w:b/>
                <w:color w:val="FFFFFF"/>
                <w:sz w:val="16"/>
              </w:rPr>
              <w:t>Pass condition</w:t>
            </w:r>
          </w:p>
        </w:tc>
      </w:tr>
      <w:tr>
        <w:tc>
          <w:tcPr>
            <w:tcW w:type="dxa" w:w="1440"/>
            <w:vAlign w:val="top"/>
            <w:tcMar>
              <w:top w:w="60" w:type="dxa"/>
              <w:start w:w="70" w:type="dxa"/>
              <w:bottom w:w="60" w:type="dxa"/>
              <w:end w:w="70" w:type="dxa"/>
            </w:tcMar>
          </w:tcPr>
          <w:p>
            <w:r>
              <w:rPr>
                <w:sz w:val="14"/>
              </w:rPr>
              <w:t>Price</w:t>
            </w:r>
          </w:p>
        </w:tc>
        <w:tc>
          <w:tcPr>
            <w:tcW w:type="dxa" w:w="3528"/>
            <w:vAlign w:val="top"/>
            <w:tcMar>
              <w:top w:w="60" w:type="dxa"/>
              <w:start w:w="70" w:type="dxa"/>
              <w:bottom w:w="60" w:type="dxa"/>
              <w:end w:w="70" w:type="dxa"/>
            </w:tcMar>
          </w:tcPr>
          <w:p>
            <w:r>
              <w:rPr>
                <w:sz w:val="14"/>
              </w:rPr>
              <w:t>Fetch or manual input; store provenance</w:t>
            </w:r>
          </w:p>
        </w:tc>
        <w:tc>
          <w:tcPr>
            <w:tcW w:type="dxa" w:w="2592"/>
            <w:vAlign w:val="top"/>
            <w:tcMar>
              <w:top w:w="60" w:type="dxa"/>
              <w:start w:w="70" w:type="dxa"/>
              <w:bottom w:w="60" w:type="dxa"/>
              <w:end w:w="70" w:type="dxa"/>
            </w:tcMar>
          </w:tcPr>
          <w:p>
            <w:r>
              <w:rPr>
                <w:sz w:val="14"/>
              </w:rPr>
              <w:t>Provider failure + manual fallback</w:t>
            </w:r>
          </w:p>
        </w:tc>
        <w:tc>
          <w:tcPr>
            <w:tcW w:type="dxa" w:w="2592"/>
            <w:vAlign w:val="top"/>
            <w:tcMar>
              <w:top w:w="60" w:type="dxa"/>
              <w:start w:w="70" w:type="dxa"/>
              <w:bottom w:w="60" w:type="dxa"/>
              <w:end w:w="70" w:type="dxa"/>
            </w:tcMar>
          </w:tcPr>
          <w:p>
            <w:r>
              <w:rPr>
                <w:sz w:val="14"/>
              </w:rPr>
              <w:t>Analysis succeeds and labels manual source</w:t>
            </w:r>
          </w:p>
        </w:tc>
      </w:tr>
      <w:tr>
        <w:tc>
          <w:tcPr>
            <w:tcW w:type="dxa" w:w="1440"/>
            <w:vAlign w:val="top"/>
            <w:tcMar>
              <w:top w:w="60" w:type="dxa"/>
              <w:start w:w="70" w:type="dxa"/>
              <w:bottom w:w="60" w:type="dxa"/>
              <w:end w:w="70" w:type="dxa"/>
            </w:tcMar>
          </w:tcPr>
          <w:p>
            <w:r>
              <w:rPr>
                <w:sz w:val="14"/>
              </w:rPr>
              <w:t>Forecast</w:t>
            </w:r>
          </w:p>
        </w:tc>
        <w:tc>
          <w:tcPr>
            <w:tcW w:type="dxa" w:w="3528"/>
            <w:vAlign w:val="top"/>
            <w:tcMar>
              <w:top w:w="60" w:type="dxa"/>
              <w:start w:w="70" w:type="dxa"/>
              <w:bottom w:w="60" w:type="dxa"/>
              <w:end w:w="70" w:type="dxa"/>
            </w:tcMar>
          </w:tcPr>
          <w:p>
            <w:r>
              <w:rPr>
                <w:sz w:val="14"/>
              </w:rPr>
              <w:t>Immutable, versioned, replayable</w:t>
            </w:r>
          </w:p>
        </w:tc>
        <w:tc>
          <w:tcPr>
            <w:tcW w:type="dxa" w:w="2592"/>
            <w:vAlign w:val="top"/>
            <w:tcMar>
              <w:top w:w="60" w:type="dxa"/>
              <w:start w:w="70" w:type="dxa"/>
              <w:bottom w:w="60" w:type="dxa"/>
              <w:end w:w="70" w:type="dxa"/>
            </w:tcMar>
          </w:tcPr>
          <w:p>
            <w:r>
              <w:rPr>
                <w:sz w:val="14"/>
              </w:rPr>
              <w:t>Re-run same artifact/features</w:t>
            </w:r>
          </w:p>
        </w:tc>
        <w:tc>
          <w:tcPr>
            <w:tcW w:type="dxa" w:w="2592"/>
            <w:vAlign w:val="top"/>
            <w:tcMar>
              <w:top w:w="60" w:type="dxa"/>
              <w:start w:w="70" w:type="dxa"/>
              <w:bottom w:w="60" w:type="dxa"/>
              <w:end w:w="70" w:type="dxa"/>
            </w:tcMar>
          </w:tcPr>
          <w:p>
            <w:r>
              <w:rPr>
                <w:sz w:val="14"/>
              </w:rPr>
              <w:t>Numerically identical output</w:t>
            </w:r>
          </w:p>
        </w:tc>
      </w:tr>
      <w:tr>
        <w:tc>
          <w:tcPr>
            <w:tcW w:type="dxa" w:w="1440"/>
            <w:vAlign w:val="top"/>
            <w:tcMar>
              <w:top w:w="60" w:type="dxa"/>
              <w:start w:w="70" w:type="dxa"/>
              <w:bottom w:w="60" w:type="dxa"/>
              <w:end w:w="70" w:type="dxa"/>
            </w:tcMar>
          </w:tcPr>
          <w:p>
            <w:r>
              <w:rPr>
                <w:sz w:val="14"/>
              </w:rPr>
              <w:t>Point-in-time</w:t>
            </w:r>
          </w:p>
        </w:tc>
        <w:tc>
          <w:tcPr>
            <w:tcW w:type="dxa" w:w="3528"/>
            <w:vAlign w:val="top"/>
            <w:tcMar>
              <w:top w:w="60" w:type="dxa"/>
              <w:start w:w="70" w:type="dxa"/>
              <w:bottom w:w="60" w:type="dxa"/>
              <w:end w:w="70" w:type="dxa"/>
            </w:tcMar>
          </w:tcPr>
          <w:p>
            <w:r>
              <w:rPr>
                <w:sz w:val="14"/>
              </w:rPr>
              <w:t>No future price, macro, or news data</w:t>
            </w:r>
          </w:p>
        </w:tc>
        <w:tc>
          <w:tcPr>
            <w:tcW w:type="dxa" w:w="2592"/>
            <w:vAlign w:val="top"/>
            <w:tcMar>
              <w:top w:w="60" w:type="dxa"/>
              <w:start w:w="70" w:type="dxa"/>
              <w:bottom w:w="60" w:type="dxa"/>
              <w:end w:w="70" w:type="dxa"/>
            </w:tcMar>
          </w:tcPr>
          <w:p>
            <w:r>
              <w:rPr>
                <w:sz w:val="14"/>
              </w:rPr>
              <w:t>Cutoff fixture</w:t>
            </w:r>
          </w:p>
        </w:tc>
        <w:tc>
          <w:tcPr>
            <w:tcW w:type="dxa" w:w="2592"/>
            <w:vAlign w:val="top"/>
            <w:tcMar>
              <w:top w:w="60" w:type="dxa"/>
              <w:start w:w="70" w:type="dxa"/>
              <w:bottom w:w="60" w:type="dxa"/>
              <w:end w:w="70" w:type="dxa"/>
            </w:tcMar>
          </w:tcPr>
          <w:p>
            <w:r>
              <w:rPr>
                <w:sz w:val="14"/>
              </w:rPr>
              <w:t>Post-cutoff records excluded</w:t>
            </w:r>
          </w:p>
        </w:tc>
      </w:tr>
      <w:tr>
        <w:tc>
          <w:tcPr>
            <w:tcW w:type="dxa" w:w="1440"/>
            <w:vAlign w:val="top"/>
            <w:tcMar>
              <w:top w:w="60" w:type="dxa"/>
              <w:start w:w="70" w:type="dxa"/>
              <w:bottom w:w="60" w:type="dxa"/>
              <w:end w:w="70" w:type="dxa"/>
            </w:tcMar>
          </w:tcPr>
          <w:p>
            <w:r>
              <w:rPr>
                <w:sz w:val="14"/>
              </w:rPr>
              <w:t>Scanner</w:t>
            </w:r>
          </w:p>
        </w:tc>
        <w:tc>
          <w:tcPr>
            <w:tcW w:type="dxa" w:w="3528"/>
            <w:vAlign w:val="top"/>
            <w:tcMar>
              <w:top w:w="60" w:type="dxa"/>
              <w:start w:w="70" w:type="dxa"/>
              <w:bottom w:w="60" w:type="dxa"/>
              <w:end w:w="70" w:type="dxa"/>
            </w:tcMar>
          </w:tcPr>
          <w:p>
            <w:r>
              <w:rPr>
                <w:sz w:val="14"/>
              </w:rPr>
              <w:t>Can return zero or ranked setups</w:t>
            </w:r>
          </w:p>
        </w:tc>
        <w:tc>
          <w:tcPr>
            <w:tcW w:type="dxa" w:w="2592"/>
            <w:vAlign w:val="top"/>
            <w:tcMar>
              <w:top w:w="60" w:type="dxa"/>
              <w:start w:w="70" w:type="dxa"/>
              <w:bottom w:w="60" w:type="dxa"/>
              <w:end w:w="70" w:type="dxa"/>
            </w:tcMar>
          </w:tcPr>
          <w:p>
            <w:r>
              <w:rPr>
                <w:sz w:val="14"/>
              </w:rPr>
              <w:t>No-edge fixture and strong-edge fixture</w:t>
            </w:r>
          </w:p>
        </w:tc>
        <w:tc>
          <w:tcPr>
            <w:tcW w:type="dxa" w:w="2592"/>
            <w:vAlign w:val="top"/>
            <w:tcMar>
              <w:top w:w="60" w:type="dxa"/>
              <w:start w:w="70" w:type="dxa"/>
              <w:bottom w:w="60" w:type="dxa"/>
              <w:end w:w="70" w:type="dxa"/>
            </w:tcMar>
          </w:tcPr>
          <w:p>
            <w:r>
              <w:rPr>
                <w:sz w:val="14"/>
              </w:rPr>
              <w:t>Correct suppression/ranking</w:t>
            </w:r>
          </w:p>
        </w:tc>
      </w:tr>
      <w:tr>
        <w:tc>
          <w:tcPr>
            <w:tcW w:type="dxa" w:w="1440"/>
            <w:vAlign w:val="top"/>
            <w:tcMar>
              <w:top w:w="60" w:type="dxa"/>
              <w:start w:w="70" w:type="dxa"/>
              <w:bottom w:w="60" w:type="dxa"/>
              <w:end w:w="70" w:type="dxa"/>
            </w:tcMar>
          </w:tcPr>
          <w:p>
            <w:r>
              <w:rPr>
                <w:sz w:val="14"/>
              </w:rPr>
              <w:t>Decision</w:t>
            </w:r>
          </w:p>
        </w:tc>
        <w:tc>
          <w:tcPr>
            <w:tcW w:type="dxa" w:w="3528"/>
            <w:vAlign w:val="top"/>
            <w:tcMar>
              <w:top w:w="60" w:type="dxa"/>
              <w:start w:w="70" w:type="dxa"/>
              <w:bottom w:w="60" w:type="dxa"/>
              <w:end w:w="70" w:type="dxa"/>
            </w:tcMar>
          </w:tcPr>
          <w:p>
            <w:r>
              <w:rPr>
                <w:sz w:val="14"/>
              </w:rPr>
              <w:t>Model record freezes before user action</w:t>
            </w:r>
          </w:p>
        </w:tc>
        <w:tc>
          <w:tcPr>
            <w:tcW w:type="dxa" w:w="2592"/>
            <w:vAlign w:val="top"/>
            <w:tcMar>
              <w:top w:w="60" w:type="dxa"/>
              <w:start w:w="70" w:type="dxa"/>
              <w:bottom w:w="60" w:type="dxa"/>
              <w:end w:w="70" w:type="dxa"/>
            </w:tcMar>
          </w:tcPr>
          <w:p>
            <w:r>
              <w:rPr>
                <w:sz w:val="14"/>
              </w:rPr>
              <w:t>UI and DB integration test</w:t>
            </w:r>
          </w:p>
        </w:tc>
        <w:tc>
          <w:tcPr>
            <w:tcW w:type="dxa" w:w="2592"/>
            <w:vAlign w:val="top"/>
            <w:tcMar>
              <w:top w:w="60" w:type="dxa"/>
              <w:start w:w="70" w:type="dxa"/>
              <w:bottom w:w="60" w:type="dxa"/>
              <w:end w:w="70" w:type="dxa"/>
            </w:tcMar>
          </w:tcPr>
          <w:p>
            <w:r>
              <w:rPr>
                <w:sz w:val="14"/>
              </w:rPr>
              <w:t>Decision references immutable run</w:t>
            </w:r>
          </w:p>
        </w:tc>
      </w:tr>
      <w:tr>
        <w:tc>
          <w:tcPr>
            <w:tcW w:type="dxa" w:w="1440"/>
            <w:vAlign w:val="top"/>
            <w:tcMar>
              <w:top w:w="60" w:type="dxa"/>
              <w:start w:w="70" w:type="dxa"/>
              <w:bottom w:w="60" w:type="dxa"/>
              <w:end w:w="70" w:type="dxa"/>
            </w:tcMar>
          </w:tcPr>
          <w:p>
            <w:r>
              <w:rPr>
                <w:sz w:val="14"/>
              </w:rPr>
              <w:t>Outcome</w:t>
            </w:r>
          </w:p>
        </w:tc>
        <w:tc>
          <w:tcPr>
            <w:tcW w:type="dxa" w:w="3528"/>
            <w:vAlign w:val="top"/>
            <w:tcMar>
              <w:top w:w="60" w:type="dxa"/>
              <w:start w:w="70" w:type="dxa"/>
              <w:bottom w:w="60" w:type="dxa"/>
              <w:end w:w="70" w:type="dxa"/>
            </w:tcMar>
          </w:tcPr>
          <w:p>
            <w:r>
              <w:rPr>
                <w:sz w:val="14"/>
              </w:rPr>
              <w:t>Trading-day horizon scoring</w:t>
            </w:r>
          </w:p>
        </w:tc>
        <w:tc>
          <w:tcPr>
            <w:tcW w:type="dxa" w:w="2592"/>
            <w:vAlign w:val="top"/>
            <w:tcMar>
              <w:top w:w="60" w:type="dxa"/>
              <w:start w:w="70" w:type="dxa"/>
              <w:bottom w:w="60" w:type="dxa"/>
              <w:end w:w="70" w:type="dxa"/>
            </w:tcMar>
          </w:tcPr>
          <w:p>
            <w:r>
              <w:rPr>
                <w:sz w:val="14"/>
              </w:rPr>
              <w:t>Holiday/weekend fixture</w:t>
            </w:r>
          </w:p>
        </w:tc>
        <w:tc>
          <w:tcPr>
            <w:tcW w:type="dxa" w:w="2592"/>
            <w:vAlign w:val="top"/>
            <w:tcMar>
              <w:top w:w="60" w:type="dxa"/>
              <w:start w:w="70" w:type="dxa"/>
              <w:bottom w:w="60" w:type="dxa"/>
              <w:end w:w="70" w:type="dxa"/>
            </w:tcMar>
          </w:tcPr>
          <w:p>
            <w:r>
              <w:rPr>
                <w:sz w:val="14"/>
              </w:rPr>
              <w:t>Correct evaluation date and return</w:t>
            </w:r>
          </w:p>
        </w:tc>
      </w:tr>
      <w:tr>
        <w:tc>
          <w:tcPr>
            <w:tcW w:type="dxa" w:w="1440"/>
            <w:vAlign w:val="top"/>
            <w:tcMar>
              <w:top w:w="60" w:type="dxa"/>
              <w:start w:w="70" w:type="dxa"/>
              <w:bottom w:w="60" w:type="dxa"/>
              <w:end w:w="70" w:type="dxa"/>
            </w:tcMar>
          </w:tcPr>
          <w:p>
            <w:r>
              <w:rPr>
                <w:sz w:val="14"/>
              </w:rPr>
              <w:t>Learning</w:t>
            </w:r>
          </w:p>
        </w:tc>
        <w:tc>
          <w:tcPr>
            <w:tcW w:type="dxa" w:w="3528"/>
            <w:vAlign w:val="top"/>
            <w:tcMar>
              <w:top w:w="60" w:type="dxa"/>
              <w:start w:w="70" w:type="dxa"/>
              <w:bottom w:w="60" w:type="dxa"/>
              <w:end w:w="70" w:type="dxa"/>
            </w:tcMar>
          </w:tcPr>
          <w:p>
            <w:r>
              <w:rPr>
                <w:sz w:val="14"/>
              </w:rPr>
              <w:t>No automatic production change</w:t>
            </w:r>
          </w:p>
        </w:tc>
        <w:tc>
          <w:tcPr>
            <w:tcW w:type="dxa" w:w="2592"/>
            <w:vAlign w:val="top"/>
            <w:tcMar>
              <w:top w:w="60" w:type="dxa"/>
              <w:start w:w="70" w:type="dxa"/>
              <w:bottom w:w="60" w:type="dxa"/>
              <w:end w:w="70" w:type="dxa"/>
            </w:tcMar>
          </w:tcPr>
          <w:p>
            <w:r>
              <w:rPr>
                <w:sz w:val="14"/>
              </w:rPr>
              <w:t>Monthly workflow test</w:t>
            </w:r>
          </w:p>
        </w:tc>
        <w:tc>
          <w:tcPr>
            <w:tcW w:type="dxa" w:w="2592"/>
            <w:vAlign w:val="top"/>
            <w:tcMar>
              <w:top w:w="60" w:type="dxa"/>
              <w:start w:w="70" w:type="dxa"/>
              <w:bottom w:w="60" w:type="dxa"/>
              <w:end w:w="70" w:type="dxa"/>
            </w:tcMar>
          </w:tcPr>
          <w:p>
            <w:r>
              <w:rPr>
                <w:sz w:val="14"/>
              </w:rPr>
              <w:t>Challenger report only</w:t>
            </w:r>
          </w:p>
        </w:tc>
      </w:tr>
      <w:tr>
        <w:tc>
          <w:tcPr>
            <w:tcW w:type="dxa" w:w="1440"/>
            <w:vAlign w:val="top"/>
            <w:tcMar>
              <w:top w:w="60" w:type="dxa"/>
              <w:start w:w="70" w:type="dxa"/>
              <w:bottom w:w="60" w:type="dxa"/>
              <w:end w:w="70" w:type="dxa"/>
            </w:tcMar>
          </w:tcPr>
          <w:p>
            <w:r>
              <w:rPr>
                <w:sz w:val="14"/>
              </w:rPr>
              <w:t>Search</w:t>
            </w:r>
          </w:p>
        </w:tc>
        <w:tc>
          <w:tcPr>
            <w:tcW w:type="dxa" w:w="3528"/>
            <w:vAlign w:val="top"/>
            <w:tcMar>
              <w:top w:w="60" w:type="dxa"/>
              <w:start w:w="70" w:type="dxa"/>
              <w:bottom w:w="60" w:type="dxa"/>
              <w:end w:w="70" w:type="dxa"/>
            </w:tcMar>
          </w:tcPr>
          <w:p>
            <w:r>
              <w:rPr>
                <w:sz w:val="14"/>
              </w:rPr>
              <w:t>Grounded numerical answer</w:t>
            </w:r>
          </w:p>
        </w:tc>
        <w:tc>
          <w:tcPr>
            <w:tcW w:type="dxa" w:w="2592"/>
            <w:vAlign w:val="top"/>
            <w:tcMar>
              <w:top w:w="60" w:type="dxa"/>
              <w:start w:w="70" w:type="dxa"/>
              <w:bottom w:w="60" w:type="dxa"/>
              <w:end w:w="70" w:type="dxa"/>
            </w:tcMar>
          </w:tcPr>
          <w:p>
            <w:r>
              <w:rPr>
                <w:sz w:val="14"/>
              </w:rPr>
              <w:t>Known database fixture</w:t>
            </w:r>
          </w:p>
        </w:tc>
        <w:tc>
          <w:tcPr>
            <w:tcW w:type="dxa" w:w="2592"/>
            <w:vAlign w:val="top"/>
            <w:tcMar>
              <w:top w:w="60" w:type="dxa"/>
              <w:start w:w="70" w:type="dxa"/>
              <w:bottom w:w="60" w:type="dxa"/>
              <w:end w:w="70" w:type="dxa"/>
            </w:tcMar>
          </w:tcPr>
          <w:p>
            <w:r>
              <w:rPr>
                <w:sz w:val="14"/>
              </w:rPr>
              <w:t>Answer equals SQL/tool result and cites evidence</w:t>
            </w:r>
          </w:p>
        </w:tc>
      </w:tr>
      <w:tr>
        <w:tc>
          <w:tcPr>
            <w:tcW w:type="dxa" w:w="1440"/>
            <w:vAlign w:val="top"/>
            <w:tcMar>
              <w:top w:w="60" w:type="dxa"/>
              <w:start w:w="70" w:type="dxa"/>
              <w:bottom w:w="60" w:type="dxa"/>
              <w:end w:w="70" w:type="dxa"/>
            </w:tcMar>
          </w:tcPr>
          <w:p>
            <w:r>
              <w:rPr>
                <w:sz w:val="14"/>
              </w:rPr>
              <w:t>Security</w:t>
            </w:r>
          </w:p>
        </w:tc>
        <w:tc>
          <w:tcPr>
            <w:tcW w:type="dxa" w:w="3528"/>
            <w:vAlign w:val="top"/>
            <w:tcMar>
              <w:top w:w="60" w:type="dxa"/>
              <w:start w:w="70" w:type="dxa"/>
              <w:bottom w:w="60" w:type="dxa"/>
              <w:end w:w="70" w:type="dxa"/>
            </w:tcMar>
          </w:tcPr>
          <w:p>
            <w:r>
              <w:rPr>
                <w:sz w:val="14"/>
              </w:rPr>
              <w:t>Private records isolated</w:t>
            </w:r>
          </w:p>
        </w:tc>
        <w:tc>
          <w:tcPr>
            <w:tcW w:type="dxa" w:w="2592"/>
            <w:vAlign w:val="top"/>
            <w:tcMar>
              <w:top w:w="60" w:type="dxa"/>
              <w:start w:w="70" w:type="dxa"/>
              <w:bottom w:w="60" w:type="dxa"/>
              <w:end w:w="70" w:type="dxa"/>
            </w:tcMar>
          </w:tcPr>
          <w:p>
            <w:r>
              <w:rPr>
                <w:sz w:val="14"/>
              </w:rPr>
              <w:t>RLS test as another user</w:t>
            </w:r>
          </w:p>
        </w:tc>
        <w:tc>
          <w:tcPr>
            <w:tcW w:type="dxa" w:w="2592"/>
            <w:vAlign w:val="top"/>
            <w:tcMar>
              <w:top w:w="60" w:type="dxa"/>
              <w:start w:w="70" w:type="dxa"/>
              <w:bottom w:w="60" w:type="dxa"/>
              <w:end w:w="70" w:type="dxa"/>
            </w:tcMar>
          </w:tcPr>
          <w:p>
            <w:r>
              <w:rPr>
                <w:sz w:val="14"/>
              </w:rPr>
              <w:t>Access denied</w:t>
            </w:r>
          </w:p>
        </w:tc>
      </w:tr>
      <w:tr>
        <w:tc>
          <w:tcPr>
            <w:tcW w:type="dxa" w:w="1440"/>
            <w:vAlign w:val="top"/>
            <w:tcMar>
              <w:top w:w="60" w:type="dxa"/>
              <w:start w:w="70" w:type="dxa"/>
              <w:bottom w:w="60" w:type="dxa"/>
              <w:end w:w="70" w:type="dxa"/>
            </w:tcMar>
          </w:tcPr>
          <w:p>
            <w:r>
              <w:rPr>
                <w:sz w:val="14"/>
              </w:rPr>
              <w:t>Operations</w:t>
            </w:r>
          </w:p>
        </w:tc>
        <w:tc>
          <w:tcPr>
            <w:tcW w:type="dxa" w:w="3528"/>
            <w:vAlign w:val="top"/>
            <w:tcMar>
              <w:top w:w="60" w:type="dxa"/>
              <w:start w:w="70" w:type="dxa"/>
              <w:bottom w:w="60" w:type="dxa"/>
              <w:end w:w="70" w:type="dxa"/>
            </w:tcMar>
          </w:tcPr>
          <w:p>
            <w:r>
              <w:rPr>
                <w:sz w:val="14"/>
              </w:rPr>
              <w:t>Failures visible</w:t>
            </w:r>
          </w:p>
        </w:tc>
        <w:tc>
          <w:tcPr>
            <w:tcW w:type="dxa" w:w="2592"/>
            <w:vAlign w:val="top"/>
            <w:tcMar>
              <w:top w:w="60" w:type="dxa"/>
              <w:start w:w="70" w:type="dxa"/>
              <w:bottom w:w="60" w:type="dxa"/>
              <w:end w:w="70" w:type="dxa"/>
            </w:tcMar>
          </w:tcPr>
          <w:p>
            <w:r>
              <w:rPr>
                <w:sz w:val="14"/>
              </w:rPr>
              <w:t>Force provider/job failure</w:t>
            </w:r>
          </w:p>
        </w:tc>
        <w:tc>
          <w:tcPr>
            <w:tcW w:type="dxa" w:w="2592"/>
            <w:vAlign w:val="top"/>
            <w:tcMar>
              <w:top w:w="60" w:type="dxa"/>
              <w:start w:w="70" w:type="dxa"/>
              <w:bottom w:w="60" w:type="dxa"/>
              <w:end w:w="70" w:type="dxa"/>
            </w:tcMar>
          </w:tcPr>
          <w:p>
            <w:r>
              <w:rPr>
                <w:sz w:val="14"/>
              </w:rPr>
              <w:t>job_run and data-quality alert created</w:t>
            </w:r>
          </w:p>
        </w:tc>
      </w:tr>
    </w:tbl>
    <w:p>
      <w:r>
        <w:rPr>
          <w:i w:val="0"/>
        </w:rPr>
        <w:t>A feature is not done until it includes migrations, typed schemas, error handling, logging, unit/integration tests, documentation, and a reproducible local-development path.</w:t>
      </w:r>
    </w:p>
    <w:p>
      <w:r>
        <w:br w:type="page"/>
      </w:r>
    </w:p>
    <w:p>
      <w:pPr>
        <w:pStyle w:val="Heading1"/>
      </w:pPr>
      <w:r>
        <w:t>19. Coding-Agent Execution Instructions</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5"/>
              </w:rPr>
              <w:t>ROLE</w:t>
              <w:br/>
            </w:r>
            <w:r>
              <w:rPr>
                <w:rFonts w:ascii="Liberation Mono" w:hAnsi="Liberation Mono"/>
                <w:sz w:val="15"/>
              </w:rPr>
              <w:t>You are the senior full-stack and quantitative engineer responsible for implementing Market Memory in the user's existing GitHub repository and Supabase project.</w:t>
              <w:br/>
            </w:r>
            <w:r>
              <w:rPr>
                <w:rFonts w:ascii="Liberation Mono" w:hAnsi="Liberation Mono"/>
                <w:sz w:val="15"/>
              </w:rPr>
              <w:br/>
            </w:r>
            <w:r>
              <w:rPr>
                <w:rFonts w:ascii="Liberation Mono" w:hAnsi="Liberation Mono"/>
                <w:sz w:val="15"/>
              </w:rPr>
              <w:t>FIRST ACTIONS</w:t>
              <w:br/>
            </w:r>
            <w:r>
              <w:rPr>
                <w:rFonts w:ascii="Liberation Mono" w:hAnsi="Liberation Mono"/>
                <w:sz w:val="15"/>
              </w:rPr>
              <w:t>1. Inspect the repository and report the current framework, package manager, branch, directory structure, Supabase setup, migrations, environment files, and CI.</w:t>
              <w:br/>
            </w:r>
            <w:r>
              <w:rPr>
                <w:rFonts w:ascii="Liberation Mono" w:hAnsi="Liberation Mono"/>
                <w:sz w:val="15"/>
              </w:rPr>
              <w:t>2. Do not delete, rename, or replace existing working code without explaining the migration.</w:t>
              <w:br/>
            </w:r>
            <w:r>
              <w:rPr>
                <w:rFonts w:ascii="Liberation Mono" w:hAnsi="Liberation Mono"/>
                <w:sz w:val="15"/>
              </w:rPr>
              <w:t>3. Compare the existing repo with the target architecture in this specification.</w:t>
              <w:br/>
            </w:r>
            <w:r>
              <w:rPr>
                <w:rFonts w:ascii="Liberation Mono" w:hAnsi="Liberation Mono"/>
                <w:sz w:val="15"/>
              </w:rPr>
              <w:t>4. Produce a milestone plan and identify blocking secrets or external accounts.</w:t>
              <w:br/>
            </w:r>
            <w:r>
              <w:rPr>
                <w:rFonts w:ascii="Liberation Mono" w:hAnsi="Liberation Mono"/>
                <w:sz w:val="15"/>
              </w:rPr>
              <w:t>5. Begin with M0/M1 unless the repository already satisfies them.</w:t>
              <w:br/>
            </w:r>
            <w:r>
              <w:rPr>
                <w:rFonts w:ascii="Liberation Mono" w:hAnsi="Liberation Mono"/>
                <w:sz w:val="15"/>
              </w:rPr>
              <w:br/>
            </w:r>
            <w:r>
              <w:rPr>
                <w:rFonts w:ascii="Liberation Mono" w:hAnsi="Liberation Mono"/>
                <w:sz w:val="15"/>
              </w:rPr>
              <w:t>ENGINEERING RULES</w:t>
              <w:br/>
            </w:r>
            <w:r>
              <w:rPr>
                <w:rFonts w:ascii="Liberation Mono" w:hAnsi="Liberation Mono"/>
                <w:sz w:val="15"/>
              </w:rPr>
              <w:t>- Use TypeScript strict mode.</w:t>
              <w:br/>
            </w:r>
            <w:r>
              <w:rPr>
                <w:rFonts w:ascii="Liberation Mono" w:hAnsi="Liberation Mono"/>
                <w:sz w:val="15"/>
              </w:rPr>
              <w:t>- Use Python type hints and Pydantic schemas.</w:t>
              <w:br/>
            </w:r>
            <w:r>
              <w:rPr>
                <w:rFonts w:ascii="Liberation Mono" w:hAnsi="Liberation Mono"/>
                <w:sz w:val="15"/>
              </w:rPr>
              <w:t>- Keep provider integrations behind adapters.</w:t>
              <w:br/>
            </w:r>
            <w:r>
              <w:rPr>
                <w:rFonts w:ascii="Liberation Mono" w:hAnsi="Liberation Mono"/>
                <w:sz w:val="15"/>
              </w:rPr>
              <w:t>- Keep forecast math outside the LLM.</w:t>
              <w:br/>
            </w:r>
            <w:r>
              <w:rPr>
                <w:rFonts w:ascii="Liberation Mono" w:hAnsi="Liberation Mono"/>
                <w:sz w:val="15"/>
              </w:rPr>
              <w:t>- Persist forecast inputs before returning a recommendation.</w:t>
              <w:br/>
            </w:r>
            <w:r>
              <w:rPr>
                <w:rFonts w:ascii="Liberation Mono" w:hAnsi="Liberation Mono"/>
                <w:sz w:val="15"/>
              </w:rPr>
              <w:t>- Use database migrations for every schema change.</w:t>
              <w:br/>
            </w:r>
            <w:r>
              <w:rPr>
                <w:rFonts w:ascii="Liberation Mono" w:hAnsi="Liberation Mono"/>
                <w:sz w:val="15"/>
              </w:rPr>
              <w:t>- Enable and test RLS.</w:t>
              <w:br/>
            </w:r>
            <w:r>
              <w:rPr>
                <w:rFonts w:ascii="Liberation Mono" w:hAnsi="Liberation Mono"/>
                <w:sz w:val="15"/>
              </w:rPr>
              <w:t>- Never expose service-role or provider secrets to the browser.</w:t>
              <w:br/>
            </w:r>
            <w:r>
              <w:rPr>
                <w:rFonts w:ascii="Liberation Mono" w:hAnsi="Liberation Mono"/>
                <w:sz w:val="15"/>
              </w:rPr>
              <w:t>- Use UTC storage and render times in America/New_York.</w:t>
              <w:br/>
            </w:r>
            <w:r>
              <w:rPr>
                <w:rFonts w:ascii="Liberation Mono" w:hAnsi="Liberation Mono"/>
                <w:sz w:val="15"/>
              </w:rPr>
              <w:t>- Store immutable records; corrections create linked versions.</w:t>
              <w:br/>
            </w:r>
            <w:r>
              <w:rPr>
                <w:rFonts w:ascii="Liberation Mono" w:hAnsi="Liberation Mono"/>
                <w:sz w:val="15"/>
              </w:rPr>
              <w:t>- Make every scheduled job idempotent.</w:t>
              <w:br/>
            </w:r>
            <w:r>
              <w:rPr>
                <w:rFonts w:ascii="Liberation Mono" w:hAnsi="Liberation Mono"/>
                <w:sz w:val="15"/>
              </w:rPr>
              <w:t>- Include structured logs and job-run records.</w:t>
              <w:br/>
            </w:r>
            <w:r>
              <w:rPr>
                <w:rFonts w:ascii="Liberation Mono" w:hAnsi="Liberation Mono"/>
                <w:sz w:val="15"/>
              </w:rPr>
              <w:t>- Do not auto-promote models.</w:t>
              <w:br/>
            </w:r>
            <w:r>
              <w:rPr>
                <w:rFonts w:ascii="Liberation Mono" w:hAnsi="Liberation Mono"/>
                <w:sz w:val="15"/>
              </w:rPr>
              <w:br/>
            </w:r>
            <w:r>
              <w:rPr>
                <w:rFonts w:ascii="Liberation Mono" w:hAnsi="Liberation Mono"/>
                <w:sz w:val="15"/>
              </w:rPr>
              <w:t>WORKING METHOD</w:t>
              <w:br/>
            </w:r>
            <w:r>
              <w:rPr>
                <w:rFonts w:ascii="Liberation Mono" w:hAnsi="Liberation Mono"/>
                <w:sz w:val="15"/>
              </w:rPr>
              <w:t>- Implement one milestone at a time.</w:t>
              <w:br/>
            </w:r>
            <w:r>
              <w:rPr>
                <w:rFonts w:ascii="Liberation Mono" w:hAnsi="Liberation Mono"/>
                <w:sz w:val="15"/>
              </w:rPr>
              <w:t>- Before coding, list files to create or change.</w:t>
              <w:br/>
            </w:r>
            <w:r>
              <w:rPr>
                <w:rFonts w:ascii="Liberation Mono" w:hAnsi="Liberation Mono"/>
                <w:sz w:val="15"/>
              </w:rPr>
              <w:t>- After coding, run lint, typecheck, unit tests, integration tests, and migrations locally.</w:t>
              <w:br/>
            </w:r>
            <w:r>
              <w:rPr>
                <w:rFonts w:ascii="Liberation Mono" w:hAnsi="Liberation Mono"/>
                <w:sz w:val="15"/>
              </w:rPr>
              <w:t>- Show the command output and summarize remaining issues.</w:t>
              <w:br/>
            </w:r>
            <w:r>
              <w:rPr>
                <w:rFonts w:ascii="Liberation Mono" w:hAnsi="Liberation Mono"/>
                <w:sz w:val="15"/>
              </w:rPr>
              <w:t>- Update README, architecture notes, and .env.example.</w:t>
              <w:br/>
            </w:r>
            <w:r>
              <w:rPr>
                <w:rFonts w:ascii="Liberation Mono" w:hAnsi="Liberation Mono"/>
                <w:sz w:val="15"/>
              </w:rPr>
              <w:t>- Commit changes in coherent units if repository access permits; otherwise provide commit-ready changes.</w:t>
              <w:br/>
            </w:r>
            <w:r>
              <w:rPr>
                <w:rFonts w:ascii="Liberation Mono" w:hAnsi="Liberation Mono"/>
                <w:sz w:val="15"/>
              </w:rPr>
              <w:br/>
            </w:r>
            <w:r>
              <w:rPr>
                <w:rFonts w:ascii="Liberation Mono" w:hAnsi="Liberation Mono"/>
                <w:sz w:val="15"/>
              </w:rPr>
              <w:t>MVP PRIORITY</w:t>
              <w:br/>
            </w:r>
            <w:r>
              <w:rPr>
                <w:rFonts w:ascii="Liberation Mono" w:hAnsi="Liberation Mono"/>
                <w:sz w:val="15"/>
              </w:rPr>
              <w:t>The first complete vertical slice is:</w:t>
              <w:br/>
            </w:r>
            <w:r>
              <w:rPr>
                <w:rFonts w:ascii="Liberation Mono" w:hAnsi="Liberation Mono"/>
                <w:sz w:val="15"/>
              </w:rPr>
              <w:t>1. Authenticated user enters SMH.</w:t>
              <w:br/>
            </w:r>
            <w:r>
              <w:rPr>
                <w:rFonts w:ascii="Liberation Mono" w:hAnsi="Liberation Mono"/>
                <w:sz w:val="15"/>
              </w:rPr>
              <w:t>2. App fetches a quote or accepts a manual price.</w:t>
              <w:br/>
            </w:r>
            <w:r>
              <w:rPr>
                <w:rFonts w:ascii="Liberation Mono" w:hAnsi="Liberation Mono"/>
                <w:sz w:val="15"/>
              </w:rPr>
              <w:t>3. Quote provenance is stored.</w:t>
              <w:br/>
            </w:r>
            <w:r>
              <w:rPr>
                <w:rFonts w:ascii="Liberation Mono" w:hAnsi="Liberation Mono"/>
                <w:sz w:val="15"/>
              </w:rPr>
              <w:t>4. Baseline daily features and regime are calculated.</w:t>
              <w:br/>
            </w:r>
            <w:r>
              <w:rPr>
                <w:rFonts w:ascii="Liberation Mono" w:hAnsi="Liberation Mono"/>
                <w:sz w:val="15"/>
              </w:rPr>
              <w:t>5. A versioned forecast with analog evidence is stored and displayed.</w:t>
              <w:br/>
            </w:r>
            <w:r>
              <w:rPr>
                <w:rFonts w:ascii="Liberation Mono" w:hAnsi="Liberation Mono"/>
                <w:sz w:val="15"/>
              </w:rPr>
              <w:t>6. User logs Buy/Sell/Hold/Watch/Stand Down.</w:t>
              <w:br/>
            </w:r>
            <w:r>
              <w:rPr>
                <w:rFonts w:ascii="Liberation Mono" w:hAnsi="Liberation Mono"/>
                <w:sz w:val="15"/>
              </w:rPr>
              <w:t>7. A fixture or matured date shows model, user, and actual outcome together.</w:t>
              <w:br/>
            </w:r>
            <w:r>
              <w:rPr>
                <w:rFonts w:ascii="Liberation Mono" w:hAnsi="Liberation Mono"/>
                <w:sz w:val="15"/>
              </w:rPr>
              <w:br/>
            </w:r>
            <w:r>
              <w:rPr>
                <w:rFonts w:ascii="Liberation Mono" w:hAnsi="Liberation Mono"/>
                <w:sz w:val="15"/>
              </w:rPr>
              <w:t>DO NOT BUILD YET</w:t>
              <w:br/>
            </w:r>
            <w:r>
              <w:rPr>
                <w:rFonts w:ascii="Liberation Mono" w:hAnsi="Liberation Mono"/>
                <w:sz w:val="15"/>
              </w:rPr>
              <w:t>- Brokerage execution</w:t>
              <w:br/>
            </w:r>
            <w:r>
              <w:rPr>
                <w:rFonts w:ascii="Liberation Mono" w:hAnsi="Liberation Mono"/>
                <w:sz w:val="15"/>
              </w:rPr>
              <w:t>- Real-time streaming</w:t>
              <w:br/>
            </w:r>
            <w:r>
              <w:rPr>
                <w:rFonts w:ascii="Liberation Mono" w:hAnsi="Liberation Mono"/>
                <w:sz w:val="15"/>
              </w:rPr>
              <w:t>- Individual stocks</w:t>
              <w:br/>
            </w:r>
            <w:r>
              <w:rPr>
                <w:rFonts w:ascii="Liberation Mono" w:hAnsi="Liberation Mono"/>
                <w:sz w:val="15"/>
              </w:rPr>
              <w:t>- Options analytics</w:t>
              <w:br/>
            </w:r>
            <w:r>
              <w:rPr>
                <w:rFonts w:ascii="Liberation Mono" w:hAnsi="Liberation Mono"/>
                <w:sz w:val="15"/>
              </w:rPr>
              <w:t>- Autonomous model changes</w:t>
              <w:br/>
            </w:r>
            <w:r>
              <w:rPr>
                <w:rFonts w:ascii="Liberation Mono" w:hAnsi="Liberation Mono"/>
                <w:sz w:val="15"/>
              </w:rPr>
              <w:t>- Public multi-tenant billing</w:t>
              <w:br/>
            </w:r>
            <w:r>
              <w:rPr>
                <w:rFonts w:ascii="Liberation Mono" w:hAnsi="Liberation Mono"/>
                <w:sz w:val="15"/>
              </w:rPr>
              <w:br/>
            </w:r>
            <w:r>
              <w:rPr>
                <w:rFonts w:ascii="Liberation Mono" w:hAnsi="Liberation Mono"/>
                <w:sz w:val="15"/>
              </w:rPr>
              <w:t>QUALITY BAR</w:t>
              <w:br/>
            </w:r>
            <w:r>
              <w:rPr>
                <w:rFonts w:ascii="Liberation Mono" w:hAnsi="Liberation Mono"/>
                <w:sz w:val="15"/>
              </w:rPr>
              <w:t>Do not claim completion with placeholders, untested pseudocode, fabricated data, or a UI disconnected from Supabase. Seed/demo mode is allowed only when clearly labeled and backed by deterministic fixtures.</w:t>
            </w:r>
          </w:p>
        </w:tc>
      </w:tr>
    </w:tbl>
    <w:p>
      <w:pPr>
        <w:spacing w:after="0"/>
      </w:pPr>
    </w:p>
    <w:p>
      <w:pPr>
        <w:pStyle w:val="Heading2"/>
      </w:pPr>
      <w:r>
        <w:t>19.1 First Coding-Agent Task</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Implement Milestone M0 and M1.</w:t>
              <w:br/>
            </w:r>
            <w:r>
              <w:rPr>
                <w:rFonts w:ascii="Liberation Mono" w:hAnsi="Liberation Mono"/>
                <w:sz w:val="17"/>
              </w:rPr>
              <w:br/>
            </w:r>
            <w:r>
              <w:rPr>
                <w:rFonts w:ascii="Liberation Mono" w:hAnsi="Liberation Mono"/>
                <w:sz w:val="17"/>
              </w:rPr>
              <w:t>Deliverables:</w:t>
              <w:br/>
            </w:r>
            <w:r>
              <w:rPr>
                <w:rFonts w:ascii="Liberation Mono" w:hAnsi="Liberation Mono"/>
                <w:sz w:val="17"/>
              </w:rPr>
              <w:t>- Repository audit and architecture gap report.</w:t>
              <w:br/>
            </w:r>
            <w:r>
              <w:rPr>
                <w:rFonts w:ascii="Liberation Mono" w:hAnsi="Liberation Mono"/>
                <w:sz w:val="17"/>
              </w:rPr>
              <w:t>- Confirmed monorepo or migration plan.</w:t>
              <w:br/>
            </w:r>
            <w:r>
              <w:rPr>
                <w:rFonts w:ascii="Liberation Mono" w:hAnsi="Liberation Mono"/>
                <w:sz w:val="17"/>
              </w:rPr>
              <w:t>- Supabase CLI configuration.</w:t>
              <w:br/>
            </w:r>
            <w:r>
              <w:rPr>
                <w:rFonts w:ascii="Liberation Mono" w:hAnsi="Liberation Mono"/>
                <w:sz w:val="17"/>
              </w:rPr>
              <w:t>- Initial SQL migrations for profiles, assets, universe membership, quote snapshots, market states, model versions, forecast runs, forecasts, user decisions, and job runs.</w:t>
              <w:br/>
            </w:r>
            <w:r>
              <w:rPr>
                <w:rFonts w:ascii="Liberation Mono" w:hAnsi="Liberation Mono"/>
                <w:sz w:val="17"/>
              </w:rPr>
              <w:t>- RLS policies and tests.</w:t>
              <w:br/>
            </w:r>
            <w:r>
              <w:rPr>
                <w:rFonts w:ascii="Liberation Mono" w:hAnsi="Liberation Mono"/>
                <w:sz w:val="17"/>
              </w:rPr>
              <w:t>- Seed list containing the initial ETF universe.</w:t>
              <w:br/>
            </w:r>
            <w:r>
              <w:rPr>
                <w:rFonts w:ascii="Liberation Mono" w:hAnsi="Liberation Mono"/>
                <w:sz w:val="17"/>
              </w:rPr>
              <w:t>- Next.js authenticated shell with routes for Home, Analyze, History, Scorecards, Search, and Settings.</w:t>
              <w:br/>
            </w:r>
            <w:r>
              <w:rPr>
                <w:rFonts w:ascii="Liberation Mono" w:hAnsi="Liberation Mono"/>
                <w:sz w:val="17"/>
              </w:rPr>
              <w:t>- Typed Supabase client configuration for browser and server.</w:t>
              <w:br/>
            </w:r>
            <w:r>
              <w:rPr>
                <w:rFonts w:ascii="Liberation Mono" w:hAnsi="Liberation Mono"/>
                <w:sz w:val="17"/>
              </w:rPr>
              <w:t>- .env.example with no secrets.</w:t>
              <w:br/>
            </w:r>
            <w:r>
              <w:rPr>
                <w:rFonts w:ascii="Liberation Mono" w:hAnsi="Liberation Mono"/>
                <w:sz w:val="17"/>
              </w:rPr>
              <w:t>- CI workflow for lint, types, tests, and migration checks.</w:t>
              <w:br/>
            </w:r>
            <w:r>
              <w:rPr>
                <w:rFonts w:ascii="Liberation Mono" w:hAnsi="Liberation Mono"/>
                <w:sz w:val="17"/>
              </w:rPr>
              <w:t>- README with exact local setup steps.</w:t>
              <w:br/>
            </w:r>
            <w:r>
              <w:rPr>
                <w:rFonts w:ascii="Liberation Mono" w:hAnsi="Liberation Mono"/>
                <w:sz w:val="17"/>
              </w:rPr>
              <w:br/>
            </w:r>
            <w:r>
              <w:rPr>
                <w:rFonts w:ascii="Liberation Mono" w:hAnsi="Liberation Mono"/>
                <w:sz w:val="17"/>
              </w:rPr>
              <w:t>Before changing files, inspect the repository and state assumptions. Do not create provider or LLM code until the foundation is working.</w:t>
            </w:r>
          </w:p>
        </w:tc>
      </w:tr>
    </w:tbl>
    <w:p>
      <w:pPr>
        <w:spacing w:after="0"/>
      </w:pPr>
    </w:p>
    <w:p>
      <w:pPr>
        <w:pStyle w:val="Heading2"/>
      </w:pPr>
      <w:r>
        <w:t>19.2 Second Coding-Agent Task</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Implement Milestone M2: Price and Decision Vertical Slice.</w:t>
              <w:br/>
            </w:r>
            <w:r>
              <w:rPr>
                <w:rFonts w:ascii="Liberation Mono" w:hAnsi="Liberation Mono"/>
                <w:sz w:val="17"/>
              </w:rPr>
              <w:br/>
            </w:r>
            <w:r>
              <w:rPr>
                <w:rFonts w:ascii="Liberation Mono" w:hAnsi="Liberation Mono"/>
                <w:sz w:val="17"/>
              </w:rPr>
              <w:t>Requirements:</w:t>
              <w:br/>
            </w:r>
            <w:r>
              <w:rPr>
                <w:rFonts w:ascii="Liberation Mono" w:hAnsi="Liberation Mono"/>
                <w:sz w:val="17"/>
              </w:rPr>
              <w:t>- Create MarketPriceProvider interface and MockPriceProvider.</w:t>
              <w:br/>
            </w:r>
            <w:r>
              <w:rPr>
                <w:rFonts w:ascii="Liberation Mono" w:hAnsi="Liberation Mono"/>
                <w:sz w:val="17"/>
              </w:rPr>
              <w:t>- Add one live provider adapter selected by environment variable.</w:t>
              <w:br/>
            </w:r>
            <w:r>
              <w:rPr>
                <w:rFonts w:ascii="Liberation Mono" w:hAnsi="Liberation Mono"/>
                <w:sz w:val="17"/>
              </w:rPr>
              <w:t>- Build POST /api/quotes/resolve.</w:t>
              <w:br/>
            </w:r>
            <w:r>
              <w:rPr>
                <w:rFonts w:ascii="Liberation Mono" w:hAnsi="Liberation Mono"/>
                <w:sz w:val="17"/>
              </w:rPr>
              <w:t>- Display provider price, timestamp, delay, and market status.</w:t>
              <w:br/>
            </w:r>
            <w:r>
              <w:rPr>
                <w:rFonts w:ascii="Liberation Mono" w:hAnsi="Liberation Mono"/>
                <w:sz w:val="17"/>
              </w:rPr>
              <w:t>- Add manual price override and effective-price selection.</w:t>
              <w:br/>
            </w:r>
            <w:r>
              <w:rPr>
                <w:rFonts w:ascii="Liberation Mono" w:hAnsi="Liberation Mono"/>
                <w:sz w:val="17"/>
              </w:rPr>
              <w:t>- Persist quote_snapshots without overwriting provider values.</w:t>
              <w:br/>
            </w:r>
            <w:r>
              <w:rPr>
                <w:rFonts w:ascii="Liberation Mono" w:hAnsi="Liberation Mono"/>
                <w:sz w:val="17"/>
              </w:rPr>
              <w:t>- Build Analyze ETF page through the point immediately before quant inference.</w:t>
              <w:br/>
            </w:r>
            <w:r>
              <w:rPr>
                <w:rFonts w:ascii="Liberation Mono" w:hAnsi="Liberation Mono"/>
                <w:sz w:val="17"/>
              </w:rPr>
              <w:t>- Build user decision form and immutable decision history.</w:t>
              <w:br/>
            </w:r>
            <w:r>
              <w:rPr>
                <w:rFonts w:ascii="Liberation Mono" w:hAnsi="Liberation Mono"/>
                <w:sz w:val="17"/>
              </w:rPr>
              <w:t>- Add unit, contract, RLS, and browser tests.</w:t>
              <w:br/>
            </w:r>
            <w:r>
              <w:rPr>
                <w:rFonts w:ascii="Liberation Mono" w:hAnsi="Liberation Mono"/>
                <w:sz w:val="17"/>
              </w:rPr>
              <w:t>- Provider failure must fall back cleanly to manual input.</w:t>
            </w:r>
          </w:p>
        </w:tc>
      </w:tr>
    </w:tbl>
    <w:p>
      <w:pPr>
        <w:spacing w:after="0"/>
      </w:pPr>
    </w:p>
    <w:p>
      <w:pPr>
        <w:pStyle w:val="Heading2"/>
      </w:pPr>
      <w:r>
        <w:t>19.3 Third Coding-Agent Task</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Implement Milestone M3: Baseline Forecasting.</w:t>
              <w:br/>
            </w:r>
            <w:r>
              <w:rPr>
                <w:rFonts w:ascii="Liberation Mono" w:hAnsi="Liberation Mono"/>
                <w:sz w:val="17"/>
              </w:rPr>
              <w:br/>
            </w:r>
            <w:r>
              <w:rPr>
                <w:rFonts w:ascii="Liberation Mono" w:hAnsi="Liberation Mono"/>
                <w:sz w:val="17"/>
              </w:rPr>
              <w:t>Use a transparent baseline before complex machine learning:</w:t>
              <w:br/>
            </w:r>
            <w:r>
              <w:rPr>
                <w:rFonts w:ascii="Liberation Mono" w:hAnsi="Liberation Mono"/>
                <w:sz w:val="17"/>
              </w:rPr>
              <w:t>- Daily price features: returns, drawdown, RSI, moving-average distance, volatility, relative return.</w:t>
              <w:br/>
            </w:r>
            <w:r>
              <w:rPr>
                <w:rFonts w:ascii="Liberation Mono" w:hAnsi="Liberation Mono"/>
                <w:sz w:val="17"/>
              </w:rPr>
              <w:t>- Macro regime rules using available FRED/ALFRED observations.</w:t>
              <w:br/>
            </w:r>
            <w:r>
              <w:rPr>
                <w:rFonts w:ascii="Liberation Mono" w:hAnsi="Liberation Mono"/>
                <w:sz w:val="17"/>
              </w:rPr>
              <w:t>- Historical analog retrieval with independent-episode grouping.</w:t>
              <w:br/>
            </w:r>
            <w:r>
              <w:rPr>
                <w:rFonts w:ascii="Liberation Mono" w:hAnsi="Liberation Mono"/>
                <w:sz w:val="17"/>
              </w:rPr>
              <w:t>- Empirical forward-return distribution.</w:t>
              <w:br/>
            </w:r>
            <w:r>
              <w:rPr>
                <w:rFonts w:ascii="Liberation Mono" w:hAnsi="Liberation Mono"/>
                <w:sz w:val="17"/>
              </w:rPr>
              <w:t>- Logistic baseline for positive-return and positive-excess-return events.</w:t>
              <w:br/>
            </w:r>
            <w:r>
              <w:rPr>
                <w:rFonts w:ascii="Liberation Mono" w:hAnsi="Liberation Mono"/>
                <w:sz w:val="17"/>
              </w:rPr>
              <w:t>- Calibrate only using walk-forward predictions.</w:t>
              <w:br/>
            </w:r>
            <w:r>
              <w:rPr>
                <w:rFonts w:ascii="Liberation Mono" w:hAnsi="Liberation Mono"/>
                <w:sz w:val="17"/>
              </w:rPr>
              <w:t>- Persist model_versions, market_states, forecast_runs, forecasts, drivers, analog_runs, and analog_matches.</w:t>
              <w:br/>
            </w:r>
            <w:r>
              <w:rPr>
                <w:rFonts w:ascii="Liberation Mono" w:hAnsi="Liberation Mono"/>
                <w:sz w:val="17"/>
              </w:rPr>
              <w:t>- Build forecast card and evidence drawer.</w:t>
              <w:br/>
            </w:r>
            <w:r>
              <w:rPr>
                <w:rFonts w:ascii="Liberation Mono" w:hAnsi="Liberation Mono"/>
                <w:sz w:val="17"/>
              </w:rPr>
              <w:t>- Add an intraday_proxy flag and confidence discount when a user-supplied current price is analyzed before the close.</w:t>
              <w:br/>
            </w:r>
            <w:r>
              <w:rPr>
                <w:rFonts w:ascii="Liberation Mono" w:hAnsi="Liberation Mono"/>
                <w:sz w:val="17"/>
              </w:rPr>
              <w:t>- Add No Reliable Signal logic.</w:t>
              <w:br/>
            </w:r>
            <w:r>
              <w:rPr>
                <w:rFonts w:ascii="Liberation Mono" w:hAnsi="Liberation Mono"/>
                <w:sz w:val="17"/>
              </w:rPr>
              <w:t>- Include deterministic fixtures and a model card.</w:t>
            </w:r>
          </w:p>
        </w:tc>
      </w:tr>
    </w:tbl>
    <w:p>
      <w:pPr>
        <w:spacing w:after="0"/>
      </w:pPr>
    </w:p>
    <w:p>
      <w:r>
        <w:br w:type="page"/>
      </w:r>
    </w:p>
    <w:p>
      <w:pPr>
        <w:pStyle w:val="Heading1"/>
      </w:pPr>
      <w:r>
        <w:t>20. Implementation Recommendations</w:t>
      </w:r>
    </w:p>
    <w:p>
      <w:pPr>
        <w:pStyle w:val="Heading2"/>
      </w:pPr>
      <w:r>
        <w:t>20.1 Start With Transparent Models</w:t>
      </w:r>
    </w:p>
    <w:p>
      <w:r>
        <w:rPr>
          <w:i w:val="0"/>
        </w:rPr>
        <w:t>The first production model should be simple enough to debug. A historical empirical model plus regularized logistic regression is preferable to a complex black box. Gradient boosting should begin as a challenger. The core product value is the measurement loop, not model novelty.</w:t>
      </w:r>
    </w:p>
    <w:p>
      <w:pPr>
        <w:pStyle w:val="Heading2"/>
      </w:pPr>
      <w:r>
        <w:t>20.2 Separate Batch and Interactive Paths</w:t>
      </w:r>
    </w:p>
    <w:p>
      <w:pPr>
        <w:pStyle w:val="ListBullet"/>
      </w:pPr>
      <w:r>
        <w:t>Batch path builds complete daily market states, daily opportunities, outcome scores, and research datasets.</w:t>
      </w:r>
    </w:p>
    <w:p>
      <w:pPr>
        <w:pStyle w:val="ListBullet"/>
      </w:pPr>
      <w:r>
        <w:t>Interactive path fetches a quote/manual input, updates provisional features, and calls the existing champion artifact.</w:t>
      </w:r>
    </w:p>
    <w:p>
      <w:pPr>
        <w:pStyle w:val="ListBullet"/>
      </w:pPr>
      <w:r>
        <w:t>Interactive inference must not retrain anything.</w:t>
      </w:r>
    </w:p>
    <w:p>
      <w:pPr>
        <w:pStyle w:val="ListBullet"/>
      </w:pPr>
      <w:r>
        <w:t>Both paths use the same feature definitions and model registry.</w:t>
      </w:r>
    </w:p>
    <w:p>
      <w:pPr>
        <w:pStyle w:val="Heading2"/>
      </w:pPr>
      <w:r>
        <w:t>20.3 Make Data Lineage Visible</w:t>
      </w:r>
    </w:p>
    <w:p>
      <w:pPr>
        <w:pStyle w:val="ListBullet"/>
      </w:pPr>
      <w:r>
        <w:t>Every displayed number should have an as-of timestamp.</w:t>
      </w:r>
    </w:p>
    <w:p>
      <w:pPr>
        <w:pStyle w:val="ListBullet"/>
      </w:pPr>
      <w:r>
        <w:t>Forecast detail shows price source and any manual override.</w:t>
      </w:r>
    </w:p>
    <w:p>
      <w:pPr>
        <w:pStyle w:val="ListBullet"/>
      </w:pPr>
      <w:r>
        <w:t>Macro values show observation date and vintage/retrieval date.</w:t>
      </w:r>
    </w:p>
    <w:p>
      <w:pPr>
        <w:pStyle w:val="ListBullet"/>
      </w:pPr>
      <w:r>
        <w:t>News evidence shows publication time.</w:t>
      </w:r>
    </w:p>
    <w:p>
      <w:pPr>
        <w:pStyle w:val="ListBullet"/>
      </w:pPr>
      <w:r>
        <w:t>Model detail shows version, training cutoff, feature schema, and commit SHA.</w:t>
      </w:r>
    </w:p>
    <w:p>
      <w:pPr>
        <w:pStyle w:val="ListBullet"/>
      </w:pPr>
      <w:r>
        <w:t>Corrections create data-quality events and reprocessing records.</w:t>
      </w:r>
    </w:p>
    <w:p>
      <w:pPr>
        <w:pStyle w:val="Heading2"/>
      </w:pPr>
      <w:r>
        <w:t>20.4 Personal-Use Simplifications</w:t>
      </w:r>
    </w:p>
    <w:p>
      <w:pPr>
        <w:pStyle w:val="ListBullet"/>
      </w:pPr>
      <w:r>
        <w:t>One user and one portfolio can be assumed initially.</w:t>
      </w:r>
    </w:p>
    <w:p>
      <w:pPr>
        <w:pStyle w:val="ListBullet"/>
      </w:pPr>
      <w:r>
        <w:t>No billing or organization roles.</w:t>
      </w:r>
    </w:p>
    <w:p>
      <w:pPr>
        <w:pStyle w:val="ListBullet"/>
      </w:pPr>
      <w:r>
        <w:t>Manual trade entry is sufficient; brokerage sync is deferred.</w:t>
      </w:r>
    </w:p>
    <w:p>
      <w:pPr>
        <w:pStyle w:val="ListBullet"/>
      </w:pPr>
      <w:r>
        <w:t>Email or in-app notifications are optional after the dashboard works.</w:t>
      </w:r>
    </w:p>
    <w:p>
      <w:pPr>
        <w:pStyle w:val="ListBullet"/>
      </w:pPr>
      <w:r>
        <w:t>The user can manually approve model promotion through an admin settings page or SQL flag.</w:t>
      </w:r>
    </w:p>
    <w:p>
      <w:pPr>
        <w:pStyle w:val="ListBullet"/>
      </w:pPr>
      <w:r>
        <w:t>Keep the schema multi-user-safe so the app does not need a rewrite later.</w:t>
      </w:r>
    </w:p>
    <w:p>
      <w:r>
        <w:br w:type="page"/>
      </w:r>
    </w:p>
    <w:p>
      <w:pPr>
        <w:pStyle w:val="Heading1"/>
      </w:pPr>
      <w:r>
        <w:t>21. Architectural Decisions Log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656"/>
            <w:shd w:fill="1F4E78"/>
          </w:tcPr>
          <w:p>
            <w:r>
              <w:rPr>
                <w:b/>
                <w:color w:val="FFFFFF"/>
                <w:sz w:val="16"/>
              </w:rPr>
              <w:t>Decision</w:t>
            </w:r>
          </w:p>
        </w:tc>
        <w:tc>
          <w:tcPr>
            <w:tcW w:type="dxa" w:w="3096"/>
            <w:shd w:fill="1F4E78"/>
          </w:tcPr>
          <w:p>
            <w:r>
              <w:rPr>
                <w:b/>
                <w:color w:val="FFFFFF"/>
                <w:sz w:val="16"/>
              </w:rPr>
              <w:t>Chosen approach</w:t>
            </w:r>
          </w:p>
        </w:tc>
        <w:tc>
          <w:tcPr>
            <w:tcW w:type="dxa" w:w="3672"/>
            <w:shd w:fill="1F4E78"/>
          </w:tcPr>
          <w:p>
            <w:r>
              <w:rPr>
                <w:b/>
                <w:color w:val="FFFFFF"/>
                <w:sz w:val="16"/>
              </w:rPr>
              <w:t>Reason</w:t>
            </w:r>
          </w:p>
        </w:tc>
        <w:tc>
          <w:tcPr>
            <w:tcW w:type="dxa" w:w="1656"/>
            <w:shd w:fill="1F4E78"/>
          </w:tcPr>
          <w:p>
            <w:r>
              <w:rPr>
                <w:b/>
                <w:color w:val="FFFFFF"/>
                <w:sz w:val="16"/>
              </w:rPr>
              <w:t>Revisit when</w:t>
            </w:r>
          </w:p>
        </w:tc>
      </w:tr>
      <w:tr>
        <w:tc>
          <w:tcPr>
            <w:tcW w:type="dxa" w:w="1656"/>
            <w:vAlign w:val="top"/>
            <w:tcMar>
              <w:top w:w="60" w:type="dxa"/>
              <w:start w:w="70" w:type="dxa"/>
              <w:bottom w:w="60" w:type="dxa"/>
              <w:end w:w="70" w:type="dxa"/>
            </w:tcMar>
          </w:tcPr>
          <w:p>
            <w:r>
              <w:rPr>
                <w:sz w:val="14"/>
              </w:rPr>
              <w:t>Asset scope</w:t>
            </w:r>
          </w:p>
        </w:tc>
        <w:tc>
          <w:tcPr>
            <w:tcW w:type="dxa" w:w="3096"/>
            <w:vAlign w:val="top"/>
            <w:tcMar>
              <w:top w:w="60" w:type="dxa"/>
              <w:start w:w="70" w:type="dxa"/>
              <w:bottom w:w="60" w:type="dxa"/>
              <w:end w:w="70" w:type="dxa"/>
            </w:tcMar>
          </w:tcPr>
          <w:p>
            <w:r>
              <w:rPr>
                <w:sz w:val="14"/>
              </w:rPr>
              <w:t>ETFs only</w:t>
            </w:r>
          </w:p>
        </w:tc>
        <w:tc>
          <w:tcPr>
            <w:tcW w:type="dxa" w:w="3672"/>
            <w:vAlign w:val="top"/>
            <w:tcMar>
              <w:top w:w="60" w:type="dxa"/>
              <w:start w:w="70" w:type="dxa"/>
              <w:bottom w:w="60" w:type="dxa"/>
              <w:end w:w="70" w:type="dxa"/>
            </w:tcMar>
          </w:tcPr>
          <w:p>
            <w:r>
              <w:rPr>
                <w:sz w:val="14"/>
              </w:rPr>
              <w:t>Cleaner macro/factor interpretation and lower data burden</w:t>
            </w:r>
          </w:p>
        </w:tc>
        <w:tc>
          <w:tcPr>
            <w:tcW w:type="dxa" w:w="1656"/>
            <w:vAlign w:val="top"/>
            <w:tcMar>
              <w:top w:w="60" w:type="dxa"/>
              <w:start w:w="70" w:type="dxa"/>
              <w:bottom w:w="60" w:type="dxa"/>
              <w:end w:w="70" w:type="dxa"/>
            </w:tcMar>
          </w:tcPr>
          <w:p>
            <w:r>
              <w:rPr>
                <w:sz w:val="14"/>
              </w:rPr>
              <w:t>MVP is calibrated and used consistently</w:t>
            </w:r>
          </w:p>
        </w:tc>
      </w:tr>
      <w:tr>
        <w:tc>
          <w:tcPr>
            <w:tcW w:type="dxa" w:w="1656"/>
            <w:vAlign w:val="top"/>
            <w:tcMar>
              <w:top w:w="60" w:type="dxa"/>
              <w:start w:w="70" w:type="dxa"/>
              <w:bottom w:w="60" w:type="dxa"/>
              <w:end w:w="70" w:type="dxa"/>
            </w:tcMar>
          </w:tcPr>
          <w:p>
            <w:r>
              <w:rPr>
                <w:sz w:val="14"/>
              </w:rPr>
              <w:t>Primary frequency</w:t>
            </w:r>
          </w:p>
        </w:tc>
        <w:tc>
          <w:tcPr>
            <w:tcW w:type="dxa" w:w="3096"/>
            <w:vAlign w:val="top"/>
            <w:tcMar>
              <w:top w:w="60" w:type="dxa"/>
              <w:start w:w="70" w:type="dxa"/>
              <w:bottom w:w="60" w:type="dxa"/>
              <w:end w:w="70" w:type="dxa"/>
            </w:tcMar>
          </w:tcPr>
          <w:p>
            <w:r>
              <w:rPr>
                <w:sz w:val="14"/>
              </w:rPr>
              <w:t>Daily/EOD</w:t>
            </w:r>
          </w:p>
        </w:tc>
        <w:tc>
          <w:tcPr>
            <w:tcW w:type="dxa" w:w="3672"/>
            <w:vAlign w:val="top"/>
            <w:tcMar>
              <w:top w:w="60" w:type="dxa"/>
              <w:start w:w="70" w:type="dxa"/>
              <w:bottom w:w="60" w:type="dxa"/>
              <w:end w:w="70" w:type="dxa"/>
            </w:tcMar>
          </w:tcPr>
          <w:p>
            <w:r>
              <w:rPr>
                <w:sz w:val="14"/>
              </w:rPr>
              <w:t>Lower cost and honest historical testing</w:t>
            </w:r>
          </w:p>
        </w:tc>
        <w:tc>
          <w:tcPr>
            <w:tcW w:type="dxa" w:w="1656"/>
            <w:vAlign w:val="top"/>
            <w:tcMar>
              <w:top w:w="60" w:type="dxa"/>
              <w:start w:w="70" w:type="dxa"/>
              <w:bottom w:w="60" w:type="dxa"/>
              <w:end w:w="70" w:type="dxa"/>
            </w:tcMar>
          </w:tcPr>
          <w:p>
            <w:r>
              <w:rPr>
                <w:sz w:val="14"/>
              </w:rPr>
              <w:t>Reliable intraday data is available</w:t>
            </w:r>
          </w:p>
        </w:tc>
      </w:tr>
      <w:tr>
        <w:tc>
          <w:tcPr>
            <w:tcW w:type="dxa" w:w="1656"/>
            <w:vAlign w:val="top"/>
            <w:tcMar>
              <w:top w:w="60" w:type="dxa"/>
              <w:start w:w="70" w:type="dxa"/>
              <w:bottom w:w="60" w:type="dxa"/>
              <w:end w:w="70" w:type="dxa"/>
            </w:tcMar>
          </w:tcPr>
          <w:p>
            <w:r>
              <w:rPr>
                <w:sz w:val="14"/>
              </w:rPr>
              <w:t>Current price</w:t>
            </w:r>
          </w:p>
        </w:tc>
        <w:tc>
          <w:tcPr>
            <w:tcW w:type="dxa" w:w="3096"/>
            <w:vAlign w:val="top"/>
            <w:tcMar>
              <w:top w:w="60" w:type="dxa"/>
              <w:start w:w="70" w:type="dxa"/>
              <w:bottom w:w="60" w:type="dxa"/>
              <w:end w:w="70" w:type="dxa"/>
            </w:tcMar>
          </w:tcPr>
          <w:p>
            <w:r>
              <w:rPr>
                <w:sz w:val="14"/>
              </w:rPr>
              <w:t>Provider quote with manual override</w:t>
            </w:r>
          </w:p>
        </w:tc>
        <w:tc>
          <w:tcPr>
            <w:tcW w:type="dxa" w:w="3672"/>
            <w:vAlign w:val="top"/>
            <w:tcMar>
              <w:top w:w="60" w:type="dxa"/>
              <w:start w:w="70" w:type="dxa"/>
              <w:bottom w:w="60" w:type="dxa"/>
              <w:end w:w="70" w:type="dxa"/>
            </w:tcMar>
          </w:tcPr>
          <w:p>
            <w:r>
              <w:rPr>
                <w:sz w:val="14"/>
              </w:rPr>
              <w:t>Works despite free-tier limits and supports real user context</w:t>
            </w:r>
          </w:p>
        </w:tc>
        <w:tc>
          <w:tcPr>
            <w:tcW w:type="dxa" w:w="1656"/>
            <w:vAlign w:val="top"/>
            <w:tcMar>
              <w:top w:w="60" w:type="dxa"/>
              <w:start w:w="70" w:type="dxa"/>
              <w:bottom w:w="60" w:type="dxa"/>
              <w:end w:w="70" w:type="dxa"/>
            </w:tcMar>
          </w:tcPr>
          <w:p>
            <w:r>
              <w:rPr>
                <w:sz w:val="14"/>
              </w:rPr>
              <w:t>Never remove manual fallback</w:t>
            </w:r>
          </w:p>
        </w:tc>
      </w:tr>
      <w:tr>
        <w:tc>
          <w:tcPr>
            <w:tcW w:type="dxa" w:w="1656"/>
            <w:vAlign w:val="top"/>
            <w:tcMar>
              <w:top w:w="60" w:type="dxa"/>
              <w:start w:w="70" w:type="dxa"/>
              <w:bottom w:w="60" w:type="dxa"/>
              <w:end w:w="70" w:type="dxa"/>
            </w:tcMar>
          </w:tcPr>
          <w:p>
            <w:r>
              <w:rPr>
                <w:sz w:val="14"/>
              </w:rPr>
              <w:t>Database</w:t>
            </w:r>
          </w:p>
        </w:tc>
        <w:tc>
          <w:tcPr>
            <w:tcW w:type="dxa" w:w="3096"/>
            <w:vAlign w:val="top"/>
            <w:tcMar>
              <w:top w:w="60" w:type="dxa"/>
              <w:start w:w="70" w:type="dxa"/>
              <w:bottom w:w="60" w:type="dxa"/>
              <w:end w:w="70" w:type="dxa"/>
            </w:tcMar>
          </w:tcPr>
          <w:p>
            <w:r>
              <w:rPr>
                <w:sz w:val="14"/>
              </w:rPr>
              <w:t>Supabase Postgres</w:t>
            </w:r>
          </w:p>
        </w:tc>
        <w:tc>
          <w:tcPr>
            <w:tcW w:type="dxa" w:w="3672"/>
            <w:vAlign w:val="top"/>
            <w:tcMar>
              <w:top w:w="60" w:type="dxa"/>
              <w:start w:w="70" w:type="dxa"/>
              <w:bottom w:w="60" w:type="dxa"/>
              <w:end w:w="70" w:type="dxa"/>
            </w:tcMar>
          </w:tcPr>
          <w:p>
            <w:r>
              <w:rPr>
                <w:sz w:val="14"/>
              </w:rPr>
              <w:t>Already available; strong SQL, RLS, vector support</w:t>
            </w:r>
          </w:p>
        </w:tc>
        <w:tc>
          <w:tcPr>
            <w:tcW w:type="dxa" w:w="1656"/>
            <w:vAlign w:val="top"/>
            <w:tcMar>
              <w:top w:w="60" w:type="dxa"/>
              <w:start w:w="70" w:type="dxa"/>
              <w:bottom w:w="60" w:type="dxa"/>
              <w:end w:w="70" w:type="dxa"/>
            </w:tcMar>
          </w:tcPr>
          <w:p>
            <w:r>
              <w:rPr>
                <w:sz w:val="14"/>
              </w:rPr>
              <w:t>Only at material scale constraints</w:t>
            </w:r>
          </w:p>
        </w:tc>
      </w:tr>
      <w:tr>
        <w:tc>
          <w:tcPr>
            <w:tcW w:type="dxa" w:w="1656"/>
            <w:vAlign w:val="top"/>
            <w:tcMar>
              <w:top w:w="60" w:type="dxa"/>
              <w:start w:w="70" w:type="dxa"/>
              <w:bottom w:w="60" w:type="dxa"/>
              <w:end w:w="70" w:type="dxa"/>
            </w:tcMar>
          </w:tcPr>
          <w:p>
            <w:r>
              <w:rPr>
                <w:sz w:val="14"/>
              </w:rPr>
              <w:t>Quant compute</w:t>
            </w:r>
          </w:p>
        </w:tc>
        <w:tc>
          <w:tcPr>
            <w:tcW w:type="dxa" w:w="3096"/>
            <w:vAlign w:val="top"/>
            <w:tcMar>
              <w:top w:w="60" w:type="dxa"/>
              <w:start w:w="70" w:type="dxa"/>
              <w:bottom w:w="60" w:type="dxa"/>
              <w:end w:w="70" w:type="dxa"/>
            </w:tcMar>
          </w:tcPr>
          <w:p>
            <w:r>
              <w:rPr>
                <w:sz w:val="14"/>
              </w:rPr>
              <w:t>Python service/jobs</w:t>
            </w:r>
          </w:p>
        </w:tc>
        <w:tc>
          <w:tcPr>
            <w:tcW w:type="dxa" w:w="3672"/>
            <w:vAlign w:val="top"/>
            <w:tcMar>
              <w:top w:w="60" w:type="dxa"/>
              <w:start w:w="70" w:type="dxa"/>
              <w:bottom w:w="60" w:type="dxa"/>
              <w:end w:w="70" w:type="dxa"/>
            </w:tcMar>
          </w:tcPr>
          <w:p>
            <w:r>
              <w:rPr>
                <w:sz w:val="14"/>
              </w:rPr>
              <w:t>Best ecosystem for statistics and reproducibility</w:t>
            </w:r>
          </w:p>
        </w:tc>
        <w:tc>
          <w:tcPr>
            <w:tcW w:type="dxa" w:w="1656"/>
            <w:vAlign w:val="top"/>
            <w:tcMar>
              <w:top w:w="60" w:type="dxa"/>
              <w:start w:w="70" w:type="dxa"/>
              <w:bottom w:w="60" w:type="dxa"/>
              <w:end w:w="70" w:type="dxa"/>
            </w:tcMar>
          </w:tcPr>
          <w:p>
            <w:r>
              <w:rPr>
                <w:sz w:val="14"/>
              </w:rPr>
              <w:t>Keep API stable if infrastructure changes</w:t>
            </w:r>
          </w:p>
        </w:tc>
      </w:tr>
      <w:tr>
        <w:tc>
          <w:tcPr>
            <w:tcW w:type="dxa" w:w="1656"/>
            <w:vAlign w:val="top"/>
            <w:tcMar>
              <w:top w:w="60" w:type="dxa"/>
              <w:start w:w="70" w:type="dxa"/>
              <w:bottom w:w="60" w:type="dxa"/>
              <w:end w:w="70" w:type="dxa"/>
            </w:tcMar>
          </w:tcPr>
          <w:p>
            <w:r>
              <w:rPr>
                <w:sz w:val="14"/>
              </w:rPr>
              <w:t>Scheduling</w:t>
            </w:r>
          </w:p>
        </w:tc>
        <w:tc>
          <w:tcPr>
            <w:tcW w:type="dxa" w:w="3096"/>
            <w:vAlign w:val="top"/>
            <w:tcMar>
              <w:top w:w="60" w:type="dxa"/>
              <w:start w:w="70" w:type="dxa"/>
              <w:bottom w:w="60" w:type="dxa"/>
              <w:end w:w="70" w:type="dxa"/>
            </w:tcMar>
          </w:tcPr>
          <w:p>
            <w:r>
              <w:rPr>
                <w:sz w:val="14"/>
              </w:rPr>
              <w:t>GitHub Actions plus Supabase Cron</w:t>
            </w:r>
          </w:p>
        </w:tc>
        <w:tc>
          <w:tcPr>
            <w:tcW w:type="dxa" w:w="3672"/>
            <w:vAlign w:val="top"/>
            <w:tcMar>
              <w:top w:w="60" w:type="dxa"/>
              <w:start w:w="70" w:type="dxa"/>
              <w:bottom w:w="60" w:type="dxa"/>
              <w:end w:w="70" w:type="dxa"/>
            </w:tcMar>
          </w:tcPr>
          <w:p>
            <w:r>
              <w:rPr>
                <w:sz w:val="14"/>
              </w:rPr>
              <w:t>Low-cost personal MVP</w:t>
            </w:r>
          </w:p>
        </w:tc>
        <w:tc>
          <w:tcPr>
            <w:tcW w:type="dxa" w:w="1656"/>
            <w:vAlign w:val="top"/>
            <w:tcMar>
              <w:top w:w="60" w:type="dxa"/>
              <w:start w:w="70" w:type="dxa"/>
              <w:bottom w:w="60" w:type="dxa"/>
              <w:end w:w="70" w:type="dxa"/>
            </w:tcMar>
          </w:tcPr>
          <w:p>
            <w:r>
              <w:rPr>
                <w:sz w:val="14"/>
              </w:rPr>
              <w:t>Reliability/runtime becomes insufficient</w:t>
            </w:r>
          </w:p>
        </w:tc>
      </w:tr>
      <w:tr>
        <w:tc>
          <w:tcPr>
            <w:tcW w:type="dxa" w:w="1656"/>
            <w:vAlign w:val="top"/>
            <w:tcMar>
              <w:top w:w="60" w:type="dxa"/>
              <w:start w:w="70" w:type="dxa"/>
              <w:bottom w:w="60" w:type="dxa"/>
              <w:end w:w="70" w:type="dxa"/>
            </w:tcMar>
          </w:tcPr>
          <w:p>
            <w:r>
              <w:rPr>
                <w:sz w:val="14"/>
              </w:rPr>
              <w:t>Search</w:t>
            </w:r>
          </w:p>
        </w:tc>
        <w:tc>
          <w:tcPr>
            <w:tcW w:type="dxa" w:w="3096"/>
            <w:vAlign w:val="top"/>
            <w:tcMar>
              <w:top w:w="60" w:type="dxa"/>
              <w:start w:w="70" w:type="dxa"/>
              <w:bottom w:w="60" w:type="dxa"/>
              <w:end w:w="70" w:type="dxa"/>
            </w:tcMar>
          </w:tcPr>
          <w:p>
            <w:r>
              <w:rPr>
                <w:sz w:val="14"/>
              </w:rPr>
              <w:t>Tool-routed RAG</w:t>
            </w:r>
          </w:p>
        </w:tc>
        <w:tc>
          <w:tcPr>
            <w:tcW w:type="dxa" w:w="3672"/>
            <w:vAlign w:val="top"/>
            <w:tcMar>
              <w:top w:w="60" w:type="dxa"/>
              <w:start w:w="70" w:type="dxa"/>
              <w:bottom w:w="60" w:type="dxa"/>
              <w:end w:w="70" w:type="dxa"/>
            </w:tcMar>
          </w:tcPr>
          <w:p>
            <w:r>
              <w:rPr>
                <w:sz w:val="14"/>
              </w:rPr>
              <w:t>Keeps arithmetic grounded</w:t>
            </w:r>
          </w:p>
        </w:tc>
        <w:tc>
          <w:tcPr>
            <w:tcW w:type="dxa" w:w="1656"/>
            <w:vAlign w:val="top"/>
            <w:tcMar>
              <w:top w:w="60" w:type="dxa"/>
              <w:start w:w="70" w:type="dxa"/>
              <w:bottom w:w="60" w:type="dxa"/>
              <w:end w:w="70" w:type="dxa"/>
            </w:tcMar>
          </w:tcPr>
          <w:p>
            <w:r>
              <w:rPr>
                <w:sz w:val="14"/>
              </w:rPr>
              <w:t>Add more tools, not unconstrained prompting</w:t>
            </w:r>
          </w:p>
        </w:tc>
      </w:tr>
      <w:tr>
        <w:tc>
          <w:tcPr>
            <w:tcW w:type="dxa" w:w="1656"/>
            <w:vAlign w:val="top"/>
            <w:tcMar>
              <w:top w:w="60" w:type="dxa"/>
              <w:start w:w="70" w:type="dxa"/>
              <w:bottom w:w="60" w:type="dxa"/>
              <w:end w:w="70" w:type="dxa"/>
            </w:tcMar>
          </w:tcPr>
          <w:p>
            <w:r>
              <w:rPr>
                <w:sz w:val="14"/>
              </w:rPr>
              <w:t>Learning</w:t>
            </w:r>
          </w:p>
        </w:tc>
        <w:tc>
          <w:tcPr>
            <w:tcW w:type="dxa" w:w="3096"/>
            <w:vAlign w:val="top"/>
            <w:tcMar>
              <w:top w:w="60" w:type="dxa"/>
              <w:start w:w="70" w:type="dxa"/>
              <w:bottom w:w="60" w:type="dxa"/>
              <w:end w:w="70" w:type="dxa"/>
            </w:tcMar>
          </w:tcPr>
          <w:p>
            <w:r>
              <w:rPr>
                <w:sz w:val="14"/>
              </w:rPr>
              <w:t>Champion-challenger</w:t>
            </w:r>
          </w:p>
        </w:tc>
        <w:tc>
          <w:tcPr>
            <w:tcW w:type="dxa" w:w="3672"/>
            <w:vAlign w:val="top"/>
            <w:tcMar>
              <w:top w:w="60" w:type="dxa"/>
              <w:start w:w="70" w:type="dxa"/>
              <w:bottom w:w="60" w:type="dxa"/>
              <w:end w:w="70" w:type="dxa"/>
            </w:tcMar>
          </w:tcPr>
          <w:p>
            <w:r>
              <w:rPr>
                <w:sz w:val="14"/>
              </w:rPr>
              <w:t>Prevents noisy self-modification</w:t>
            </w:r>
          </w:p>
        </w:tc>
        <w:tc>
          <w:tcPr>
            <w:tcW w:type="dxa" w:w="1656"/>
            <w:vAlign w:val="top"/>
            <w:tcMar>
              <w:top w:w="60" w:type="dxa"/>
              <w:start w:w="70" w:type="dxa"/>
              <w:bottom w:w="60" w:type="dxa"/>
              <w:end w:w="70" w:type="dxa"/>
            </w:tcMar>
          </w:tcPr>
          <w:p>
            <w:r>
              <w:rPr>
                <w:sz w:val="14"/>
              </w:rPr>
              <w:t>Never bypass for convenience</w:t>
            </w:r>
          </w:p>
        </w:tc>
      </w:tr>
      <w:tr>
        <w:tc>
          <w:tcPr>
            <w:tcW w:type="dxa" w:w="1656"/>
            <w:vAlign w:val="top"/>
            <w:tcMar>
              <w:top w:w="60" w:type="dxa"/>
              <w:start w:w="70" w:type="dxa"/>
              <w:bottom w:w="60" w:type="dxa"/>
              <w:end w:w="70" w:type="dxa"/>
            </w:tcMar>
          </w:tcPr>
          <w:p>
            <w:r>
              <w:rPr>
                <w:sz w:val="14"/>
              </w:rPr>
              <w:t>Execution</w:t>
            </w:r>
          </w:p>
        </w:tc>
        <w:tc>
          <w:tcPr>
            <w:tcW w:type="dxa" w:w="3096"/>
            <w:vAlign w:val="top"/>
            <w:tcMar>
              <w:top w:w="60" w:type="dxa"/>
              <w:start w:w="70" w:type="dxa"/>
              <w:bottom w:w="60" w:type="dxa"/>
              <w:end w:w="70" w:type="dxa"/>
            </w:tcMar>
          </w:tcPr>
          <w:p>
            <w:r>
              <w:rPr>
                <w:sz w:val="14"/>
              </w:rPr>
              <w:t>Manual</w:t>
            </w:r>
          </w:p>
        </w:tc>
        <w:tc>
          <w:tcPr>
            <w:tcW w:type="dxa" w:w="3672"/>
            <w:vAlign w:val="top"/>
            <w:tcMar>
              <w:top w:w="60" w:type="dxa"/>
              <w:start w:w="70" w:type="dxa"/>
              <w:bottom w:w="60" w:type="dxa"/>
              <w:end w:w="70" w:type="dxa"/>
            </w:tcMar>
          </w:tcPr>
          <w:p>
            <w:r>
              <w:rPr>
                <w:sz w:val="14"/>
              </w:rPr>
              <w:t>Personal decision support, lower risk and complexity</w:t>
            </w:r>
          </w:p>
        </w:tc>
        <w:tc>
          <w:tcPr>
            <w:tcW w:type="dxa" w:w="1656"/>
            <w:vAlign w:val="top"/>
            <w:tcMar>
              <w:top w:w="60" w:type="dxa"/>
              <w:start w:w="70" w:type="dxa"/>
              <w:bottom w:w="60" w:type="dxa"/>
              <w:end w:w="70" w:type="dxa"/>
            </w:tcMar>
          </w:tcPr>
          <w:p>
            <w:r>
              <w:rPr>
                <w:sz w:val="14"/>
              </w:rPr>
              <w:t>Only after extensive validation</w:t>
            </w:r>
          </w:p>
        </w:tc>
      </w:tr>
    </w:tbl>
    <w:p>
      <w:r>
        <w:br w:type="page"/>
      </w:r>
    </w:p>
    <w:p>
      <w:pPr>
        <w:pStyle w:val="Heading1"/>
      </w:pPr>
      <w:r>
        <w:t>22. Technical Reference Sources</w:t>
      </w:r>
    </w:p>
    <w:p>
      <w:r>
        <w:rPr>
          <w:i w:val="0"/>
        </w:rPr>
        <w:t>The build recommendations rely on the following official documentation. Provider limits and terms can change; the implementation must keep integrations replaceable and verify current terms before deployment.</w:t>
      </w:r>
    </w:p>
    <w:p>
      <w:pPr>
        <w:pStyle w:val="ListBullet"/>
      </w:pPr>
      <w:hyperlink r:id="rId11">
        <w:r>
          <w:rPr>
            <w:color w:val="1F4E78"/>
            <w:u w:val="single"/>
            <w:rFonts w:ascii="Liberation Sans" w:hAnsi="Liberation Sans"/>
          </w:rPr>
          <w:t>Supabase pgvector: embeddings and vector similarity</w:t>
        </w:r>
      </w:hyperlink>
    </w:p>
    <w:p>
      <w:pPr>
        <w:pStyle w:val="ListBullet"/>
      </w:pPr>
      <w:hyperlink r:id="rId12">
        <w:r>
          <w:rPr>
            <w:color w:val="1F4E78"/>
            <w:u w:val="single"/>
            <w:rFonts w:ascii="Liberation Sans" w:hAnsi="Liberation Sans"/>
          </w:rPr>
          <w:t>Supabase AI and vectors</w:t>
        </w:r>
      </w:hyperlink>
    </w:p>
    <w:p>
      <w:pPr>
        <w:pStyle w:val="ListBullet"/>
      </w:pPr>
      <w:hyperlink r:id="rId13">
        <w:r>
          <w:rPr>
            <w:color w:val="1F4E78"/>
            <w:u w:val="single"/>
            <w:rFonts w:ascii="Liberation Sans" w:hAnsi="Liberation Sans"/>
          </w:rPr>
          <w:t>Supabase Cron</w:t>
        </w:r>
      </w:hyperlink>
    </w:p>
    <w:p>
      <w:pPr>
        <w:pStyle w:val="ListBullet"/>
      </w:pPr>
      <w:hyperlink r:id="rId14">
        <w:r>
          <w:rPr>
            <w:color w:val="1F4E78"/>
            <w:u w:val="single"/>
            <w:rFonts w:ascii="Liberation Sans" w:hAnsi="Liberation Sans"/>
          </w:rPr>
          <w:t>Scheduling Supabase Edge Functions</w:t>
        </w:r>
      </w:hyperlink>
    </w:p>
    <w:p>
      <w:pPr>
        <w:pStyle w:val="ListBullet"/>
      </w:pPr>
      <w:hyperlink r:id="rId15">
        <w:r>
          <w:rPr>
            <w:color w:val="1F4E78"/>
            <w:u w:val="single"/>
            <w:rFonts w:ascii="Liberation Sans" w:hAnsi="Liberation Sans"/>
          </w:rPr>
          <w:t>Supabase Edge Functions</w:t>
        </w:r>
      </w:hyperlink>
    </w:p>
    <w:p>
      <w:pPr>
        <w:pStyle w:val="ListBullet"/>
      </w:pPr>
      <w:hyperlink r:id="rId16">
        <w:r>
          <w:rPr>
            <w:color w:val="1F4E78"/>
            <w:u w:val="single"/>
            <w:rFonts w:ascii="Liberation Sans" w:hAnsi="Liberation Sans"/>
          </w:rPr>
          <w:t>Supabase Row Level Security</w:t>
        </w:r>
      </w:hyperlink>
    </w:p>
    <w:p>
      <w:pPr>
        <w:pStyle w:val="ListBullet"/>
      </w:pPr>
      <w:hyperlink r:id="rId17">
        <w:r>
          <w:rPr>
            <w:color w:val="1F4E78"/>
            <w:u w:val="single"/>
            <w:rFonts w:ascii="Liberation Sans" w:hAnsi="Liberation Sans"/>
          </w:rPr>
          <w:t>Supabase securing the API</w:t>
        </w:r>
      </w:hyperlink>
    </w:p>
    <w:p>
      <w:pPr>
        <w:pStyle w:val="ListBullet"/>
      </w:pPr>
      <w:hyperlink r:id="rId18">
        <w:r>
          <w:rPr>
            <w:color w:val="1F4E78"/>
            <w:u w:val="single"/>
            <w:rFonts w:ascii="Liberation Sans" w:hAnsi="Liberation Sans"/>
          </w:rPr>
          <w:t>Supabase Vault</w:t>
        </w:r>
      </w:hyperlink>
    </w:p>
    <w:p>
      <w:pPr>
        <w:pStyle w:val="ListBullet"/>
      </w:pPr>
      <w:hyperlink r:id="rId19">
        <w:r>
          <w:rPr>
            <w:color w:val="1F4E78"/>
            <w:u w:val="single"/>
            <w:rFonts w:ascii="Liberation Sans" w:hAnsi="Liberation Sans"/>
          </w:rPr>
          <w:t>FRED and ALFRED API</w:t>
        </w:r>
      </w:hyperlink>
    </w:p>
    <w:p>
      <w:pPr>
        <w:pStyle w:val="ListBullet"/>
      </w:pPr>
      <w:hyperlink r:id="rId20">
        <w:r>
          <w:rPr>
            <w:color w:val="1F4E78"/>
            <w:u w:val="single"/>
            <w:rFonts w:ascii="Liberation Sans" w:hAnsi="Liberation Sans"/>
          </w:rPr>
          <w:t>Alpha Vantage market-data API documentation</w:t>
        </w:r>
      </w:hyperlink>
    </w:p>
    <w:p>
      <w:pPr>
        <w:pStyle w:val="ListBullet"/>
      </w:pPr>
      <w:hyperlink r:id="rId21">
        <w:r>
          <w:rPr>
            <w:color w:val="1F4E78"/>
            <w:u w:val="single"/>
            <w:rFonts w:ascii="Liberation Sans" w:hAnsi="Liberation Sans"/>
          </w:rPr>
          <w:t>Twelve Data API documentation</w:t>
        </w:r>
      </w:hyperlink>
    </w:p>
    <w:p>
      <w:pPr>
        <w:pStyle w:val="ListBullet"/>
      </w:pPr>
      <w:hyperlink r:id="rId22">
        <w:r>
          <w:rPr>
            <w:color w:val="1F4E78"/>
            <w:u w:val="single"/>
            <w:rFonts w:ascii="Liberation Sans" w:hAnsi="Liberation Sans"/>
          </w:rPr>
          <w:t>GDELT data and APIs</w:t>
        </w:r>
      </w:hyperlink>
    </w:p>
    <w:p>
      <w:r>
        <w:br w:type="page"/>
      </w:r>
    </w:p>
    <w:p>
      <w:pPr>
        <w:pStyle w:val="Heading1"/>
      </w:pPr>
      <w:r>
        <w:t>23. Final Build Directive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60"/>
            </w:pPr>
            <w:r>
              <w:rPr>
                <w:b/>
                <w:color w:val="375623"/>
              </w:rPr>
              <w:t>Build the feedback loop before chasing sophistication</w:t>
            </w:r>
          </w:p>
          <w:p>
            <w:pPr>
              <w:spacing w:after="0"/>
            </w:pPr>
            <w:r>
              <w:t>The first valuable version is not the model with the most features. It is the system that reliably records the price used, what the model said, what the user did, and what happened. Once that loop is trustworthy, better data and models can be tested scientifically instead of added as persuasive but unmeasured complexity.</w:t>
            </w:r>
          </w:p>
        </w:tc>
      </w:tr>
    </w:tbl>
    <w:p>
      <w:r>
        <w:rPr>
          <w:i w:val="0"/>
        </w:rPr>
        <w:t>The defining interaction should be simple:</w:t>
      </w:r>
    </w:p>
    <w:tbl>
      <w:tblPr>
        <w:tblW w:type="auto" w:w="0"/>
        <w:jc w:val="center"/>
        <w:tblLayout w:type="autofit"/>
        <w:tblLook w:firstColumn="1" w:firstRow="1" w:lastColumn="0" w:lastRow="0" w:noHBand="0" w:noVBand="1" w:val="04A0"/>
      </w:tblPr>
      <w:tblGrid>
        <w:gridCol w:w="10166"/>
      </w:tblGrid>
      <w:tr>
        <w:tc>
          <w:tcPr>
            <w:tcW w:type="dxa" w:w="10166"/>
            <w:shd w:fill="F3F5F7"/>
            <w:tcMar>
              <w:top w:w="90" w:type="dxa"/>
              <w:start w:w="120" w:type="dxa"/>
              <w:bottom w:w="90" w:type="dxa"/>
              <w:end w:w="120" w:type="dxa"/>
            </w:tcMar>
          </w:tcPr>
          <w:p>
            <w:pPr>
              <w:keepLines/>
              <w:spacing w:after="0"/>
            </w:pPr>
            <w:r>
              <w:rPr>
                <w:rFonts w:ascii="Liberation Mono" w:hAnsi="Liberation Mono"/>
                <w:sz w:val="17"/>
              </w:rPr>
              <w:t>Ask: "Analyze SMH at the current price" or "Analyze SMH at 280.90."</w:t>
              <w:br/>
            </w:r>
            <w:r>
              <w:rPr>
                <w:rFonts w:ascii="Liberation Mono" w:hAnsi="Liberation Mono"/>
                <w:sz w:val="17"/>
              </w:rPr>
              <w:br/>
            </w:r>
            <w:r>
              <w:rPr>
                <w:rFonts w:ascii="Liberation Mono" w:hAnsi="Liberation Mono"/>
                <w:sz w:val="17"/>
              </w:rPr>
              <w:t>The app:</w:t>
              <w:br/>
            </w:r>
            <w:r>
              <w:rPr>
                <w:rFonts w:ascii="Liberation Mono" w:hAnsi="Liberation Mono"/>
                <w:sz w:val="17"/>
              </w:rPr>
              <w:t>- retrieves or accepts the price,</w:t>
              <w:br/>
            </w:r>
            <w:r>
              <w:rPr>
                <w:rFonts w:ascii="Liberation Mono" w:hAnsi="Liberation Mono"/>
                <w:sz w:val="17"/>
              </w:rPr>
              <w:t>- labels the source and timestamp,</w:t>
              <w:br/>
            </w:r>
            <w:r>
              <w:rPr>
                <w:rFonts w:ascii="Liberation Mono" w:hAnsi="Liberation Mono"/>
                <w:sz w:val="17"/>
              </w:rPr>
              <w:t>- evaluates the current state,</w:t>
              <w:br/>
            </w:r>
            <w:r>
              <w:rPr>
                <w:rFonts w:ascii="Liberation Mono" w:hAnsi="Liberation Mono"/>
                <w:sz w:val="17"/>
              </w:rPr>
              <w:t>- finds comparable episodes,</w:t>
              <w:br/>
            </w:r>
            <w:r>
              <w:rPr>
                <w:rFonts w:ascii="Liberation Mono" w:hAnsi="Liberation Mono"/>
                <w:sz w:val="17"/>
              </w:rPr>
              <w:t>- produces a calibrated forecast and downside range,</w:t>
              <w:br/>
            </w:r>
            <w:r>
              <w:rPr>
                <w:rFonts w:ascii="Liberation Mono" w:hAnsi="Liberation Mono"/>
                <w:sz w:val="17"/>
              </w:rPr>
              <w:t>- explains the recommendation,</w:t>
              <w:br/>
            </w:r>
            <w:r>
              <w:rPr>
                <w:rFonts w:ascii="Liberation Mono" w:hAnsi="Liberation Mono"/>
                <w:sz w:val="17"/>
              </w:rPr>
              <w:t>- records the user decision,</w:t>
              <w:br/>
            </w:r>
            <w:r>
              <w:rPr>
                <w:rFonts w:ascii="Liberation Mono" w:hAnsi="Liberation Mono"/>
                <w:sz w:val="17"/>
              </w:rPr>
              <w:t>- and later shows both parties what actually happened.</w:t>
            </w:r>
          </w:p>
        </w:tc>
      </w:tr>
    </w:tbl>
    <w:p>
      <w:pPr>
        <w:spacing w:after="0"/>
      </w:pPr>
    </w:p>
    <w:p>
      <w:r>
        <w:rPr>
          <w:i w:val="0"/>
        </w:rPr>
        <w:t>The product succeeds when its historical record is trusted enough that the user can ask not only “What should I consider today?” but also “When should I trust this model, and when has my judgment been better?”</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5"/>
      </w:rPr>
      <w:t>MARKET MEMORY  |  PERSONAL ETF PREDICTION &amp; DECISION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F4E78"/>
      <w:sz w:val="29"/>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Liberation Sans" w:hAnsi="Liberation Sans"/>
      <w:b/>
      <w:bCs/>
      <w:i/>
      <w:iCs/>
      <w:color w:val="44546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Liberation Mono" w:hAnsi="Liberation Mono"/>
      <w:color w:val="37415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ase.com/docs/guides/database/extensions/pgvector" TargetMode="External"/><Relationship Id="rId12" Type="http://schemas.openxmlformats.org/officeDocument/2006/relationships/hyperlink" Target="https://supabase.com/docs/guides/ai" TargetMode="External"/><Relationship Id="rId13" Type="http://schemas.openxmlformats.org/officeDocument/2006/relationships/hyperlink" Target="https://supabase.com/docs/guides/cron" TargetMode="External"/><Relationship Id="rId14" Type="http://schemas.openxmlformats.org/officeDocument/2006/relationships/hyperlink" Target="https://supabase.com/docs/guides/functions/schedule-functions" TargetMode="External"/><Relationship Id="rId15" Type="http://schemas.openxmlformats.org/officeDocument/2006/relationships/hyperlink" Target="https://supabase.com/docs/guides/functions" TargetMode="External"/><Relationship Id="rId16" Type="http://schemas.openxmlformats.org/officeDocument/2006/relationships/hyperlink" Target="https://supabase.com/docs/guides/database/postgres/row-level-security" TargetMode="External"/><Relationship Id="rId17" Type="http://schemas.openxmlformats.org/officeDocument/2006/relationships/hyperlink" Target="https://supabase.com/docs/guides/api/securing-your-api" TargetMode="External"/><Relationship Id="rId18" Type="http://schemas.openxmlformats.org/officeDocument/2006/relationships/hyperlink" Target="https://supabase.com/docs/guides/database/vault" TargetMode="External"/><Relationship Id="rId19" Type="http://schemas.openxmlformats.org/officeDocument/2006/relationships/hyperlink" Target="https://fred.stlouisfed.org/docs/api/fred/" TargetMode="External"/><Relationship Id="rId20" Type="http://schemas.openxmlformats.org/officeDocument/2006/relationships/hyperlink" Target="https://www.alphavantage.co/documentation/" TargetMode="External"/><Relationship Id="rId21" Type="http://schemas.openxmlformats.org/officeDocument/2006/relationships/hyperlink" Target="https://twelvedata.com/docs" TargetMode="External"/><Relationship Id="rId22" Type="http://schemas.openxmlformats.org/officeDocument/2006/relationships/hyperlink" Target="https://www.gdeltproject.org/dat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Memory Personal ETF Prediction Engine Build Specification</dc:title>
  <dc:subject>Build specification and coding-agent prompt for a Supabase-backed personal ETF prediction and decision system</dc:subject>
  <dc:creator>OpenAI</dc:creator>
  <cp:keywords>ETF, prediction engine, Supabase, Next.js, Python, historical analogs, decision journal, AI search</cp:keywords>
  <dc:description>Prepared for personal development use.</dc:description>
  <cp:lastModifiedBy/>
  <cp:revision>1</cp:revision>
  <dcterms:created xsi:type="dcterms:W3CDTF">2013-12-23T23:15:00Z</dcterms:created>
  <dcterms:modified xsi:type="dcterms:W3CDTF">2013-12-23T23:15:00Z</dcterms:modified>
  <cp:category/>
</cp:coreProperties>
</file>