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Setup Configuration File</w:t>
      </w:r>
    </w:p>
    <w:p>
      <w:pPr>
        <w:pStyle w:val="Heading1"/>
      </w:pPr>
      <w:r>
        <w:t>This tool must be the first one ran.  It will set up a configuration file that will ensure that the tools within this toolbox can always properly find the Little River Drainage District Geodatabase.  If the path of the Geodatabase is ever changed (eg the Geodatabase is moved), this tool will need to be ran again.</w:t>
      </w:r>
    </w:p>
    <w:p>
      <w:pPr>
        <w:pStyle w:val="Heading2"/>
      </w:pPr>
      <w:r>
        <w:t>Tool Parameters</w:t>
      </w:r>
    </w:p>
    <w:p>
      <w:pPr>
        <w:pStyle w:val="ListBullet"/>
        <w:ind w:left="720"/>
      </w:pPr>
      <w:r>
        <w:t>Geodatabase: (type: Workspace) &lt;-- Required. Full path to the Geodatabase for the Little River District</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SetupConfigFile.PNG"/>
                    <pic:cNvPicPr/>
                  </pic:nvPicPr>
                  <pic:blipFill>
                    <a:blip r:embed="rId9"/>
                    <a:stretch>
                      <a:fillRect/>
                    </a:stretch>
                  </pic:blipFill>
                  <pic:spPr>
                    <a:xfrm>
                      <a:off x="0" y="0"/>
                      <a:ext cx="5486400" cy="36576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