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本季度营收增长 20%,主要来自三个方面:产品,渠道,服务.</w:t>
      </w:r>
    </w:p>
    <w:p>
      <w:r>
        <w:t>明年目标是再翻一倍(挑战很大)!大家准备好了吗?</w:t>
      </w:r>
    </w:p>
  </w:body>
</w:document>
</file>