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1321" w:end="1314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1" allowOverlap="1" relativeHeight="3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6520 w 4284000"/>
                            <a:gd name="textAreaTop" fmla="*/ 0 h 6055200"/>
                            <a:gd name="textAreaBottom" fmla="*/ 605772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Федеральное</w:t>
      </w:r>
      <w:r>
        <w:rPr>
          <w:spacing w:val="-18"/>
        </w:rPr>
        <w:t xml:space="preserve"> </w:t>
      </w:r>
      <w:r>
        <w:rPr/>
        <w:t>государственное</w:t>
      </w:r>
      <w:r>
        <w:rPr>
          <w:spacing w:val="-17"/>
        </w:rPr>
        <w:t xml:space="preserve"> </w:t>
      </w:r>
      <w:r>
        <w:rPr/>
        <w:t>автономное образовательное учреждение</w:t>
      </w:r>
    </w:p>
    <w:p>
      <w:pPr>
        <w:pStyle w:val="BodyText"/>
        <w:ind w:start="1321" w:end="1317"/>
        <w:jc w:val="center"/>
        <w:rPr/>
      </w:pPr>
      <w:r>
        <w:rPr/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>
      <w:pPr>
        <w:pStyle w:val="BodyText"/>
        <w:ind w:start="1321" w:end="1317"/>
        <w:jc w:val="center"/>
        <w:rPr/>
      </w:pPr>
      <w:r>
        <w:rPr/>
        <w:t>«СИБИРСКИЙ</w:t>
      </w:r>
      <w:r>
        <w:rPr>
          <w:spacing w:val="-11"/>
        </w:rPr>
        <w:t xml:space="preserve"> </w:t>
      </w:r>
      <w:r>
        <w:rPr/>
        <w:t>ФЕДЕРАЛЬНЫЙ</w:t>
      </w:r>
      <w:r>
        <w:rPr>
          <w:spacing w:val="-10"/>
        </w:rPr>
        <w:t xml:space="preserve"> </w:t>
      </w:r>
      <w:r>
        <w:rPr>
          <w:spacing w:val="-2"/>
        </w:rPr>
        <w:t>УНИВЕРСИТЕТ»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ind w:start="1321" w:end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институт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tabs>
          <w:tab w:val="clear" w:pos="720"/>
          <w:tab w:val="left" w:pos="2632" w:leader="none"/>
          <w:tab w:val="left" w:pos="9379" w:leader="none"/>
        </w:tabs>
        <w:ind w:end="209"/>
        <w:jc w:val="center"/>
        <w:rPr>
          <w:spacing w:val="-10"/>
          <w:u w:val="single"/>
        </w:rPr>
      </w:pPr>
      <w:r>
        <w:rPr>
          <w:spacing w:val="-10"/>
          <w:u w:val="single"/>
        </w:rPr>
        <w:t>Прикладная информатика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кафедра</w:t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spacing w:before="276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Title"/>
        <w:rPr/>
      </w:pPr>
      <w:r>
        <w:rPr/>
        <w:t>ОТЧЕТ О ПРАКТИЧЕСКОЙ</w:t>
      </w:r>
      <w:r>
        <w:rPr>
          <w:spacing w:val="-11"/>
        </w:rPr>
        <w:t xml:space="preserve"> </w:t>
      </w:r>
      <w:r>
        <w:rPr/>
        <w:t>РАБОТЕ №7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</w:rPr>
        <w:t xml:space="preserve"> </w:t>
      </w:r>
      <w:r>
        <w:rPr>
          <w:b w:val="false"/>
        </w:rPr>
        <w:t xml:space="preserve">Диагностика Симонов–Цай </w:t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57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9438" w:type="dxa"/>
        <w:jc w:val="start"/>
        <w:tblInd w:w="9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99"/>
        <w:gridCol w:w="2287"/>
        <w:gridCol w:w="2452"/>
      </w:tblGrid>
      <w:tr>
        <w:trPr>
          <w:trHeight w:val="708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lineRule="exact" w:line="310" w:before="0" w:after="0"/>
              <w:ind w:start="50"/>
              <w:jc w:val="star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Преподаватель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0" w:before="0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0" w:before="0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С.Н. Масаев</w:t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  <w:tr>
        <w:trPr>
          <w:trHeight w:val="455" w:hRule="atLeast"/>
        </w:trPr>
        <w:tc>
          <w:tcPr>
            <w:tcW w:w="4699" w:type="dxa"/>
            <w:tcBorders/>
          </w:tcPr>
          <w:p>
            <w:pPr>
              <w:pStyle w:val="TableParagraph"/>
              <w:tabs>
                <w:tab w:val="clear" w:pos="720"/>
                <w:tab w:val="left" w:pos="2703" w:leader="none"/>
                <w:tab w:val="left" w:pos="4569" w:leader="none"/>
              </w:tabs>
              <w:suppressAutoHyphens w:val="true"/>
              <w:spacing w:lineRule="exact" w:line="312" w:before="123" w:after="0"/>
              <w:ind w:start="50"/>
              <w:jc w:val="star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Студент</w:t>
            </w:r>
            <w:r>
              <w:rPr>
                <w:spacing w:val="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35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КИ23-</w:t>
            </w:r>
            <w:r>
              <w:rPr>
                <w:spacing w:val="-5"/>
                <w:kern w:val="0"/>
                <w:sz w:val="28"/>
                <w:szCs w:val="22"/>
                <w:u w:val="single"/>
                <w:lang w:eastAsia="en-US" w:bidi="ar-SA"/>
              </w:rPr>
              <w:t>20б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№032320492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2" w:before="123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2" w:before="123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>А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.В.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Илющенко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</w:tr>
      <w:tr>
        <w:trPr>
          <w:trHeight w:val="253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1308"/>
              <w:jc w:val="start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номер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группы,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зачетной</w:t>
            </w:r>
            <w:r>
              <w:rPr>
                <w:i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книжки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</w:tbl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567" w:gutter="0" w:header="0" w:top="1134" w:footer="0" w:bottom="1134"/>
          <w:pgNumType w:fmt="decimal"/>
          <w:formProt w:val="false"/>
          <w:titlePg/>
          <w:textDirection w:val="lrTb"/>
          <w:docGrid w:type="default" w:linePitch="299" w:charSpace="0"/>
        </w:sectPr>
        <w:pStyle w:val="BodyText"/>
        <w:spacing w:before="0" w:after="0"/>
        <w:ind w:start="1321" w:end="1317"/>
        <w:jc w:val="center"/>
        <w:rPr/>
      </w:pPr>
      <w:r>
        <w:rPr/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>
      <w:pPr>
        <w:pStyle w:val="Heading1"/>
        <w:ind w:hanging="0" w:start="141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6520 w 4284000"/>
                            <a:gd name="textAreaTop" fmla="*/ 0 h 6055200"/>
                            <a:gd name="textAreaBottom" fmla="*/ 605772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ВВЕДЕНИЕ</w:t>
      </w:r>
    </w:p>
    <w:p>
      <w:pPr>
        <w:pStyle w:val="Heading1"/>
        <w:ind w:hanging="0" w:start="141"/>
        <w:jc w:val="center"/>
        <w:rPr/>
      </w:pPr>
      <w:r>
        <w:rPr/>
      </w:r>
    </w:p>
    <w:p>
      <w:pPr>
        <w:pStyle w:val="Normal"/>
        <w:rPr>
          <w:sz w:val="28"/>
        </w:rPr>
      </w:pPr>
      <w:r>
        <w:rPr>
          <w:sz w:val="28"/>
        </w:rPr>
        <w:t>Диагностика Симонов–Цай (Simonoff–Tsai diagnostic) применяется для решения вопроса,</w:t>
      </w:r>
    </w:p>
    <w:p>
      <w:pPr>
        <w:pStyle w:val="Normal"/>
        <w:rPr>
          <w:sz w:val="28"/>
        </w:rPr>
      </w:pPr>
      <w:r>
        <w:rPr>
          <w:sz w:val="28"/>
        </w:rPr>
        <w:t>допустима ли аппроксимация хи–квадрат в решении задачи кросстабуляции для конкретной</w:t>
      </w:r>
    </w:p>
    <w:p>
      <w:pPr>
        <w:pStyle w:val="Normal"/>
        <w:rPr>
          <w:sz w:val="28"/>
        </w:rPr>
      </w:pPr>
      <w:r>
        <w:rPr>
          <w:sz w:val="28"/>
        </w:rPr>
        <w:t>таблицы сопряженности. Вычисление диагностики производится по формуле: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8915" cy="762000"/>
            <wp:effectExtent l="0" t="0" r="0" b="0"/>
            <wp:wrapSquare wrapText="largest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Heading"/>
        <w:ind w:hanging="0"/>
        <w:jc w:val="center"/>
        <w:rPr/>
      </w:pPr>
      <w:r>
        <w:rPr/>
        <w:t>Рисунок 1 – Формула критерия</w:t>
      </w:r>
    </w:p>
    <w:p>
      <w:pPr>
        <w:pStyle w:val="BodyText"/>
        <w:ind w:hanging="0"/>
        <w:jc w:val="center"/>
        <w:rPr/>
      </w:pPr>
      <w:r>
        <w:rPr/>
      </w:r>
    </w:p>
    <w:p>
      <w:pPr>
        <w:pStyle w:val="Normal"/>
        <w:rPr>
          <w:sz w:val="28"/>
        </w:rPr>
      </w:pPr>
      <w:r>
        <w:rPr>
          <w:sz w:val="28"/>
        </w:rPr>
        <w:t>где χ²(ν,α) – значение обратной функции распределения χ² для ν = (r – 1)(c – 1) степеней</w:t>
      </w:r>
    </w:p>
    <w:p>
      <w:pPr>
        <w:pStyle w:val="Normal"/>
        <w:rPr>
          <w:sz w:val="28"/>
        </w:rPr>
      </w:pPr>
      <w:r>
        <w:rPr>
          <w:sz w:val="28"/>
        </w:rPr>
        <w:t>свободы и доверительного уровня α (обычно берется 0,95),</w:t>
      </w:r>
    </w:p>
    <w:p>
      <w:pPr>
        <w:pStyle w:val="Normal"/>
        <w:rPr>
          <w:sz w:val="28"/>
        </w:rPr>
      </w:pPr>
      <w:r>
        <w:rPr>
          <w:sz w:val="28"/>
        </w:rPr>
        <w:t>X² – статистика критерия хи–квадрат ,</w:t>
      </w:r>
    </w:p>
    <w:p>
      <w:pPr>
        <w:pStyle w:val="Normal"/>
        <w:rPr>
          <w:sz w:val="28"/>
        </w:rPr>
      </w:pPr>
      <w:r>
        <w:rPr>
          <w:sz w:val="28"/>
        </w:rPr>
        <w:t>171</w:t>
      </w:r>
    </w:p>
    <w:p>
      <w:pPr>
        <w:pStyle w:val="Normal"/>
        <w:rPr>
          <w:sz w:val="28"/>
        </w:rPr>
      </w:pPr>
      <w:r>
        <w:rPr>
          <w:sz w:val="28"/>
        </w:rPr>
        <w:t>Aij, i = 1,2,...,r; j = 1,2,...,c – заданные частоты таблицы сопряженности,</w:t>
      </w:r>
    </w:p>
    <w:p>
      <w:pPr>
        <w:pStyle w:val="Normal"/>
        <w:rPr>
          <w:sz w:val="28"/>
        </w:rPr>
      </w:pPr>
      <w:r>
        <w:rPr>
          <w:sz w:val="28"/>
        </w:rPr>
        <w:t>Eij, i = 1,2,...,r; j = 1,2,...,c – ожидаемые частоты таблицы сопряженности,</w:t>
      </w:r>
    </w:p>
    <w:p>
      <w:pPr>
        <w:pStyle w:val="Normal"/>
        <w:rPr>
          <w:sz w:val="28"/>
        </w:rPr>
      </w:pPr>
      <w:r>
        <w:rPr>
          <w:sz w:val="28"/>
        </w:rPr>
        <w:t>r – число строк таблицы сопряженности,</w:t>
      </w:r>
    </w:p>
    <w:p>
      <w:pPr>
        <w:pStyle w:val="Normal"/>
        <w:rPr>
          <w:sz w:val="28"/>
        </w:rPr>
      </w:pPr>
      <w:r>
        <w:rPr>
          <w:sz w:val="28"/>
        </w:rPr>
        <w:t>c – число столбцов таблицы сопряженности.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Normal"/>
        <w:spacing w:before="0" w:after="0"/>
        <w:rPr>
          <w:sz w:val="28"/>
        </w:rPr>
      </w:pPr>
      <w:r>
        <w:rPr>
          <w:sz w:val="28"/>
        </w:rPr>
      </w:r>
    </w:p>
    <w:p>
      <w:pPr>
        <w:pStyle w:val="Heading1"/>
        <w:ind w:hanging="0" w:start="141"/>
        <w:jc w:val="center"/>
        <w:rPr/>
      </w:pPr>
      <w:r>
        <w:rPr/>
        <w:t>ОСНОВНАЯ ЧАСТЬ</w:t>
      </w:r>
    </w:p>
    <w:p>
      <w:pPr>
        <w:pStyle w:val="Heading1"/>
        <w:ind w:hanging="0" w:start="141"/>
        <w:jc w:val="center"/>
        <w:rPr>
          <w:b w:val="false"/>
          <w:bCs w:val="false"/>
        </w:rPr>
      </w:pPr>
      <w:r>
        <w:rPr>
          <w:sz w:val="28"/>
        </w:rPr>
      </w:r>
    </w:p>
    <w:p>
      <w:pPr>
        <w:pStyle w:val="Normal"/>
        <w:rPr>
          <w:sz w:val="28"/>
        </w:rPr>
      </w:pPr>
      <w:bookmarkStart w:id="0" w:name="_GoBack"/>
      <w:bookmarkEnd w:id="0"/>
      <w:r>
        <w:rPr>
          <w:sz w:val="28"/>
        </w:rPr>
        <w:t>На рисунке 1 реализована блок схема алгоритма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4980940" cy="6880860"/>
            <wp:effectExtent l="0" t="0" r="0" b="0"/>
            <wp:docPr id="4" name="Рисунок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688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"/>
        <w:ind w:hanging="0"/>
        <w:jc w:val="center"/>
        <w:rPr/>
      </w:pPr>
      <w:r>
        <w:rPr/>
        <w:t>Рисунок 2 – блок схема</w:t>
      </w:r>
      <w:r>
        <w:br w:type="page"/>
      </w:r>
    </w:p>
    <w:p>
      <w:pPr>
        <w:pStyle w:val="Heading"/>
        <w:spacing w:before="0" w:after="0"/>
        <w:ind w:hanging="0"/>
        <w:jc w:val="center"/>
        <w:rPr>
          <w:lang w:eastAsia="ru-RU"/>
        </w:rPr>
      </w:pPr>
      <w:r>
        <w:rPr>
          <w:lang w:eastAsia="ru-RU"/>
        </w:rPr>
        <w:t>Программная реализация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numpy as np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from scipy.stats import chi2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Simonov_Cay(data=None,data_pred=None):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data==None: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data=np.array([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[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10,30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],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[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15,25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data_pred==None: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data_pred=np.array([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[20,20],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[20,20]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χ2_critical=chi2.ppf(0.95,df=(10-1)*(10-1))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χ2_stat=(((data-0.5)**2)/0.5).sum()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left=((χ2_critical**2)**(1/2))/((χ2_stat**2)**(3/2))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right=((np.abs(data-data_pred)**3)/((data_pred)**2)).sum()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S=left*right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 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print('С апроксимацией χ² могут быть потенциальные проблемы')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print('Аппроксимация хи–квадрата допустима')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Simonov_Cay()</w:t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  <w:r>
        <w:br w:type="page"/>
      </w:r>
    </w:p>
    <w:p>
      <w:pPr>
        <w:pStyle w:val="Heading1"/>
        <w:spacing w:before="0" w:after="0"/>
        <w:ind w:hanging="0" w:start="0"/>
        <w:jc w:val="center"/>
        <w:rPr>
          <w:spacing w:val="-2"/>
        </w:rPr>
      </w:pPr>
      <w:r>
        <w:rPr>
          <w:spacing w:val="-2"/>
        </w:rPr>
        <w:t>ЗАКЛЮЧЕНИЕ</w:t>
      </w:r>
    </w:p>
    <w:p>
      <w:pPr>
        <w:pStyle w:val="Heading"/>
        <w:rPr/>
      </w:pPr>
      <w:r>
        <w:rPr/>
        <w:tab/>
      </w:r>
    </w:p>
    <w:p>
      <w:pPr>
        <w:pStyle w:val="Heading"/>
        <w:rPr/>
      </w:pPr>
      <w:r>
        <w:rPr/>
        <w:t>Программа реализовывает нформационный критерий Акаике (AIC). В ходе выполнения практической работы понимание было приобретено.</w:t>
      </w:r>
    </w:p>
    <w:p>
      <w:pPr>
        <w:pStyle w:val="Heading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0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  <w:bookmarkStart w:id="1" w:name="docs-internal-guid-25166ccc-7fff-a7d9-46"/>
      <w:bookmarkStart w:id="2" w:name="docs-internal-guid-25166ccc-7fff-a7d9-46"/>
      <w:bookmarkEnd w:id="2"/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numPr>
        <w:ilvl w:val="0"/>
        <w:numId w:val="0"/>
      </w:numPr>
      <w:spacing w:before="74" w:after="0"/>
      <w:ind w:star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uppressAutoHyphens w:val="false"/>
      <w:spacing w:before="40" w:after="0"/>
      <w:outlineLvl w:val="1"/>
    </w:pPr>
    <w:rPr>
      <w:rFonts w:ascii="Cambria" w:hAnsi="Cambria" w:eastAsia="Calibri" w:cs="FreeSerif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mbria" w:hAnsi="Cambria" w:eastAsia="Calibri" w:cs="FreeSerif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40" w:after="0"/>
      <w:outlineLvl w:val="3"/>
    </w:pPr>
    <w:rPr>
      <w:rFonts w:ascii="Cambria" w:hAnsi="Cambria" w:eastAsia="Calibri" w:cs="FreeSerif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40" w:after="0"/>
      <w:outlineLvl w:val="4"/>
    </w:pPr>
    <w:rPr>
      <w:rFonts w:ascii="Cambria" w:hAnsi="Cambria" w:eastAsia="Calibri" w:cs="FreeSerif"/>
      <w:color w:themeColor="accent1" w:themeShade="bf" w:val="365F9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ascii="Cambria" w:hAnsi="Cambria" w:eastAsia="Calibri" w:cs="FreeSerif"/>
      <w:color w:themeColor="accent1" w:themeShade="7f" w:val="243F60"/>
    </w:rPr>
  </w:style>
  <w:style w:type="character" w:styleId="DefaultParagraphFont">
    <w:name w:val="Default Paragraph Font"/>
    <w:qFormat/>
    <w:rPr/>
  </w:style>
  <w:style w:type="character" w:styleId="Style8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5">
    <w:name w:val="Заголовок 5 Знак"/>
    <w:basedOn w:val="DefaultParagraphFont"/>
    <w:link w:val="Heading5"/>
    <w:qFormat/>
    <w:rPr>
      <w:rFonts w:ascii="Cambria" w:hAnsi="Cambria" w:eastAsia="Calibri" w:cs="FreeSerif"/>
      <w:color w:themeColor="accent1" w:themeShade="bf" w:val="365F91"/>
      <w:lang w:val="ru-RU"/>
    </w:rPr>
  </w:style>
  <w:style w:type="character" w:styleId="4">
    <w:name w:val="Заголовок 4 Знак"/>
    <w:basedOn w:val="DefaultParagraphFont"/>
    <w:link w:val="Heading4"/>
    <w:qFormat/>
    <w:rPr>
      <w:rFonts w:ascii="Cambria" w:hAnsi="Cambria" w:eastAsia="Calibri" w:cs="FreeSerif"/>
      <w:i/>
      <w:iCs/>
      <w:color w:themeColor="accent1" w:themeShade="bf" w:val="365F91"/>
      <w:lang w:val="ru-RU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6">
    <w:name w:val="Заголовок 6 Знак"/>
    <w:basedOn w:val="DefaultParagraphFont"/>
    <w:link w:val="Heading6"/>
    <w:qFormat/>
    <w:rPr>
      <w:rFonts w:ascii="Cambria" w:hAnsi="Cambria" w:eastAsia="Calibri" w:cs="FreeSerif"/>
      <w:color w:themeColor="accent1" w:themeShade="7f" w:val="243F60"/>
      <w:lang w:val="ru-RU"/>
    </w:rPr>
  </w:style>
  <w:style w:type="character" w:styleId="NumberingSymbols">
    <w:name w:val="Numbering Symbols"/>
    <w:qFormat/>
    <w:rPr/>
  </w:style>
  <w:style w:type="character" w:styleId="2">
    <w:name w:val="Заголовок 2 Знак"/>
    <w:basedOn w:val="DefaultParagraphFont"/>
    <w:link w:val="Heading2"/>
    <w:qFormat/>
    <w:rPr>
      <w:rFonts w:ascii="Cambria" w:hAnsi="Cambria" w:eastAsia="Calibri" w:cs="FreeSerif"/>
      <w:color w:themeColor="accent1" w:themeShade="bf" w:val="365F91"/>
      <w:sz w:val="26"/>
      <w:szCs w:val="26"/>
      <w:lang w:val="ru-RU"/>
    </w:rPr>
  </w:style>
  <w:style w:type="character" w:styleId="Style9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lang w:val="ru-RU"/>
    </w:rPr>
  </w:style>
  <w:style w:type="character" w:styleId="Style10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lang w:val="ru-RU"/>
    </w:rPr>
  </w:style>
  <w:style w:type="character" w:styleId="3">
    <w:name w:val="Заголовок 3 Знак"/>
    <w:basedOn w:val="DefaultParagraphFont"/>
    <w:link w:val="Heading3"/>
    <w:qFormat/>
    <w:rPr>
      <w:rFonts w:ascii="Cambria" w:hAnsi="Cambria" w:eastAsia="Calibri" w:cs="FreeSerif"/>
      <w:color w:themeColor="accent1" w:themeShade="7f" w:val="243F60"/>
      <w:sz w:val="24"/>
      <w:szCs w:val="24"/>
      <w:lang w:val="ru-RU"/>
    </w:rPr>
  </w:style>
  <w:style w:type="character" w:styleId="docdata">
    <w:name w:val="docdata"/>
    <w:basedOn w:val="DefaultParagraphFont"/>
    <w:qFormat/>
    <w:rPr/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d813de27">
    <w:name w:val="d813de27"/>
    <w:basedOn w:val="DefaultParagraphFont"/>
    <w:qFormat/>
    <w:rPr/>
  </w:style>
  <w:style w:type="character" w:styleId="sc51">
    <w:name w:val="sc51"/>
    <w:basedOn w:val="DefaultParagraphFont"/>
    <w:qFormat/>
    <w:rPr>
      <w:rFonts w:ascii="Courier New" w:hAnsi="Courier New" w:cs="Courier New"/>
      <w:b/>
      <w:bCs/>
      <w:color w:val="0000FF"/>
      <w:sz w:val="20"/>
      <w:szCs w:val="20"/>
    </w:rPr>
  </w:style>
  <w:style w:type="character" w:styleId="sc0">
    <w:name w:val="sc0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1">
    <w:name w:val="sc11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2">
    <w:name w:val="sc12"/>
    <w:basedOn w:val="DefaultParagraphFont"/>
    <w:qFormat/>
    <w:rPr>
      <w:rFonts w:ascii="Courier New" w:hAnsi="Courier New" w:cs="Courier New"/>
      <w:color w:val="008000"/>
      <w:sz w:val="20"/>
      <w:szCs w:val="20"/>
    </w:rPr>
  </w:style>
  <w:style w:type="character" w:styleId="sc101">
    <w:name w:val="sc101"/>
    <w:basedOn w:val="DefaultParagraphFont"/>
    <w:qFormat/>
    <w:rPr>
      <w:rFonts w:ascii="Courier New" w:hAnsi="Courier New" w:cs="Courier New"/>
      <w:b/>
      <w:bCs/>
      <w:color w:val="000080"/>
      <w:sz w:val="20"/>
      <w:szCs w:val="20"/>
    </w:rPr>
  </w:style>
  <w:style w:type="character" w:styleId="sc141">
    <w:name w:val="sc141"/>
    <w:basedOn w:val="DefaultParagraphFont"/>
    <w:qFormat/>
    <w:rPr>
      <w:rFonts w:ascii="Courier New" w:hAnsi="Courier New" w:cs="Courier New"/>
      <w:b/>
      <w:bCs/>
      <w:color w:val="880088"/>
      <w:sz w:val="20"/>
      <w:szCs w:val="20"/>
    </w:rPr>
  </w:style>
  <w:style w:type="character" w:styleId="sc31">
    <w:name w:val="sc3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21">
    <w:name w:val="sc21"/>
    <w:basedOn w:val="DefaultParagraphFont"/>
    <w:qFormat/>
    <w:rPr>
      <w:rFonts w:ascii="Courier New" w:hAnsi="Courier New" w:cs="Courier New"/>
      <w:color w:val="FF0000"/>
      <w:sz w:val="20"/>
      <w:szCs w:val="20"/>
    </w:rPr>
  </w:style>
  <w:style w:type="character" w:styleId="sc201">
    <w:name w:val="sc201"/>
    <w:basedOn w:val="DefaultParagraphFont"/>
    <w:qFormat/>
    <w:rPr>
      <w:rFonts w:ascii="Courier New" w:hAnsi="Courier New" w:cs="Courier New"/>
      <w:i/>
      <w:iCs/>
      <w:color w:val="FF8000"/>
      <w:sz w:val="20"/>
      <w:szCs w:val="20"/>
    </w:rPr>
  </w:style>
  <w:style w:type="character" w:styleId="sc161">
    <w:name w:val="sc16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91">
    <w:name w:val="sc91"/>
    <w:basedOn w:val="DefaultParagraphFont"/>
    <w:qFormat/>
    <w:rPr>
      <w:rFonts w:ascii="Courier New" w:hAnsi="Courier New" w:cs="Courier New"/>
      <w:color w:val="FF00FF"/>
      <w:sz w:val="20"/>
      <w:szCs w:val="20"/>
    </w:rPr>
  </w:style>
  <w:style w:type="character" w:styleId="sc71">
    <w:name w:val="sc71"/>
    <w:basedOn w:val="DefaultParagraphFont"/>
    <w:qFormat/>
    <w:rPr>
      <w:rFonts w:ascii="Courier New" w:hAnsi="Courier New" w:cs="Courier New"/>
      <w:color w:val="FF8000"/>
      <w:sz w:val="20"/>
      <w:szCs w:val="20"/>
    </w:rPr>
  </w:style>
  <w:style w:type="character" w:styleId="sc81">
    <w:name w:val="sc81"/>
    <w:basedOn w:val="DefaultParagraphFont"/>
    <w:qFormat/>
    <w:rPr>
      <w:rFonts w:ascii="Courier New" w:hAnsi="Courier New" w:cs="Courier New"/>
      <w:b/>
      <w:bCs/>
      <w:color w:val="000000"/>
      <w:sz w:val="20"/>
      <w:szCs w:val="20"/>
    </w:rPr>
  </w:style>
  <w:style w:type="character" w:styleId="sc41">
    <w:name w:val="sc4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lineRule="auto" w:line="360"/>
      <w:ind w:firstLine="709"/>
      <w:jc w:val="both"/>
    </w:pPr>
    <w:rPr>
      <w:rFonts w:eastAsia="Noto Sans" w:cs="FreeSans"/>
      <w:sz w:val="28"/>
      <w:szCs w:val="28"/>
    </w:rPr>
  </w:style>
  <w:style w:type="paragraph" w:styleId="BodyText">
    <w:name w:val="Body Text"/>
    <w:basedOn w:val="Normal"/>
    <w:link w:val="Style8"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ind w:start="1321" w:end="1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qFormat/>
    <w:pPr>
      <w:ind w:hanging="278" w:start="1127"/>
    </w:pPr>
    <w:rPr/>
  </w:style>
  <w:style w:type="paragraph" w:styleId="TableParagraph">
    <w:name w:val="Table Paragraph"/>
    <w:basedOn w:val="Normal"/>
    <w:qFormat/>
    <w:pPr>
      <w:spacing w:lineRule="exact" w:line="233"/>
      <w:ind w:start="33"/>
      <w:jc w:val="center"/>
    </w:pPr>
    <w:rPr/>
  </w:style>
  <w:style w:type="paragraph" w:styleId="NormalWeb">
    <w:name w:val="Normal (Web)"/>
    <w:basedOn w:val="Normal"/>
    <w:qFormat/>
    <w:pPr>
      <w:widowControl/>
      <w:spacing w:before="280" w:after="280"/>
    </w:pPr>
    <w:rPr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  <w:lang w:eastAsia="ru-RU"/>
    </w:rPr>
  </w:style>
  <w:style w:type="paragraph" w:styleId="ds-markdown-paragraph">
    <w:name w:val="ds-markdown-paragraph"/>
    <w:basedOn w:val="Normal"/>
    <w:qFormat/>
    <w:pPr>
      <w:widowControl/>
      <w:suppressAutoHyphens w:val="false"/>
      <w:spacing w:before="280" w:after="280"/>
    </w:pPr>
    <w:rPr>
      <w:sz w:val="24"/>
      <w:szCs w:val="24"/>
      <w:lang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Application>LibreOffice/25.2.7.2$Linux_X86_64 LibreOffice_project/520$Build-2</Application>
  <AppVersion>15.0000</AppVersion>
  <Pages>5</Pages>
  <Words>227</Words>
  <Characters>1713</Characters>
  <CharactersWithSpaces>2073</CharactersWithSpaces>
  <Paragraphs>72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2025-11-06T22:09:30Z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