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 w:line="300" w:lineRule="auto"/>
      </w:pPr>
      <w:r>
        <w:rPr>
          <w:rFonts w:ascii="Hiragino Sans GB" w:hAnsi="Hiragino Sans GB" w:eastAsia="Hiragino Sans GB"/>
          <w:b/>
          <w:i w:val="0"/>
          <w:color w:val="C99B38"/>
          <w:sz w:val="20"/>
        </w:rPr>
        <w:t>平台基础设施升级</w:t>
      </w:r>
    </w:p>
    <w:p>
      <w:pPr>
        <w:spacing w:before="0" w:after="120" w:line="252" w:lineRule="auto"/>
      </w:pPr>
      <w:r>
        <w:rPr>
          <w:rFonts w:ascii="Hiragino Sans GB" w:hAnsi="Hiragino Sans GB" w:eastAsia="Hiragino Sans GB"/>
          <w:b/>
          <w:i w:val="0"/>
          <w:color w:val="15204F"/>
          <w:sz w:val="54"/>
        </w:rPr>
        <w:t>服务器与视频处理架构实施计划</w:t>
      </w:r>
    </w:p>
    <w:p>
      <w:pPr>
        <w:spacing w:before="0" w:after="320" w:line="288" w:lineRule="auto"/>
      </w:pPr>
      <w:r>
        <w:rPr>
          <w:rFonts w:ascii="Hiragino Sans GB" w:hAnsi="Hiragino Sans GB" w:eastAsia="Hiragino Sans GB"/>
          <w:b w:val="0"/>
          <w:i w:val="0"/>
          <w:color w:val="667085"/>
          <w:sz w:val="25"/>
        </w:rPr>
        <w:t>面向素材智能成片、AI成片、一键网感、对口型与市场动态的分阶段升级方案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1950"/>
        <w:gridCol w:w="1350"/>
        <w:gridCol w:w="4710"/>
      </w:tblGrid>
      <w:tr>
        <w:trPr/>
        <w:tc>
          <w:tcPr>
            <w:tcW w:type="dxa" w:w="1350"/>
            <w:shd w:fill="F5F7FA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667085"/>
                <w:sz w:val="18"/>
              </w:rPr>
              <w:t>文档状态</w:t>
            </w:r>
          </w:p>
        </w:tc>
        <w:tc>
          <w:tcPr>
            <w:tcW w:type="dxa" w:w="19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待执行</w:t>
            </w:r>
          </w:p>
        </w:tc>
        <w:tc>
          <w:tcPr>
            <w:tcW w:type="dxa" w:w="1350"/>
            <w:shd w:fill="F5F7FA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667085"/>
                <w:sz w:val="18"/>
              </w:rPr>
              <w:t>版本</w:t>
            </w:r>
          </w:p>
        </w:tc>
        <w:tc>
          <w:tcPr>
            <w:tcW w:type="dxa" w:w="47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V1.0</w:t>
            </w:r>
          </w:p>
        </w:tc>
      </w:tr>
      <w:tr>
        <w:trPr/>
        <w:tc>
          <w:tcPr>
            <w:tcW w:type="dxa" w:w="1350"/>
            <w:shd w:fill="F5F7FA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667085"/>
                <w:sz w:val="18"/>
              </w:rPr>
              <w:t>制定日期</w:t>
            </w:r>
          </w:p>
        </w:tc>
        <w:tc>
          <w:tcPr>
            <w:tcW w:type="dxa" w:w="19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2026-08-22</w:t>
            </w:r>
          </w:p>
        </w:tc>
        <w:tc>
          <w:tcPr>
            <w:tcW w:type="dxa" w:w="1350"/>
            <w:shd w:fill="F5F7FA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667085"/>
                <w:sz w:val="18"/>
              </w:rPr>
              <w:t>执行原则</w:t>
            </w:r>
          </w:p>
        </w:tc>
        <w:tc>
          <w:tcPr>
            <w:tcW w:type="dxa" w:w="47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先拆存储与队列，再扩容算力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FF7E6"/>
            <w:tcBorders>
              <w:top w:val="single" w:sz="10" w:color="C99B38"/>
              <w:left w:val="single" w:sz="10" w:color="C99B38"/>
              <w:bottom w:val="single" w:sz="10" w:color="C99B38"/>
              <w:right w:val="single" w:sz="10" w:color="C99B38"/>
              <w:insideH w:val="single" w:sz="10" w:color="C99B38"/>
              <w:insideV w:val="single" w:sz="10" w:color="C99B38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C99B38"/>
                <w:sz w:val="21"/>
              </w:rPr>
              <w:t xml:space="preserve">核心决策  </w:t>
            </w: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21"/>
              </w:rPr>
              <w:t>保留现有网页服务器，新增一台8核16G专用渲染服务器；素材与成片迁移至COS，标准化剪辑交给腾讯云MPS，一键网感模板9–12进入统一Remotion渲染池。不要为每个模板分别购买服务器。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目标与边界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目标：缩短上传、排队、渲染、首帧加载和下载等待时间。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目标：支持多个用户提交任务，任务可恢复、可重试、可退款且不重复扣积分。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边界：本文仅保存实施方案，不代表已授权采购、迁移、部署或变更生产环境。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模板策略：模板9、10、11、12保持素材与规则独立，但共用渲染服务器池。</w:t>
      </w:r>
    </w:p>
    <w:p>
      <w:pPr>
        <w:pStyle w:val="Heading1"/>
        <w:keepNext/>
      </w:pPr>
      <w:r>
        <w:t>2. 当前瓶颈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4300"/>
        <w:gridCol w:w="4340"/>
      </w:tblGrid>
      <w:tr>
        <w:trPr>
          <w:tblHeader w:val="true"/>
          <w:cantSplit/>
        </w:trPr>
        <w:tc>
          <w:tcPr>
            <w:tcW w:type="dxa" w:w="72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序号</w:t>
            </w:r>
          </w:p>
        </w:tc>
        <w:tc>
          <w:tcPr>
            <w:tcW w:type="dxa" w:w="43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现状</w:t>
            </w:r>
          </w:p>
        </w:tc>
        <w:tc>
          <w:tcPr>
            <w:tcW w:type="dxa" w:w="434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直接影响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01</w:t>
            </w:r>
          </w:p>
        </w:tc>
        <w:tc>
          <w:tcPr>
            <w:tcW w:type="dxa" w:w="4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视频工作节点只有1个渲染线程与1个识别线程</w:t>
            </w:r>
          </w:p>
        </w:tc>
        <w:tc>
          <w:tcPr>
            <w:tcW w:type="dxa" w:w="434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一键网感任务只能排队处理</w:t>
            </w:r>
          </w:p>
        </w:tc>
      </w:tr>
      <w:tr>
        <w:trPr>
          <w:cantSplit/>
        </w:trPr>
        <w:tc>
          <w:tcPr>
            <w:tcW w:type="dxa" w:w="72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02</w:t>
            </w:r>
          </w:p>
        </w:tc>
        <w:tc>
          <w:tcPr>
            <w:tcW w:type="dxa" w:w="4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任务使用本机线程池，状态写入本地文件</w:t>
            </w:r>
          </w:p>
        </w:tc>
        <w:tc>
          <w:tcPr>
            <w:tcW w:type="dxa" w:w="434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增加第二台服务器后无法天然共享任务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03</w:t>
            </w:r>
          </w:p>
        </w:tc>
        <w:tc>
          <w:tcPr>
            <w:tcW w:type="dxa" w:w="4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上传文件与成片主要保存在视频服务器本地</w:t>
            </w:r>
          </w:p>
        </w:tc>
        <w:tc>
          <w:tcPr>
            <w:tcW w:type="dxa" w:w="434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占用磁盘、带宽，并拖慢网页播放与下载</w:t>
            </w:r>
          </w:p>
        </w:tc>
      </w:tr>
      <w:tr>
        <w:trPr>
          <w:cantSplit/>
        </w:trPr>
        <w:tc>
          <w:tcPr>
            <w:tcW w:type="dxa" w:w="72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04</w:t>
            </w:r>
          </w:p>
        </w:tc>
        <w:tc>
          <w:tcPr>
            <w:tcW w:type="dxa" w:w="4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Remotion、FFmpeg和任务接口集中在同一节点</w:t>
            </w:r>
          </w:p>
        </w:tc>
        <w:tc>
          <w:tcPr>
            <w:tcW w:type="dxa" w:w="434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渲染时CPU和内存争用，接口响应变慢</w:t>
            </w:r>
          </w:p>
        </w:tc>
      </w:tr>
      <w:tr>
        <w:trPr>
          <w:cantSplit/>
        </w:trPr>
        <w:tc>
          <w:tcPr>
            <w:tcW w:type="dxa" w:w="72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05</w:t>
            </w:r>
          </w:p>
        </w:tc>
        <w:tc>
          <w:tcPr>
            <w:tcW w:type="dxa" w:w="4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模板渲染、普通拼接和第三方任务未完全分流</w:t>
            </w:r>
          </w:p>
        </w:tc>
        <w:tc>
          <w:tcPr>
            <w:tcW w:type="dxa" w:w="434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昂贵服务器被轻量任务占用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目标架构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EAF8FA"/>
            <w:tcBorders>
              <w:top w:val="single" w:sz="10" w:color="2DB9CB"/>
              <w:left w:val="single" w:sz="10" w:color="2DB9CB"/>
              <w:bottom w:val="single" w:sz="10" w:color="2DB9CB"/>
              <w:right w:val="single" w:sz="10" w:color="2DB9CB"/>
              <w:insideH w:val="single" w:sz="10" w:color="2DB9CB"/>
              <w:insideV w:val="single" w:sz="10" w:color="2DB9CB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2DB9CB"/>
                <w:sz w:val="21"/>
              </w:rPr>
              <w:t xml:space="preserve">处理链路  </w:t>
            </w: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21"/>
              </w:rPr>
              <w:t>浏览器直传COS → 网页/API创建任务 → 统一任务队列按能力分流 → MPS、Remotion或第三方AI执行 → 成片写入COS → CDN预览与下载。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5360"/>
      </w:tblGrid>
      <w:tr>
        <w:trPr>
          <w:tblHeader w:val="true"/>
          <w:cantSplit/>
        </w:trPr>
        <w:tc>
          <w:tcPr>
            <w:tcW w:type="dxa" w:w="17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模块</w:t>
            </w:r>
          </w:p>
        </w:tc>
        <w:tc>
          <w:tcPr>
            <w:tcW w:type="dxa" w:w="23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推荐执行位置</w:t>
            </w:r>
          </w:p>
        </w:tc>
        <w:tc>
          <w:tcPr>
            <w:tcW w:type="dxa" w:w="536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网页与业务系统</w:t>
            </w:r>
          </w:p>
        </w:tc>
        <w:tc>
          <w:tcPr>
            <w:tcW w:type="dxa" w:w="2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现有网页服务器</w:t>
            </w:r>
          </w:p>
        </w:tc>
        <w:tc>
          <w:tcPr>
            <w:tcW w:type="dxa" w:w="536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登录、会员、积分、后台、任务创建与回调</w:t>
            </w:r>
          </w:p>
        </w:tc>
      </w:tr>
      <w:tr>
        <w:trPr>
          <w:cantSplit/>
        </w:trPr>
        <w:tc>
          <w:tcPr>
            <w:tcW w:type="dxa" w:w="17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开放AI能力</w:t>
            </w:r>
          </w:p>
        </w:tc>
        <w:tc>
          <w:tcPr>
            <w:tcW w:type="dxa" w:w="2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开放AI平台</w:t>
            </w:r>
          </w:p>
        </w:tc>
        <w:tc>
          <w:tcPr>
            <w:tcW w:type="dxa" w:w="536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标题、关键词、内容节点与多模态分析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语音与数字人</w:t>
            </w:r>
          </w:p>
        </w:tc>
        <w:tc>
          <w:tcPr>
            <w:tcW w:type="dxa" w:w="2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腾讯云ASR / 蝉镜</w:t>
            </w:r>
          </w:p>
        </w:tc>
        <w:tc>
          <w:tcPr>
            <w:tcW w:type="dxa" w:w="536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语音识别、克隆声音、口播音频与对口型</w:t>
            </w:r>
          </w:p>
        </w:tc>
      </w:tr>
      <w:tr>
        <w:trPr>
          <w:cantSplit/>
        </w:trPr>
        <w:tc>
          <w:tcPr>
            <w:tcW w:type="dxa" w:w="17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素材智能成片</w:t>
            </w:r>
          </w:p>
        </w:tc>
        <w:tc>
          <w:tcPr>
            <w:tcW w:type="dxa" w:w="2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腾讯云MPS</w:t>
            </w:r>
          </w:p>
        </w:tc>
        <w:tc>
          <w:tcPr>
            <w:tcW w:type="dxa" w:w="536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图片视频拼接、普通字幕、混音、转场与标准MP4输出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AI成片</w:t>
            </w:r>
          </w:p>
        </w:tc>
        <w:tc>
          <w:tcPr>
            <w:tcW w:type="dxa" w:w="2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第三方生成 + MPS</w:t>
            </w:r>
          </w:p>
        </w:tc>
        <w:tc>
          <w:tcPr>
            <w:tcW w:type="dxa" w:w="536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Seedance生成镜头，MPS负责最终拼接与混音</w:t>
            </w:r>
          </w:p>
        </w:tc>
      </w:tr>
      <w:tr>
        <w:trPr>
          <w:cantSplit/>
        </w:trPr>
        <w:tc>
          <w:tcPr>
            <w:tcW w:type="dxa" w:w="17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一键网感</w:t>
            </w:r>
          </w:p>
        </w:tc>
        <w:tc>
          <w:tcPr>
            <w:tcW w:type="dxa" w:w="2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Remotion专用节点</w:t>
            </w:r>
          </w:p>
        </w:tc>
        <w:tc>
          <w:tcPr>
            <w:tcW w:type="dxa" w:w="536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模板9–12标题、动态字幕、转场、音效、BGM与最终编码</w:t>
            </w:r>
          </w:p>
        </w:tc>
      </w:tr>
      <w:tr>
        <w:trPr>
          <w:cantSplit/>
        </w:trPr>
        <w:tc>
          <w:tcPr>
            <w:tcW w:type="dxa" w:w="17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市场动态</w:t>
            </w:r>
          </w:p>
        </w:tc>
        <w:tc>
          <w:tcPr>
            <w:tcW w:type="dxa" w:w="2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后续轻量采集节点</w:t>
            </w:r>
          </w:p>
        </w:tc>
        <w:tc>
          <w:tcPr>
            <w:tcW w:type="dxa" w:w="536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抖音链接解析、定时同步和数据抓取</w:t>
            </w:r>
          </w:p>
        </w:tc>
      </w:tr>
      <w:tr>
        <w:trPr>
          <w:cantSplit/>
        </w:trPr>
        <w:tc>
          <w:tcPr>
            <w:tcW w:type="dxa" w:w="17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媒体存储分发</w:t>
            </w:r>
          </w:p>
        </w:tc>
        <w:tc>
          <w:tcPr>
            <w:tcW w:type="dxa" w:w="2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COS + CDN</w:t>
            </w:r>
          </w:p>
        </w:tc>
        <w:tc>
          <w:tcPr>
            <w:tcW w:type="dxa" w:w="536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原片、临时素材、封面、成片、预览与下载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采购与配置决策</w:t>
      </w:r>
    </w:p>
    <w:p>
      <w:pPr>
        <w:pStyle w:val="Heading2"/>
        <w:keepNext/>
      </w:pPr>
      <w:r>
        <w:t>4.1 立即保留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现有网页服务器继续运行网页、后台、会员、积分和API调度。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当前四套网感模板继续保留，不按模板拆成四台服务器。</w:t>
      </w:r>
    </w:p>
    <w:p>
      <w:pPr>
        <w:pStyle w:val="Heading2"/>
        <w:keepNext/>
      </w:pPr>
      <w:r>
        <w:t>4.2 建议新增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350"/>
        <w:gridCol w:w="4210"/>
      </w:tblGrid>
      <w:tr>
        <w:trPr>
          <w:tblHeader w:val="true"/>
          <w:cantSplit/>
        </w:trPr>
        <w:tc>
          <w:tcPr>
            <w:tcW w:type="dxa" w:w="18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项目</w:t>
            </w:r>
          </w:p>
        </w:tc>
        <w:tc>
          <w:tcPr>
            <w:tcW w:type="dxa" w:w="335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建议规格</w:t>
            </w:r>
          </w:p>
        </w:tc>
        <w:tc>
          <w:tcPr>
            <w:tcW w:type="dxa" w:w="421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用途与限制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网感渲染服务器</w:t>
            </w:r>
          </w:p>
        </w:tc>
        <w:tc>
          <w:tcPr>
            <w:tcW w:type="dxa" w:w="33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8核16G；SSD 180–270GB；12–18Mbps；与COS同地域</w:t>
            </w:r>
          </w:p>
        </w:tc>
        <w:tc>
          <w:tcPr>
            <w:tcW w:type="dxa" w:w="42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只运行Remotion/FFmpeg。外层并发1，Remotion内部并发4。</w:t>
            </w:r>
          </w:p>
        </w:tc>
      </w:tr>
      <w:tr>
        <w:trPr>
          <w:cantSplit/>
        </w:trPr>
        <w:tc>
          <w:tcPr>
            <w:tcW w:type="dxa" w:w="18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任务队列</w:t>
            </w:r>
          </w:p>
        </w:tc>
        <w:tc>
          <w:tcPr>
            <w:tcW w:type="dxa" w:w="33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托管Redis小规格或腾讯云消息队列</w:t>
            </w:r>
          </w:p>
        </w:tc>
        <w:tc>
          <w:tcPr>
            <w:tcW w:type="dxa" w:w="42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保存待处理任务、节点心跳、重试和任务领取状态。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对象存储</w:t>
            </w:r>
          </w:p>
        </w:tc>
        <w:tc>
          <w:tcPr>
            <w:tcW w:type="dxa" w:w="33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腾讯云COS</w:t>
            </w:r>
          </w:p>
        </w:tc>
        <w:tc>
          <w:tcPr>
            <w:tcW w:type="dxa" w:w="42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保存原片、素材、成片和封面；服务器只保留短期缓存。</w:t>
            </w:r>
          </w:p>
        </w:tc>
      </w:tr>
      <w:tr>
        <w:trPr>
          <w:cantSplit/>
        </w:trPr>
        <w:tc>
          <w:tcPr>
            <w:tcW w:type="dxa" w:w="18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内容分发</w:t>
            </w:r>
          </w:p>
        </w:tc>
        <w:tc>
          <w:tcPr>
            <w:tcW w:type="dxa" w:w="33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腾讯云CDN</w:t>
            </w:r>
          </w:p>
        </w:tc>
        <w:tc>
          <w:tcPr>
            <w:tcW w:type="dxa" w:w="42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用于成片预览和下载，减少工作节点公网带宽压力。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暂不购买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不购买4核8G、1TB存储型服务器；视频长期存储交给COS。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不直接把现有网页服务器升级到8核16G用于渲染。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不立即购买16核32G；先用一台8核16G完成真实压力测试。</w:t>
      </w:r>
    </w:p>
    <w:p>
      <w:pPr>
        <w:pStyle w:val="Heading1"/>
        <w:keepNext/>
      </w:pPr>
      <w:r>
        <w:t>5. 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2400"/>
        <w:gridCol w:w="5910"/>
      </w:tblGrid>
      <w:tr>
        <w:trPr>
          <w:tblHeader w:val="true"/>
          <w:cantSplit/>
        </w:trPr>
        <w:tc>
          <w:tcPr>
            <w:tcW w:type="dxa" w:w="105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阶段</w:t>
            </w:r>
          </w:p>
        </w:tc>
        <w:tc>
          <w:tcPr>
            <w:tcW w:type="dxa" w:w="24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工作主题</w:t>
            </w:r>
          </w:p>
        </w:tc>
        <w:tc>
          <w:tcPr>
            <w:tcW w:type="dxa" w:w="591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0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阶段1</w:t>
            </w:r>
          </w:p>
        </w:tc>
        <w:tc>
          <w:tcPr>
            <w:tcW w:type="dxa" w:w="24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COS直传与结果分发</w:t>
            </w:r>
          </w:p>
        </w:tc>
        <w:tc>
          <w:tcPr>
            <w:tcW w:type="dxa" w:w="5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浏览器直传COS；对口型URL只转存一次；输出写入COS；使用CDN地址播放下载。</w:t>
            </w:r>
          </w:p>
        </w:tc>
      </w:tr>
      <w:tr>
        <w:trPr>
          <w:cantSplit/>
        </w:trPr>
        <w:tc>
          <w:tcPr>
            <w:tcW w:type="dxa" w:w="10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阶段2</w:t>
            </w:r>
          </w:p>
        </w:tc>
        <w:tc>
          <w:tcPr>
            <w:tcW w:type="dxa" w:w="24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统一任务队列</w:t>
            </w:r>
          </w:p>
        </w:tc>
        <w:tc>
          <w:tcPr>
            <w:tcW w:type="dxa" w:w="5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建立任务状态、重试、超时、心跳、进度、幂等扣费和退款机制。</w:t>
            </w:r>
          </w:p>
        </w:tc>
      </w:tr>
      <w:tr>
        <w:trPr>
          <w:cantSplit/>
        </w:trPr>
        <w:tc>
          <w:tcPr>
            <w:tcW w:type="dxa" w:w="10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阶段3</w:t>
            </w:r>
          </w:p>
        </w:tc>
        <w:tc>
          <w:tcPr>
            <w:tcW w:type="dxa" w:w="24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部署专用渲染节点</w:t>
            </w:r>
          </w:p>
        </w:tc>
        <w:tc>
          <w:tcPr>
            <w:tcW w:type="dxa" w:w="5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将模板9–12迁移到8核16G节点，网页服务器停止承担Remotion渲染。</w:t>
            </w:r>
          </w:p>
        </w:tc>
      </w:tr>
      <w:tr>
        <w:trPr>
          <w:cantSplit/>
        </w:trPr>
        <w:tc>
          <w:tcPr>
            <w:tcW w:type="dxa" w:w="10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阶段4</w:t>
            </w:r>
          </w:p>
        </w:tc>
        <w:tc>
          <w:tcPr>
            <w:tcW w:type="dxa" w:w="24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腾讯云MPS分流</w:t>
            </w:r>
          </w:p>
        </w:tc>
        <w:tc>
          <w:tcPr>
            <w:tcW w:type="dxa" w:w="5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素材智能成片和AI成片最终拼接改用MPS，保留复杂网感模板在Remotion。</w:t>
            </w:r>
          </w:p>
        </w:tc>
      </w:tr>
      <w:tr>
        <w:trPr>
          <w:cantSplit/>
        </w:trPr>
        <w:tc>
          <w:tcPr>
            <w:tcW w:type="dxa" w:w="10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阶段5</w:t>
            </w:r>
          </w:p>
        </w:tc>
        <w:tc>
          <w:tcPr>
            <w:tcW w:type="dxa" w:w="24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监控与压测</w:t>
            </w:r>
          </w:p>
        </w:tc>
        <w:tc>
          <w:tcPr>
            <w:tcW w:type="dxa" w:w="5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连续完成不少于10条视频，记录上传、排队、识别、AI分析、渲染、上传和首帧耗时。</w:t>
            </w:r>
          </w:p>
        </w:tc>
      </w:tr>
      <w:tr>
        <w:trPr>
          <w:cantSplit/>
        </w:trPr>
        <w:tc>
          <w:tcPr>
            <w:tcW w:type="dxa" w:w="10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阶段6</w:t>
            </w:r>
          </w:p>
        </w:tc>
        <w:tc>
          <w:tcPr>
            <w:tcW w:type="dxa" w:w="24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按需扩容</w:t>
            </w:r>
          </w:p>
        </w:tc>
        <w:tc>
          <w:tcPr>
            <w:tcW w:type="dxa" w:w="5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只有等待队列持续增长时，才增加第二台相同的8核16G节点。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主执行清单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1200"/>
        <w:gridCol w:w="3910"/>
        <w:gridCol w:w="3600"/>
      </w:tblGrid>
      <w:tr>
        <w:trPr>
          <w:tblHeader w:val="true"/>
          <w:cantSplit/>
        </w:trPr>
        <w:tc>
          <w:tcPr>
            <w:tcW w:type="dxa" w:w="65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状态</w:t>
            </w:r>
          </w:p>
        </w:tc>
        <w:tc>
          <w:tcPr>
            <w:tcW w:type="dxa" w:w="12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类别</w:t>
            </w:r>
          </w:p>
        </w:tc>
        <w:tc>
          <w:tcPr>
            <w:tcW w:type="dxa" w:w="391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工作项</w:t>
            </w:r>
          </w:p>
        </w:tc>
        <w:tc>
          <w:tcPr>
            <w:tcW w:type="dxa" w:w="36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采购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确认现有服务器地域、VPC与COS地域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三者同地域，可使用内网传输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采购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购买1台8核16G渲染服务器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规格、磁盘、系统和安全组确认完成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采购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暂缓购买存储型和16核服务器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没有重复或不必要的固定成本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COS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创建输入、输出与临时对象目录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目录和生命周期规则清晰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COS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接入浏览器直传临时凭证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大文件不再经过网页服务器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COS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对口型结果转存后复用COS地址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一键网感不重复上传或下载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COS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渲染成片和封面自动上传COS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工作节点本地仅保留临时缓存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CDN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配置私有回源与URL鉴权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登录会员可访问，外部不能长期盗链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队列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建立统一任务队列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多台服务器可领取共享任务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队列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定义等待、处理中、完成、失败和退款状态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前端与后台状态一致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队列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增加任务心跳、超时和失败重试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节点异常后任务可恢复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计费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增加任务幂等和防重复扣积分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重复请求不会重复收费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计费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失败任务自动退回预授权积分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账单与任务结果一致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渲染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部署Remotion、FFmpeg、字体和模板素材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健康检查显示Remotion可用、模板数为4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渲染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设置外层并发1、Remotion并发4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单条任务充分利用8核资源且保持稳定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渲染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设置1080×1920、H.264、fast、CRF18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网页标准高清MP4质量通过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渲染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启用MP4 faststart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网页可以快速读取首帧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渲染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设置临时文件6–24小时自动清理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磁盘空间不会持续增长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MPS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接入MPS输入和输出COS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任务不依赖工作节点本地素材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MPS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保存MPS任务ID并接入回调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页面可显示真实进度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MPS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迁移素材智能成片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图片视频拼接可稳定输出MP4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MPS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迁移AI成片最终拼接和混音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生成素材不再由网页服务器合成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网感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模板9–12共用渲染池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模板规则独立、算力统一调度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网感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保存ASR、标题与关键词结果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刷新页面或重新渲染时无需重复分析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网感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用户确认标题字幕后再提交渲染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无效渲染和积分浪费明显减少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监控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记录各处理阶段耗时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可区分上传、排队、AI和渲染瓶颈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监控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增加CPU、内存、磁盘和队列告警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异常可在影响用户前发现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验收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连续完成10条不同长度测试视频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无坏帧、无丢字幕、无错误扣费</w:t>
            </w:r>
          </w:p>
        </w:tc>
      </w:tr>
      <w:tr>
        <w:trPr>
          <w:cantSplit/>
        </w:trPr>
        <w:tc>
          <w:tcPr>
            <w:tcW w:type="dxa" w:w="65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验收</w:t>
            </w:r>
          </w:p>
        </w:tc>
        <w:tc>
          <w:tcPr>
            <w:tcW w:type="dxa" w:w="391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手机端验证播放、下载与断点恢复</w:t>
            </w:r>
          </w:p>
        </w:tc>
        <w:tc>
          <w:tcPr>
            <w:tcW w:type="dxa" w:w="36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用户端体验达到上线标准</w:t>
            </w:r>
          </w:p>
        </w:tc>
      </w:tr>
      <w:tr>
        <w:trPr>
          <w:cantSplit/>
        </w:trPr>
        <w:tc>
          <w:tcPr>
            <w:tcW w:type="dxa" w:w="65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☐</w:t>
            </w:r>
          </w:p>
        </w:tc>
        <w:tc>
          <w:tcPr>
            <w:tcW w:type="dxa" w:w="12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扩容</w:t>
            </w:r>
          </w:p>
        </w:tc>
        <w:tc>
          <w:tcPr>
            <w:tcW w:type="dxa" w:w="391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确认队列达到扩容条件后再买第二台</w:t>
            </w:r>
          </w:p>
        </w:tc>
        <w:tc>
          <w:tcPr>
            <w:tcW w:type="dxa" w:w="36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7"/>
              </w:rPr>
              <w:t>扩容由真实数据触发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上线验收标准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上传过程不经过网页服务器，页面刷新后任务不丢失。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服务器重启后任务可恢复，失败任务可重试且积分正确退回。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两个用户同时提交任务时不会覆盖素材、状态或结果。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一键网感模板9–12的字体、字幕、标题、音效、BGM和转场保持定版效果。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成片固定输出H.264 MP4，网页与手机端可以快速读取首帧。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成片和封面保存至COS，用户通过受保护的CDN地址播放和下载。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连续10条测试视频全部完成，坏帧为0，字幕与音频同步。</w:t>
      </w:r>
    </w:p>
    <w:p>
      <w:pPr>
        <w:pStyle w:val="Heading1"/>
        <w:keepNext/>
      </w:pPr>
      <w:r>
        <w:t>8. 扩容条件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FF7E6"/>
            <w:tcBorders>
              <w:top w:val="single" w:sz="10" w:color="C99B38"/>
              <w:left w:val="single" w:sz="10" w:color="C99B38"/>
              <w:bottom w:val="single" w:sz="10" w:color="C99B38"/>
              <w:right w:val="single" w:sz="10" w:color="C99B38"/>
              <w:insideH w:val="single" w:sz="10" w:color="C99B38"/>
              <w:insideV w:val="single" w:sz="10" w:color="C99B38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C99B38"/>
                <w:sz w:val="21"/>
              </w:rPr>
              <w:t xml:space="preserve">扩容原则  </w:t>
            </w: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21"/>
              </w:rPr>
              <w:t>优先按等待队列扩容，不以单次CPU峰值作为唯一依据。只有付费用户确实出现持续排队，才增加第二台相同的8核16G节点。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00"/>
        <w:gridCol w:w="5060"/>
      </w:tblGrid>
      <w:tr>
        <w:trPr>
          <w:tblHeader w:val="true"/>
          <w:cantSplit/>
        </w:trPr>
        <w:tc>
          <w:tcPr>
            <w:tcW w:type="dxa" w:w="430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触发信号</w:t>
            </w:r>
          </w:p>
        </w:tc>
        <w:tc>
          <w:tcPr>
            <w:tcW w:type="dxa" w:w="5060"/>
            <w:shd w:fill="E8EEF5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i w:val="0"/>
                <w:color w:val="15204F"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4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等待任务达到2条并持续3分钟</w:t>
            </w:r>
          </w:p>
        </w:tc>
        <w:tc>
          <w:tcPr>
            <w:tcW w:type="dxa" w:w="506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准备增加第二个渲染节点</w:t>
            </w:r>
          </w:p>
        </w:tc>
      </w:tr>
      <w:tr>
        <w:trPr>
          <w:cantSplit/>
        </w:trPr>
        <w:tc>
          <w:tcPr>
            <w:tcW w:type="dxa" w:w="4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用户等待渲染经常超过2分钟</w:t>
            </w:r>
          </w:p>
        </w:tc>
        <w:tc>
          <w:tcPr>
            <w:tcW w:type="dxa" w:w="506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增加同规格8核16G节点</w:t>
            </w:r>
          </w:p>
        </w:tc>
      </w:tr>
      <w:tr>
        <w:trPr>
          <w:cantSplit/>
        </w:trPr>
        <w:tc>
          <w:tcPr>
            <w:tcW w:type="dxa" w:w="4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CPU长期低于60%但渲染仍慢</w:t>
            </w:r>
          </w:p>
        </w:tc>
        <w:tc>
          <w:tcPr>
            <w:tcW w:type="dxa" w:w="506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先优化Remotion并发和模板，不扩容</w:t>
            </w:r>
          </w:p>
        </w:tc>
      </w:tr>
      <w:tr>
        <w:trPr>
          <w:cantSplit/>
        </w:trPr>
        <w:tc>
          <w:tcPr>
            <w:tcW w:type="dxa" w:w="430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CPU长期超过85%且队列持续增长</w:t>
            </w:r>
          </w:p>
        </w:tc>
        <w:tc>
          <w:tcPr>
            <w:tcW w:type="dxa" w:w="5060"/>
            <w:shd w:fill="FAFBFC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扩容节点并检查单条视频资源峰值</w:t>
            </w:r>
          </w:p>
        </w:tc>
      </w:tr>
      <w:tr>
        <w:trPr>
          <w:cantSplit/>
        </w:trPr>
        <w:tc>
          <w:tcPr>
            <w:tcW w:type="dxa" w:w="430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磁盘持续增长</w:t>
            </w:r>
          </w:p>
        </w:tc>
        <w:tc>
          <w:tcPr>
            <w:tcW w:type="dxa" w:w="5060"/>
            <w:shd w:fill="FFFFFF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18"/>
              </w:rPr>
              <w:t>检查COS上传和临时文件清理，不购买大容量系统盘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风险与控制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未建立共享队列前，不直接上线多台渲染服务器，否则任务状态和本地文件无法统一。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未完成COS迁移前，不下线现有视频节点；需要保留回滚路径。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MPS替换模板渲染必须逐模板对照测试，复杂字体和动态字幕仍可保留Remotion。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API密钥、COS临时凭证和CDN鉴权密钥只保存在服务端，不进入浏览器和任务日志。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每项生产变更先在本地或预发布环境通过，再同步GitHub并部署腾讯云。</w:t>
      </w:r>
    </w:p>
    <w:p>
      <w:pPr>
        <w:pStyle w:val="Heading1"/>
        <w:keepNext/>
      </w:pPr>
      <w:r>
        <w:t>10. 执行启动条件</w:t>
      </w:r>
    </w:p>
    <w:p>
      <w:pPr>
        <w:pStyle w:val="ListNumber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平台管理员确认本文件版本和采购预算。</w:t>
      </w:r>
    </w:p>
    <w:p>
      <w:pPr>
        <w:pStyle w:val="ListNumber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确认腾讯云目标地域、VPC、COS存储桶和域名。</w:t>
      </w:r>
    </w:p>
    <w:p>
      <w:pPr>
        <w:pStyle w:val="ListNumber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为本次迁移建立可回滚的Git分支与部署记录。</w:t>
      </w:r>
    </w:p>
    <w:p>
      <w:pPr>
        <w:pStyle w:val="ListNumber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优先执行阶段1和阶段2，再购买或启用渲染节点。</w:t>
      </w:r>
    </w:p>
    <w:p>
      <w:pPr>
        <w:pStyle w:val="ListNumber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完成验收报告后，决定是否进入第二台渲染节点扩容。</w:t>
      </w:r>
    </w:p>
    <w:p>
      <w:pPr>
        <w:pStyle w:val="Heading1"/>
        <w:keepNext/>
      </w:pPr>
      <w:r>
        <w:t>参考资料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腾讯云MPS编辑视频：https://cloud.tencent.com/document/product/862/43010/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腾讯云MPS简介：https://cloud.tencent.com/document/product/862/37568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腾讯云COS CDN加速：https://cloud.tencent.com/document/api/436/18669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腾讯云弹性伸缩：https://cloud.tencent.com/document/product/377/36291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项目视频工作节点：services/video-worker/main.py</w:t>
      </w:r>
    </w:p>
    <w:p>
      <w:pPr>
        <w:pStyle w:val="ListBullet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1D2638"/>
          <w:sz w:val="21"/>
        </w:rPr>
        <w:t>项目部署配置：services/video-worker/deploy-server.sh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5F7FA"/>
            <w:tcBorders>
              <w:top w:val="single" w:sz="10" w:color="667085"/>
              <w:left w:val="single" w:sz="10" w:color="667085"/>
              <w:bottom w:val="single" w:sz="10" w:color="667085"/>
              <w:right w:val="single" w:sz="10" w:color="667085"/>
              <w:insideH w:val="single" w:sz="10" w:color="667085"/>
              <w:insideV w:val="single" w:sz="10" w:color="667085"/>
            </w:tcBorders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0" w:after="60" w:line="288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667085"/>
                <w:sz w:val="21"/>
              </w:rPr>
              <w:t xml:space="preserve">后续使用  </w:t>
            </w:r>
            <w:r>
              <w:rPr>
                <w:rFonts w:ascii="Hiragino Sans GB" w:hAnsi="Hiragino Sans GB" w:eastAsia="Hiragino Sans GB"/>
                <w:b w:val="0"/>
                <w:i w:val="0"/>
                <w:color w:val="1D2638"/>
                <w:sz w:val="21"/>
              </w:rPr>
              <w:t>执行时复制本文件为新版本，并在“主执行清单”中逐项更新状态、负责人、完成日期和验收结果。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Hiragino Sans GB" w:hAnsi="Hiragino Sans GB" w:eastAsia="Hiragino Sans GB"/>
        <w:b w:val="0"/>
        <w:i w:val="0"/>
        <w:color w:val="667085"/>
        <w:sz w:val="16"/>
      </w:rPr>
      <w:t>服务器与视频处理架构实施计划  ·  V1.0  ·  2026-08-22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Hiragino Sans GB" w:hAnsi="Hiragino Sans GB" w:eastAsia="Hiragino Sans GB"/>
        <w:b/>
        <w:i w:val="0"/>
        <w:color w:val="667085"/>
        <w:sz w:val="17"/>
      </w:rPr>
      <w:t>爆点实验室  |  技术实施文档</w:t>
    </w:r>
    <w:r>
      <w:rPr>
        <w:rFonts w:ascii="Hiragino Sans GB" w:hAnsi="Hiragino Sans GB" w:eastAsia="Hiragino Sans GB"/>
        <w:b/>
        <w:i w:val="0"/>
        <w:color w:val="C99B38"/>
        <w:sz w:val="17"/>
      </w:rPr>
      <w:t xml:space="preserve">                                      状态：待执行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1D26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520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520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DB9C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