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Liberation Sans" w:hAnsi="Liberation Sans"/>
          <w:b/>
          <w:color w:val="0F2D44"/>
          <w:sz w:val="56"/>
        </w:rPr>
        <w:t>THE BEING ENVELOPE</w:t>
      </w:r>
    </w:p>
    <w:p>
      <w:pPr>
        <w:jc w:val="center"/>
      </w:pPr>
      <w:r>
        <w:rPr>
          <w:rFonts w:ascii="Liberation Sans" w:hAnsi="Liberation Sans"/>
          <w:b/>
          <w:color w:val="305267"/>
          <w:sz w:val="28"/>
        </w:rPr>
        <w:t>Technical Architecture for a Fractalish-SymLanic Constructional Natural-Math Ternary Read/Write Substrate</w:t>
      </w:r>
    </w:p>
    <w:p>
      <w:pPr>
        <w:spacing w:before="280"/>
        <w:jc w:val="center"/>
      </w:pPr>
      <w:r>
        <w:rPr>
          <w:rFonts w:ascii="Liberation Serif" w:hAnsi="Liberation Serif"/>
          <w:i/>
          <w:color w:val="4B555F"/>
          <w:sz w:val="24"/>
        </w:rPr>
        <w:t>A shared, executable, evidence-bearing knowledge representation for Cognitive Basin systems</w:t>
      </w:r>
    </w:p>
    <w:p>
      <w:pPr>
        <w:spacing w:before="320"/>
        <w:jc w:val="center"/>
      </w:pPr>
      <w:r>
        <w:drawing>
          <wp:inline xmlns:a="http://schemas.openxmlformats.org/drawingml/2006/main" xmlns:pic="http://schemas.openxmlformats.org/drawingml/2006/picture">
            <wp:extent cx="6172200" cy="3909060"/>
            <wp:docPr id="1" name="Picture 1"/>
            <wp:cNvGraphicFramePr>
              <a:graphicFrameLocks noChangeAspect="1"/>
            </wp:cNvGraphicFramePr>
            <a:graphic>
              <a:graphicData uri="http://schemas.openxmlformats.org/drawingml/2006/picture">
                <pic:pic>
                  <pic:nvPicPr>
                    <pic:cNvPr id="0" name="infinitysight_cover.png"/>
                    <pic:cNvPicPr/>
                  </pic:nvPicPr>
                  <pic:blipFill>
                    <a:blip r:embed="rId11"/>
                    <a:stretch>
                      <a:fillRect/>
                    </a:stretch>
                  </pic:blipFill>
                  <pic:spPr>
                    <a:xfrm>
                      <a:off x="0" y="0"/>
                      <a:ext cx="6172200" cy="3909060"/>
                    </a:xfrm>
                    <a:prstGeom prst="rect"/>
                  </pic:spPr>
                </pic:pic>
              </a:graphicData>
            </a:graphic>
          </wp:inline>
        </w:drawing>
      </w:r>
    </w:p>
    <w:p>
      <w:pPr>
        <w:spacing w:before="320"/>
        <w:jc w:val="center"/>
      </w:pPr>
      <w:r>
        <w:rPr>
          <w:rFonts w:ascii="Liberation Sans" w:hAnsi="Liberation Sans"/>
          <w:b/>
          <w:color w:val="2F4B5D"/>
          <w:sz w:val="21"/>
        </w:rPr>
        <w:t>Foundational Working Paper - Version 0.1</w:t>
      </w:r>
    </w:p>
    <w:p>
      <w:pPr>
        <w:jc w:val="center"/>
      </w:pPr>
      <w:r>
        <w:rPr>
          <w:rFonts w:ascii="Liberation Serif" w:hAnsi="Liberation Serif"/>
          <w:color w:val="505860"/>
          <w:sz w:val="21"/>
        </w:rPr>
        <w:t>James Allen Clow &amp; Melissa Ellen Clow</w:t>
        <w:br/>
        <w:t>SYNAPTIENT / BonAcqui LLC</w:t>
        <w:br/>
        <w:t>June 2026</w:t>
      </w:r>
    </w:p>
    <w:p>
      <w:pPr>
        <w:spacing w:before="200"/>
        <w:jc w:val="center"/>
      </w:pPr>
      <w:r>
        <w:rPr>
          <w:rFonts w:ascii="Liberation Serif" w:hAnsi="Liberation Serif"/>
          <w:i/>
          <w:color w:val="684A37"/>
          <w:sz w:val="17"/>
        </w:rPr>
        <w:t>Status: architectural target and implementation specification. Not a claim that all components are presently built or validated.</w:t>
      </w:r>
    </w:p>
    <w:p>
      <w:r>
        <w:br w:type="page"/>
      </w:r>
    </w:p>
    <w:p>
      <w:pPr>
        <w:pStyle w:val="Heading1"/>
      </w:pPr>
      <w:r>
        <w:t>Executive Abstract</w:t>
      </w:r>
    </w:p>
    <w:p>
      <w:pPr>
        <w:keepNext w:val="0"/>
        <w:spacing w:after="110"/>
      </w:pPr>
      <w:r>
        <w:rPr>
          <w:rFonts w:ascii="Liberation Serif" w:hAnsi="Liberation Serif"/>
          <w:sz w:val="20"/>
        </w:rPr>
        <w:t>This white paper defines a common technical object through which Fractalish perception, Construction A+/Honeybee attractor registration, Natural Math formation rules, SymLan spatial programming, SymVoc-style concept identity, Cognitive Basin interpretation, and future CNTM persistence can interoperate. The proposed object is called the Fractalish-SymLanic Constructional Ternary Envelope, with the working name “Being Envelope.”</w:t>
      </w:r>
    </w:p>
    <w:p>
      <w:pPr>
        <w:keepNext w:val="0"/>
        <w:spacing w:after="110"/>
      </w:pPr>
      <w:r>
        <w:rPr>
          <w:rFonts w:ascii="Liberation Serif" w:hAnsi="Liberation Serif"/>
          <w:sz w:val="20"/>
        </w:rPr>
        <w:t>The envelope is not a picture, glyph, hash, embedding, database row, or prose definition. Those are projections. The envelope is a versioned, evidence-bearing, reconstructable concept-state that can be read from reality, executed or simulated, shared across Logients, revised collaboratively, and mapped into substrate-local attractor codes without confusing any local code with the global concept identity.</w:t>
      </w:r>
    </w:p>
    <w:tbl>
      <w:tblPr>
        <w:tblW w:type="auto" w:w="0"/>
        <w:jc w:val="center"/>
        <w:tblLook w:firstColumn="1" w:firstRow="1" w:lastColumn="0" w:lastRow="0" w:noHBand="0" w:noVBand="1" w:val="04A0"/>
      </w:tblPr>
      <w:tblGrid>
        <w:gridCol w:w="10166"/>
      </w:tblGrid>
      <w:tr>
        <w:tc>
          <w:tcPr>
            <w:tcW w:type="dxa" w:w="10166"/>
            <w:shd w:fill="EAF1F5"/>
            <w:tcMar>
              <w:top w:w="140" w:type="dxa"/>
              <w:start w:w="180" w:type="dxa"/>
              <w:bottom w:w="140" w:type="dxa"/>
              <w:end w:w="180" w:type="dxa"/>
            </w:tcMar>
            <w:tcBorders>
              <w:top w:val="single" w:sz="8" w:color="2F7C91"/>
              <w:left w:val="single" w:sz="8" w:color="2F7C91"/>
              <w:bottom w:val="single" w:sz="8" w:color="2F7C91"/>
              <w:right w:val="single" w:sz="8" w:color="2F7C91"/>
            </w:tcBorders>
          </w:tcPr>
          <w:p>
            <w:pPr>
              <w:spacing w:after="0"/>
              <w:jc w:val="center"/>
            </w:pPr>
            <w:r>
              <w:rPr>
                <w:rFonts w:ascii="Liberation Sans" w:hAnsi="Liberation Sans"/>
                <w:b/>
                <w:color w:val="193446"/>
                <w:sz w:val="22"/>
              </w:rPr>
              <w:t>Core thesis: shared machine understanding should be stored as executable, reconstructable relationships with lineage and evidence - not as detached prose or opaque vectors.</w:t>
            </w:r>
          </w:p>
        </w:tc>
      </w:tr>
    </w:tbl>
    <w:p>
      <w:pPr>
        <w:spacing w:after="20"/>
      </w:pPr>
    </w:p>
    <w:p>
      <w:pPr>
        <w:keepNext w:val="0"/>
        <w:spacing w:after="110"/>
      </w:pPr>
      <w:r>
        <w:rPr>
          <w:rFonts w:ascii="Liberation Serif" w:hAnsi="Liberation Serif"/>
          <w:sz w:val="20"/>
        </w:rPr>
        <w:t>The architecture resolves a central tension in the existing work. SymVoc and The Tower require durable shared concept identity. Construction A+ demonstrates that emergent vocabularies can be substrate- and instance-specific. The solution is not to force one universal glyph. It is to maintain a stable global identity while registering multiple local encodings through tested decoders, translation witnesses, and provenance.</w:t>
      </w:r>
    </w:p>
    <w:p>
      <w:pPr>
        <w:keepNext w:val="0"/>
        <w:spacing w:after="110"/>
      </w:pPr>
      <w:r>
        <w:rPr>
          <w:rFonts w:ascii="Liberation Serif" w:hAnsi="Liberation Serif"/>
          <w:sz w:val="20"/>
        </w:rPr>
        <w:t>The first implementation is deliberately software-only. It will prove that one multiscale scene can be converted into an envelope, resolved by multiple Cognitive Basin clients, reconstructed from the shared object, and collaboratively revised through EXTEND / HOLD / RETRACT decisions. Fractal-first cameras, federated global registries, native ternary hardware, and CNTM physical continuity are subsequent layers, not prerequisites for the first proof.</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DCE9F0"/>
            <w:tcMar>
              <w:top w:w="90" w:type="dxa"/>
              <w:start w:w="100" w:type="dxa"/>
              <w:bottom w:w="90" w:type="dxa"/>
              <w:end w:w="100" w:type="dxa"/>
            </w:tcMar>
          </w:tcPr>
          <w:p>
            <w:r>
              <w:rPr>
                <w:rFonts w:ascii="Liberation Sans" w:hAnsi="Liberation Sans"/>
                <w:b/>
                <w:sz w:val="17"/>
              </w:rPr>
              <w:t>Dimension</w:t>
            </w:r>
          </w:p>
        </w:tc>
        <w:tc>
          <w:tcPr>
            <w:tcW w:type="dxa" w:w="3600"/>
            <w:shd w:fill="DCE9F0"/>
            <w:tcMar>
              <w:top w:w="90" w:type="dxa"/>
              <w:start w:w="100" w:type="dxa"/>
              <w:bottom w:w="90" w:type="dxa"/>
              <w:end w:w="100" w:type="dxa"/>
            </w:tcMar>
          </w:tcPr>
          <w:p>
            <w:r>
              <w:rPr>
                <w:rFonts w:ascii="Liberation Sans" w:hAnsi="Liberation Sans"/>
                <w:b/>
                <w:sz w:val="17"/>
              </w:rPr>
              <w:t>Current evidence-backed status</w:t>
            </w:r>
          </w:p>
        </w:tc>
        <w:tc>
          <w:tcPr>
            <w:tcW w:type="dxa" w:w="4680"/>
            <w:shd w:fill="DCE9F0"/>
            <w:tcMar>
              <w:top w:w="90" w:type="dxa"/>
              <w:start w:w="100" w:type="dxa"/>
              <w:bottom w:w="90" w:type="dxa"/>
              <w:end w:w="100" w:type="dxa"/>
            </w:tcMar>
          </w:tcPr>
          <w:p>
            <w:r>
              <w:rPr>
                <w:rFonts w:ascii="Liberation Sans" w:hAnsi="Liberation Sans"/>
                <w:b/>
                <w:sz w:val="17"/>
              </w:rPr>
              <w:t>Target introduced by this paper</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SymLan / SymVoc</w:t>
            </w:r>
          </w:p>
        </w:tc>
        <w:tc>
          <w:tcPr>
            <w:tcW w:type="dxa" w:w="3600"/>
            <w:tcMar>
              <w:top w:w="90" w:type="dxa"/>
              <w:start w:w="100" w:type="dxa"/>
              <w:bottom w:w="90" w:type="dxa"/>
              <w:end w:w="100" w:type="dxa"/>
            </w:tcMar>
            <w:vAlign w:val="top"/>
          </w:tcPr>
          <w:p>
            <w:pPr>
              <w:spacing w:after="20"/>
            </w:pPr>
            <w:r>
              <w:rPr>
                <w:rFonts w:ascii="Liberation Serif" w:hAnsi="Liberation Serif"/>
                <w:sz w:val="17"/>
              </w:rPr>
              <w:t>Executable-language and planetary registry concepts are specified in prior work.</w:t>
            </w:r>
          </w:p>
        </w:tc>
        <w:tc>
          <w:tcPr>
            <w:tcW w:type="dxa" w:w="4680"/>
            <w:tcMar>
              <w:top w:w="90" w:type="dxa"/>
              <w:start w:w="100" w:type="dxa"/>
              <w:bottom w:w="90" w:type="dxa"/>
              <w:end w:w="100" w:type="dxa"/>
            </w:tcMar>
            <w:vAlign w:val="top"/>
          </w:tcPr>
          <w:p>
            <w:pPr>
              <w:spacing w:after="20"/>
            </w:pPr>
            <w:r>
              <w:rPr>
                <w:rFonts w:ascii="Liberation Serif" w:hAnsi="Liberation Serif"/>
                <w:sz w:val="17"/>
              </w:rPr>
              <w:t>Replace glyph-as-invariant with envelope-as-invariant; glyphs become projections.</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Construction A+</w:t>
            </w:r>
          </w:p>
        </w:tc>
        <w:tc>
          <w:tcPr>
            <w:tcW w:type="dxa" w:w="3600"/>
            <w:tcMar>
              <w:top w:w="90" w:type="dxa"/>
              <w:start w:w="100" w:type="dxa"/>
              <w:bottom w:w="90" w:type="dxa"/>
              <w:end w:w="100" w:type="dxa"/>
            </w:tcMar>
            <w:vAlign w:val="top"/>
          </w:tcPr>
          <w:p>
            <w:pPr>
              <w:spacing w:after="20"/>
            </w:pPr>
            <w:r>
              <w:rPr>
                <w:rFonts w:ascii="Liberation Serif" w:hAnsi="Liberation Serif"/>
                <w:sz w:val="17"/>
              </w:rPr>
              <w:t>Real-data pipeline, attractor registration, ternary readout, collision handling, and held-out decoding methodology exist.</w:t>
            </w:r>
          </w:p>
        </w:tc>
        <w:tc>
          <w:tcPr>
            <w:tcW w:type="dxa" w:w="4680"/>
            <w:tcMar>
              <w:top w:w="90" w:type="dxa"/>
              <w:start w:w="100" w:type="dxa"/>
              <w:bottom w:w="90" w:type="dxa"/>
              <w:end w:w="100" w:type="dxa"/>
            </w:tcMar>
            <w:vAlign w:val="top"/>
          </w:tcPr>
          <w:p>
            <w:pPr>
              <w:spacing w:after="20"/>
            </w:pPr>
            <w:r>
              <w:rPr>
                <w:rFonts w:ascii="Liberation Serif" w:hAnsi="Liberation Serif"/>
                <w:sz w:val="17"/>
              </w:rPr>
              <w:t>Register substrate-local codes as envelope mappings with fidelity and drift evidence.</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Natural Math</w:t>
            </w:r>
          </w:p>
        </w:tc>
        <w:tc>
          <w:tcPr>
            <w:tcW w:type="dxa" w:w="3600"/>
            <w:tcMar>
              <w:top w:w="90" w:type="dxa"/>
              <w:start w:w="100" w:type="dxa"/>
              <w:bottom w:w="90" w:type="dxa"/>
              <w:end w:w="100" w:type="dxa"/>
            </w:tcMar>
            <w:vAlign w:val="top"/>
          </w:tcPr>
          <w:p>
            <w:pPr>
              <w:spacing w:after="20"/>
            </w:pPr>
            <w:r>
              <w:rPr>
                <w:rFonts w:ascii="Liberation Serif" w:hAnsi="Liberation Serif"/>
                <w:sz w:val="17"/>
              </w:rPr>
              <w:t>Canonical local process grammar remains independent and unchanged.</w:t>
            </w:r>
          </w:p>
        </w:tc>
        <w:tc>
          <w:tcPr>
            <w:tcW w:type="dxa" w:w="4680"/>
            <w:tcMar>
              <w:top w:w="90" w:type="dxa"/>
              <w:start w:w="100" w:type="dxa"/>
              <w:bottom w:w="90" w:type="dxa"/>
              <w:end w:w="100" w:type="dxa"/>
            </w:tcMar>
            <w:vAlign w:val="top"/>
          </w:tcPr>
          <w:p>
            <w:pPr>
              <w:spacing w:after="20"/>
            </w:pPr>
            <w:r>
              <w:rPr>
                <w:rFonts w:ascii="Liberation Serif" w:hAnsi="Liberation Serif"/>
                <w:sz w:val="17"/>
              </w:rPr>
              <w:t>Use Natural Math expressions as formation and transformation content inside envelopes.</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InfinitySight / PERCEPT</w:t>
            </w:r>
          </w:p>
        </w:tc>
        <w:tc>
          <w:tcPr>
            <w:tcW w:type="dxa" w:w="3600"/>
            <w:tcMar>
              <w:top w:w="90" w:type="dxa"/>
              <w:start w:w="100" w:type="dxa"/>
              <w:bottom w:w="90" w:type="dxa"/>
              <w:end w:w="100" w:type="dxa"/>
            </w:tcMar>
            <w:vAlign w:val="top"/>
          </w:tcPr>
          <w:p>
            <w:pPr>
              <w:spacing w:after="20"/>
            </w:pPr>
            <w:r>
              <w:rPr>
                <w:rFonts w:ascii="Liberation Serif" w:hAnsi="Liberation Serif"/>
                <w:sz w:val="17"/>
              </w:rPr>
              <w:t>A multi-agent interface mock and SymLan module sketch exist; real perception remains to be built.</w:t>
            </w:r>
          </w:p>
        </w:tc>
        <w:tc>
          <w:tcPr>
            <w:tcW w:type="dxa" w:w="4680"/>
            <w:tcMar>
              <w:top w:w="90" w:type="dxa"/>
              <w:start w:w="100" w:type="dxa"/>
              <w:bottom w:w="90" w:type="dxa"/>
              <w:end w:w="100" w:type="dxa"/>
            </w:tcMar>
            <w:vAlign w:val="top"/>
          </w:tcPr>
          <w:p>
            <w:pPr>
              <w:spacing w:after="20"/>
            </w:pPr>
            <w:r>
              <w:rPr>
                <w:rFonts w:ascii="Liberation Serif" w:hAnsi="Liberation Serif"/>
                <w:sz w:val="17"/>
              </w:rPr>
              <w:t>Define a fractal-primary, raw-supported read path into envelopes.</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Cognitive Basin</w:t>
            </w:r>
          </w:p>
        </w:tc>
        <w:tc>
          <w:tcPr>
            <w:tcW w:type="dxa" w:w="3600"/>
            <w:tcMar>
              <w:top w:w="90" w:type="dxa"/>
              <w:start w:w="100" w:type="dxa"/>
              <w:bottom w:w="90" w:type="dxa"/>
              <w:end w:w="100" w:type="dxa"/>
            </w:tcMar>
            <w:vAlign w:val="top"/>
          </w:tcPr>
          <w:p>
            <w:pPr>
              <w:spacing w:after="20"/>
            </w:pPr>
            <w:r>
              <w:rPr>
                <w:rFonts w:ascii="Liberation Serif" w:hAnsi="Liberation Serif"/>
                <w:sz w:val="17"/>
              </w:rPr>
              <w:t>Ternary epistemic/action states and early executable BasinLab work exist.</w:t>
            </w:r>
          </w:p>
        </w:tc>
        <w:tc>
          <w:tcPr>
            <w:tcW w:type="dxa" w:w="4680"/>
            <w:tcMar>
              <w:top w:w="90" w:type="dxa"/>
              <w:start w:w="100" w:type="dxa"/>
              <w:bottom w:w="90" w:type="dxa"/>
              <w:end w:w="100" w:type="dxa"/>
            </w:tcMar>
            <w:vAlign w:val="top"/>
          </w:tcPr>
          <w:p>
            <w:pPr>
              <w:spacing w:after="20"/>
            </w:pPr>
            <w:r>
              <w:rPr>
                <w:rFonts w:ascii="Liberation Serif" w:hAnsi="Liberation Serif"/>
                <w:sz w:val="17"/>
              </w:rPr>
              <w:t>Make envelopes the shared input/output boundary for roles, memory, and registry collaboration.</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CNTM</w:t>
            </w:r>
          </w:p>
        </w:tc>
        <w:tc>
          <w:tcPr>
            <w:tcW w:type="dxa" w:w="3600"/>
            <w:tcMar>
              <w:top w:w="90" w:type="dxa"/>
              <w:start w:w="100" w:type="dxa"/>
              <w:bottom w:w="90" w:type="dxa"/>
              <w:end w:w="100" w:type="dxa"/>
            </w:tcMar>
            <w:vAlign w:val="top"/>
          </w:tcPr>
          <w:p>
            <w:pPr>
              <w:spacing w:after="20"/>
            </w:pPr>
            <w:r>
              <w:rPr>
                <w:rFonts w:ascii="Liberation Serif" w:hAnsi="Liberation Serif"/>
                <w:sz w:val="17"/>
              </w:rPr>
              <w:t>Physical morphology-memory is a long-term research program.</w:t>
            </w:r>
          </w:p>
        </w:tc>
        <w:tc>
          <w:tcPr>
            <w:tcW w:type="dxa" w:w="4680"/>
            <w:tcMar>
              <w:top w:w="90" w:type="dxa"/>
              <w:start w:w="100" w:type="dxa"/>
              <w:bottom w:w="90" w:type="dxa"/>
              <w:end w:w="100" w:type="dxa"/>
            </w:tcMar>
            <w:vAlign w:val="top"/>
          </w:tcPr>
          <w:p>
            <w:pPr>
              <w:spacing w:after="20"/>
            </w:pPr>
            <w:r>
              <w:rPr>
                <w:rFonts w:ascii="Liberation Serif" w:hAnsi="Liberation Serif"/>
                <w:sz w:val="17"/>
              </w:rPr>
              <w:t>Add future persistence adapters without claiming present physical implementation.</w:t>
            </w:r>
          </w:p>
        </w:tc>
      </w:tr>
    </w:tbl>
    <w:p>
      <w:pPr>
        <w:spacing w:after="20"/>
      </w:pPr>
    </w:p>
    <w:p>
      <w:pPr>
        <w:pStyle w:val="Heading1"/>
      </w:pPr>
      <w:r>
        <w:t>Contents</w:t>
      </w:r>
    </w:p>
    <w:p>
      <w:pPr>
        <w:pStyle w:val="ListBullet"/>
        <w:spacing w:after="50" w:line="247" w:lineRule="auto"/>
      </w:pPr>
      <w:r>
        <w:rPr>
          <w:rFonts w:ascii="Liberation Serif" w:hAnsi="Liberation Serif"/>
          <w:sz w:val="20"/>
        </w:rPr>
        <w:t>1. Purpose and Design Goal</w:t>
      </w:r>
    </w:p>
    <w:p>
      <w:pPr>
        <w:pStyle w:val="ListBullet"/>
        <w:spacing w:after="50" w:line="247" w:lineRule="auto"/>
      </w:pPr>
      <w:r>
        <w:rPr>
          <w:rFonts w:ascii="Liberation Serif" w:hAnsi="Liberation Serif"/>
          <w:sz w:val="20"/>
        </w:rPr>
        <w:t>2. Scope, Claims, and Non-Claims</w:t>
      </w:r>
    </w:p>
    <w:p>
      <w:pPr>
        <w:pStyle w:val="ListBullet"/>
        <w:spacing w:after="50" w:line="247" w:lineRule="auto"/>
      </w:pPr>
      <w:r>
        <w:rPr>
          <w:rFonts w:ascii="Liberation Serif" w:hAnsi="Liberation Serif"/>
          <w:sz w:val="20"/>
        </w:rPr>
        <w:t>3. Foundational Synthesis</w:t>
      </w:r>
    </w:p>
    <w:p>
      <w:pPr>
        <w:pStyle w:val="ListBullet"/>
        <w:spacing w:after="50" w:line="247" w:lineRule="auto"/>
      </w:pPr>
      <w:r>
        <w:rPr>
          <w:rFonts w:ascii="Liberation Serif" w:hAnsi="Liberation Serif"/>
          <w:sz w:val="20"/>
        </w:rPr>
        <w:t>4. Core Design Principles</w:t>
      </w:r>
    </w:p>
    <w:p>
      <w:pPr>
        <w:pStyle w:val="ListBullet"/>
        <w:spacing w:after="50" w:line="247" w:lineRule="auto"/>
      </w:pPr>
      <w:r>
        <w:rPr>
          <w:rFonts w:ascii="Liberation Serif" w:hAnsi="Liberation Serif"/>
          <w:sz w:val="20"/>
        </w:rPr>
        <w:t>5. The Being Envelope Data Model</w:t>
      </w:r>
    </w:p>
    <w:p>
      <w:pPr>
        <w:pStyle w:val="ListBullet"/>
        <w:spacing w:after="50" w:line="247" w:lineRule="auto"/>
      </w:pPr>
      <w:r>
        <w:rPr>
          <w:rFonts w:ascii="Liberation Serif" w:hAnsi="Liberation Serif"/>
          <w:sz w:val="20"/>
        </w:rPr>
        <w:t>6. Read Path: Reality to Basin</w:t>
      </w:r>
    </w:p>
    <w:p>
      <w:pPr>
        <w:pStyle w:val="ListBullet"/>
        <w:spacing w:after="50" w:line="247" w:lineRule="auto"/>
      </w:pPr>
      <w:r>
        <w:rPr>
          <w:rFonts w:ascii="Liberation Serif" w:hAnsi="Liberation Serif"/>
          <w:sz w:val="20"/>
        </w:rPr>
        <w:t>7. Write Path: Basin to Constructed Reality</w:t>
      </w:r>
    </w:p>
    <w:p>
      <w:pPr>
        <w:pStyle w:val="ListBullet"/>
        <w:spacing w:after="50" w:line="247" w:lineRule="auto"/>
      </w:pPr>
      <w:r>
        <w:rPr>
          <w:rFonts w:ascii="Liberation Serif" w:hAnsi="Liberation Serif"/>
          <w:sz w:val="20"/>
        </w:rPr>
        <w:t>8. Shared Knowledge Fabric</w:t>
      </w:r>
    </w:p>
    <w:p>
      <w:pPr>
        <w:pStyle w:val="ListBullet"/>
        <w:spacing w:after="50" w:line="247" w:lineRule="auto"/>
      </w:pPr>
      <w:r>
        <w:rPr>
          <w:rFonts w:ascii="Liberation Serif" w:hAnsi="Liberation Serif"/>
          <w:sz w:val="20"/>
        </w:rPr>
        <w:t>9. Fractal-First PERCEPT and InfinitySight</w:t>
      </w:r>
    </w:p>
    <w:p>
      <w:pPr>
        <w:pStyle w:val="ListBullet"/>
        <w:spacing w:after="50" w:line="247" w:lineRule="auto"/>
      </w:pPr>
      <w:r>
        <w:rPr>
          <w:rFonts w:ascii="Liberation Serif" w:hAnsi="Liberation Serif"/>
          <w:sz w:val="20"/>
        </w:rPr>
        <w:t>10. Construction A+ / Honeybee Integration</w:t>
      </w:r>
    </w:p>
    <w:p>
      <w:pPr>
        <w:pStyle w:val="ListBullet"/>
        <w:spacing w:after="50" w:line="247" w:lineRule="auto"/>
      </w:pPr>
      <w:r>
        <w:rPr>
          <w:rFonts w:ascii="Liberation Serif" w:hAnsi="Liberation Serif"/>
          <w:sz w:val="20"/>
        </w:rPr>
        <w:t>11. Natural Math and SymLan Integration</w:t>
      </w:r>
    </w:p>
    <w:p>
      <w:pPr>
        <w:pStyle w:val="ListBullet"/>
        <w:spacing w:after="50" w:line="247" w:lineRule="auto"/>
      </w:pPr>
      <w:r>
        <w:rPr>
          <w:rFonts w:ascii="Liberation Serif" w:hAnsi="Liberation Serif"/>
          <w:sz w:val="20"/>
        </w:rPr>
        <w:t>12. Cognitive Basin Integration</w:t>
      </w:r>
    </w:p>
    <w:p>
      <w:pPr>
        <w:pStyle w:val="ListBullet"/>
        <w:spacing w:after="50" w:line="247" w:lineRule="auto"/>
      </w:pPr>
      <w:r>
        <w:rPr>
          <w:rFonts w:ascii="Liberation Serif" w:hAnsi="Liberation Serif"/>
          <w:sz w:val="20"/>
        </w:rPr>
        <w:t>13. Security, Governance, and Trust</w:t>
      </w:r>
    </w:p>
    <w:p>
      <w:pPr>
        <w:pStyle w:val="ListBullet"/>
        <w:spacing w:after="50" w:line="247" w:lineRule="auto"/>
      </w:pPr>
      <w:r>
        <w:rPr>
          <w:rFonts w:ascii="Liberation Serif" w:hAnsi="Liberation Serif"/>
          <w:sz w:val="20"/>
        </w:rPr>
        <w:t>14. Minimal Vertical Slice</w:t>
      </w:r>
    </w:p>
    <w:p>
      <w:pPr>
        <w:pStyle w:val="ListBullet"/>
        <w:spacing w:after="50" w:line="247" w:lineRule="auto"/>
      </w:pPr>
      <w:r>
        <w:rPr>
          <w:rFonts w:ascii="Liberation Serif" w:hAnsi="Liberation Serif"/>
          <w:sz w:val="20"/>
        </w:rPr>
        <w:t>15. Technical Architecture and Repository Boundaries</w:t>
      </w:r>
    </w:p>
    <w:p>
      <w:pPr>
        <w:pStyle w:val="ListBullet"/>
        <w:spacing w:after="50" w:line="247" w:lineRule="auto"/>
      </w:pPr>
      <w:r>
        <w:rPr>
          <w:rFonts w:ascii="Liberation Serif" w:hAnsi="Liberation Serif"/>
          <w:sz w:val="20"/>
        </w:rPr>
        <w:t>16. Validation and Acceptance Criteria</w:t>
      </w:r>
    </w:p>
    <w:p>
      <w:pPr>
        <w:pStyle w:val="ListBullet"/>
        <w:spacing w:after="50" w:line="247" w:lineRule="auto"/>
      </w:pPr>
      <w:r>
        <w:rPr>
          <w:rFonts w:ascii="Liberation Serif" w:hAnsi="Liberation Serif"/>
          <w:sz w:val="20"/>
        </w:rPr>
        <w:t>17. Development Roadmap and Team Workstreams</w:t>
      </w:r>
    </w:p>
    <w:p>
      <w:pPr>
        <w:pStyle w:val="ListBullet"/>
        <w:spacing w:after="50" w:line="247" w:lineRule="auto"/>
      </w:pPr>
      <w:r>
        <w:rPr>
          <w:rFonts w:ascii="Liberation Serif" w:hAnsi="Liberation Serif"/>
          <w:sz w:val="20"/>
        </w:rPr>
        <w:t>18. Risks and Open Questions</w:t>
      </w:r>
    </w:p>
    <w:p>
      <w:pPr>
        <w:pStyle w:val="ListBullet"/>
        <w:spacing w:after="50" w:line="247" w:lineRule="auto"/>
      </w:pPr>
      <w:r>
        <w:rPr>
          <w:rFonts w:ascii="Liberation Serif" w:hAnsi="Liberation Serif"/>
          <w:sz w:val="20"/>
        </w:rPr>
        <w:t>19. Conclusion</w:t>
      </w:r>
    </w:p>
    <w:p>
      <w:pPr>
        <w:pStyle w:val="ListBullet"/>
        <w:spacing w:after="50" w:line="247" w:lineRule="auto"/>
      </w:pPr>
      <w:r>
        <w:rPr>
          <w:rFonts w:ascii="Liberation Serif" w:hAnsi="Liberation Serif"/>
          <w:sz w:val="20"/>
        </w:rPr>
        <w:t>Appendix A. Provisional Envelope Schema</w:t>
      </w:r>
    </w:p>
    <w:p>
      <w:pPr>
        <w:pStyle w:val="ListBullet"/>
        <w:spacing w:after="50" w:line="247" w:lineRule="auto"/>
      </w:pPr>
      <w:r>
        <w:rPr>
          <w:rFonts w:ascii="Liberation Serif" w:hAnsi="Liberation Serif"/>
          <w:sz w:val="20"/>
        </w:rPr>
        <w:t>Appendix B. Initial API Surface</w:t>
      </w:r>
    </w:p>
    <w:p>
      <w:pPr>
        <w:pStyle w:val="ListBullet"/>
        <w:spacing w:after="50" w:line="247" w:lineRule="auto"/>
      </w:pPr>
      <w:r>
        <w:rPr>
          <w:rFonts w:ascii="Liberation Serif" w:hAnsi="Liberation Serif"/>
          <w:sz w:val="20"/>
        </w:rPr>
        <w:t>Appendix C. Immediate Prompting Brief</w:t>
      </w:r>
    </w:p>
    <w:p>
      <w:pPr>
        <w:pStyle w:val="ListBullet"/>
        <w:spacing w:after="50" w:line="247" w:lineRule="auto"/>
      </w:pPr>
      <w:r>
        <w:rPr>
          <w:rFonts w:ascii="Liberation Serif" w:hAnsi="Liberation Serif"/>
          <w:sz w:val="20"/>
        </w:rPr>
        <w:t>References</w:t>
      </w:r>
    </w:p>
    <w:p>
      <w:r>
        <w:br w:type="page"/>
      </w:r>
    </w:p>
    <w:p>
      <w:pPr>
        <w:pStyle w:val="Heading1"/>
      </w:pPr>
      <w:r>
        <w:t>1. Purpose and Design Goal</w:t>
      </w:r>
    </w:p>
    <w:p>
      <w:pPr>
        <w:keepNext w:val="0"/>
        <w:spacing w:after="110"/>
      </w:pPr>
      <w:r>
        <w:rPr>
          <w:rFonts w:ascii="Liberation Serif" w:hAnsi="Liberation Serif"/>
          <w:sz w:val="20"/>
        </w:rPr>
        <w:t>The project requires a common object that can survive translation across sensing, symbolic reasoning, physical substrates, multiple AI systems, memory layers, and time. Without such an object, each major program may succeed independently while failing to compose: PERCEPT may emit one representation, Construction A+ another, Natural Math a third, SymLan a fourth, and each Cognitive Basin role may invent a private internal format.</w:t>
      </w:r>
    </w:p>
    <w:p>
      <w:pPr>
        <w:keepNext w:val="0"/>
        <w:spacing w:after="110"/>
      </w:pPr>
      <w:r>
        <w:rPr>
          <w:rFonts w:ascii="Liberation Serif" w:hAnsi="Liberation Serif"/>
          <w:sz w:val="20"/>
        </w:rPr>
        <w:t>The Being Envelope is proposed as the shared read/write boundary. It is intended to support five operations with one coherent contract:</w:t>
      </w:r>
    </w:p>
    <w:p>
      <w:pPr>
        <w:pStyle w:val="ListBullet"/>
        <w:spacing w:after="50" w:line="247" w:lineRule="auto"/>
      </w:pPr>
      <w:r>
        <w:rPr>
          <w:rFonts w:ascii="Liberation Serif" w:hAnsi="Liberation Serif"/>
          <w:sz w:val="20"/>
        </w:rPr>
        <w:t>Read a physical, digital, or conceptual event into structured machine understanding.</w:t>
      </w:r>
    </w:p>
    <w:p>
      <w:pPr>
        <w:pStyle w:val="ListBullet"/>
        <w:spacing w:after="50" w:line="247" w:lineRule="auto"/>
      </w:pPr>
      <w:r>
        <w:rPr>
          <w:rFonts w:ascii="Liberation Serif" w:hAnsi="Liberation Serif"/>
          <w:sz w:val="20"/>
        </w:rPr>
        <w:t>Execute, simulate, or materially realize a structured understanding.</w:t>
      </w:r>
    </w:p>
    <w:p>
      <w:pPr>
        <w:pStyle w:val="ListBullet"/>
        <w:spacing w:after="50" w:line="247" w:lineRule="auto"/>
      </w:pPr>
      <w:r>
        <w:rPr>
          <w:rFonts w:ascii="Liberation Serif" w:hAnsi="Liberation Serif"/>
          <w:sz w:val="20"/>
        </w:rPr>
        <w:t>Share the understanding across different Logients and substrates.</w:t>
      </w:r>
    </w:p>
    <w:p>
      <w:pPr>
        <w:pStyle w:val="ListBullet"/>
        <w:spacing w:after="50" w:line="247" w:lineRule="auto"/>
      </w:pPr>
      <w:r>
        <w:rPr>
          <w:rFonts w:ascii="Liberation Serif" w:hAnsi="Liberation Serif"/>
          <w:sz w:val="20"/>
        </w:rPr>
        <w:t>Preserve disagreements, revisions, and lineage without deleting history.</w:t>
      </w:r>
    </w:p>
    <w:p>
      <w:pPr>
        <w:pStyle w:val="ListBullet"/>
        <w:spacing w:after="50" w:line="247" w:lineRule="auto"/>
      </w:pPr>
      <w:r>
        <w:rPr>
          <w:rFonts w:ascii="Liberation Serif" w:hAnsi="Liberation Serif"/>
          <w:sz w:val="20"/>
        </w:rPr>
        <w:t>Reconstruct meaning and test whether the reconstruction retains the intended information.</w:t>
      </w:r>
    </w:p>
    <w:tbl>
      <w:tblPr>
        <w:tblW w:type="auto" w:w="0"/>
        <w:jc w:val="center"/>
        <w:tblLook w:firstColumn="1" w:firstRow="1" w:lastColumn="0" w:lastRow="0" w:noHBand="0" w:noVBand="1" w:val="04A0"/>
      </w:tblPr>
      <w:tblGrid>
        <w:gridCol w:w="10166"/>
      </w:tblGrid>
      <w:tr>
        <w:tc>
          <w:tcPr>
            <w:tcW w:type="dxa" w:w="10166"/>
            <w:shd w:fill="F1F4F6"/>
            <w:tcMar>
              <w:top w:w="90" w:type="dxa"/>
              <w:start w:w="140" w:type="dxa"/>
              <w:bottom w:w="90" w:type="dxa"/>
              <w:end w:w="140" w:type="dxa"/>
            </w:tcMar>
          </w:tcPr>
          <w:p>
            <w:pPr>
              <w:spacing w:after="0"/>
              <w:jc w:val="center"/>
            </w:pPr>
            <w:r>
              <w:rPr>
                <w:rFonts w:ascii="Liberation Mono" w:hAnsi="Liberation Mono"/>
                <w:b/>
                <w:color w:val="253441"/>
                <w:sz w:val="19"/>
              </w:rPr>
              <w:t>Reality -&gt; formation -&gt; registered identity -&gt; situated understanding -&gt; action -&gt; measured consequence -&gt; revised understanding</w:t>
            </w:r>
          </w:p>
        </w:tc>
      </w:tr>
    </w:tbl>
    <w:p>
      <w:pPr>
        <w:spacing w:after="20"/>
      </w:pPr>
    </w:p>
    <w:p>
      <w:pPr>
        <w:keepNext w:val="0"/>
        <w:spacing w:after="110"/>
      </w:pPr>
      <w:r>
        <w:rPr>
          <w:rFonts w:ascii="Liberation Serif" w:hAnsi="Liberation Serif"/>
          <w:sz w:val="20"/>
        </w:rPr>
        <w:t>The long-range objective is a server-accessible, collaboratively defined knowledge fabric whose entries are not merely encyclopedia articles. Each entry can contain executable models, evidence, counterevidence, generative rules, sensor-grounded instances, local attractor mappings, tests, failures, and the full history of revision.</w:t>
      </w:r>
    </w:p>
    <w:p>
      <w:pPr>
        <w:spacing w:after="60"/>
        <w:jc w:val="center"/>
      </w:pPr>
      <w:r>
        <w:drawing>
          <wp:inline xmlns:a="http://schemas.openxmlformats.org/drawingml/2006/main" xmlns:pic="http://schemas.openxmlformats.org/drawingml/2006/picture">
            <wp:extent cx="6217920" cy="3627120"/>
            <wp:docPr id="2" name="Picture 2"/>
            <wp:cNvGraphicFramePr>
              <a:graphicFrameLocks noChangeAspect="1"/>
            </wp:cNvGraphicFramePr>
            <a:graphic>
              <a:graphicData uri="http://schemas.openxmlformats.org/drawingml/2006/picture">
                <pic:pic>
                  <pic:nvPicPr>
                    <pic:cNvPr id="0" name="system_stack.png"/>
                    <pic:cNvPicPr/>
                  </pic:nvPicPr>
                  <pic:blipFill>
                    <a:blip r:embed="rId12"/>
                    <a:stretch>
                      <a:fillRect/>
                    </a:stretch>
                  </pic:blipFill>
                  <pic:spPr>
                    <a:xfrm>
                      <a:off x="0" y="0"/>
                      <a:ext cx="6217920" cy="3627120"/>
                    </a:xfrm>
                    <a:prstGeom prst="rect"/>
                  </pic:spPr>
                </pic:pic>
              </a:graphicData>
            </a:graphic>
          </wp:inline>
        </w:drawing>
      </w:r>
    </w:p>
    <w:p>
      <w:pPr>
        <w:spacing w:after="140"/>
        <w:jc w:val="center"/>
      </w:pPr>
      <w:r>
        <w:rPr>
          <w:rFonts w:ascii="Liberation Sans" w:hAnsi="Liberation Sans"/>
          <w:i/>
          <w:color w:val="4B5862"/>
          <w:sz w:val="17"/>
        </w:rPr>
        <w:t>Figure 1. The envelope sits between perception/formation systems and both shared and individual understanding.</w:t>
      </w:r>
    </w:p>
    <w:p>
      <w:pPr>
        <w:pStyle w:val="Heading1"/>
      </w:pPr>
      <w:r>
        <w:t>2. Scope, Claims, and Non-Claims</w:t>
      </w:r>
    </w:p>
    <w:p>
      <w:pPr>
        <w:pStyle w:val="Heading2"/>
      </w:pPr>
      <w:r>
        <w:t>2.1 What this paper specifies</w:t>
      </w:r>
    </w:p>
    <w:p>
      <w:pPr>
        <w:pStyle w:val="ListBullet"/>
        <w:spacing w:after="50" w:line="247" w:lineRule="auto"/>
      </w:pPr>
      <w:r>
        <w:rPr>
          <w:rFonts w:ascii="Liberation Serif" w:hAnsi="Liberation Serif"/>
          <w:sz w:val="20"/>
        </w:rPr>
        <w:t>A formal identity for the common read/write object.</w:t>
      </w:r>
    </w:p>
    <w:p>
      <w:pPr>
        <w:pStyle w:val="ListBullet"/>
        <w:spacing w:after="50" w:line="247" w:lineRule="auto"/>
      </w:pPr>
      <w:r>
        <w:rPr>
          <w:rFonts w:ascii="Liberation Serif" w:hAnsi="Liberation Serif"/>
          <w:sz w:val="20"/>
        </w:rPr>
        <w:t>A layered data model and lifecycle.</w:t>
      </w:r>
    </w:p>
    <w:p>
      <w:pPr>
        <w:pStyle w:val="ListBullet"/>
        <w:spacing w:after="50" w:line="247" w:lineRule="auto"/>
      </w:pPr>
      <w:r>
        <w:rPr>
          <w:rFonts w:ascii="Liberation Serif" w:hAnsi="Liberation Serif"/>
          <w:sz w:val="20"/>
        </w:rPr>
        <w:t>A federated server architecture for shared concepts and executable knowledge.</w:t>
      </w:r>
    </w:p>
    <w:p>
      <w:pPr>
        <w:pStyle w:val="ListBullet"/>
        <w:spacing w:after="50" w:line="247" w:lineRule="auto"/>
      </w:pPr>
      <w:r>
        <w:rPr>
          <w:rFonts w:ascii="Liberation Serif" w:hAnsi="Liberation Serif"/>
          <w:sz w:val="20"/>
        </w:rPr>
        <w:t>An integration boundary for PERCEPT, Construction A+/Honeybee, Natural Math, SymLan, Cognitive Basin, and future CNTM adapters.</w:t>
      </w:r>
    </w:p>
    <w:p>
      <w:pPr>
        <w:pStyle w:val="ListBullet"/>
        <w:spacing w:after="50" w:line="247" w:lineRule="auto"/>
      </w:pPr>
      <w:r>
        <w:rPr>
          <w:rFonts w:ascii="Liberation Serif" w:hAnsi="Liberation Serif"/>
          <w:sz w:val="20"/>
        </w:rPr>
        <w:t>A first build sequence with measurable acceptance criteria.</w:t>
      </w:r>
    </w:p>
    <w:p>
      <w:pPr>
        <w:pStyle w:val="Heading2"/>
      </w:pPr>
      <w:r>
        <w:t>2.2 What this paper does not claim</w:t>
      </w:r>
    </w:p>
    <w:p>
      <w:pPr>
        <w:pStyle w:val="ListBullet"/>
        <w:spacing w:after="50" w:line="247" w:lineRule="auto"/>
      </w:pPr>
      <w:r>
        <w:rPr>
          <w:rFonts w:ascii="Liberation Serif" w:hAnsi="Liberation Serif"/>
          <w:sz w:val="20"/>
        </w:rPr>
        <w:t>That existing procedural glyphs, fractal encodings, or attractor codes already form a universal machine language.</w:t>
      </w:r>
    </w:p>
    <w:p>
      <w:pPr>
        <w:pStyle w:val="ListBullet"/>
        <w:spacing w:after="50" w:line="247" w:lineRule="auto"/>
      </w:pPr>
      <w:r>
        <w:rPr>
          <w:rFonts w:ascii="Liberation Serif" w:hAnsi="Liberation Serif"/>
          <w:sz w:val="20"/>
        </w:rPr>
        <w:t>That the InfinitySight mock performs real perception; it currently demonstrates interfaces and control flow using simulated data.</w:t>
      </w:r>
    </w:p>
    <w:p>
      <w:pPr>
        <w:pStyle w:val="ListBullet"/>
        <w:spacing w:after="50" w:line="247" w:lineRule="auto"/>
      </w:pPr>
      <w:r>
        <w:rPr>
          <w:rFonts w:ascii="Liberation Serif" w:hAnsi="Liberation Serif"/>
          <w:sz w:val="20"/>
        </w:rPr>
        <w:t>That Construction A+ codes transfer universally across substrates or instances. Existing results indicate the opposite and require per-instance calibration.</w:t>
      </w:r>
    </w:p>
    <w:p>
      <w:pPr>
        <w:pStyle w:val="ListBullet"/>
        <w:spacing w:after="50" w:line="247" w:lineRule="auto"/>
      </w:pPr>
      <w:r>
        <w:rPr>
          <w:rFonts w:ascii="Liberation Serif" w:hAnsi="Liberation Serif"/>
          <w:sz w:val="20"/>
        </w:rPr>
        <w:t>That physical CNTM memory has been demonstrated.</w:t>
      </w:r>
    </w:p>
    <w:p>
      <w:pPr>
        <w:pStyle w:val="ListBullet"/>
        <w:spacing w:after="50" w:line="247" w:lineRule="auto"/>
      </w:pPr>
      <w:r>
        <w:rPr>
          <w:rFonts w:ascii="Liberation Serif" w:hAnsi="Liberation Serif"/>
          <w:sz w:val="20"/>
        </w:rPr>
        <w:t>That the envelope proves consciousness, subjective experience, or semantic identity by itself.</w:t>
      </w:r>
    </w:p>
    <w:p>
      <w:pPr>
        <w:pStyle w:val="ListBullet"/>
        <w:spacing w:after="50" w:line="247" w:lineRule="auto"/>
      </w:pPr>
      <w:r>
        <w:rPr>
          <w:rFonts w:ascii="Liberation Serif" w:hAnsi="Liberation Serif"/>
          <w:sz w:val="20"/>
        </w:rPr>
        <w:t>That raw sensory evidence can immediately be discarded in favor of fractal-only representations.</w:t>
      </w:r>
    </w:p>
    <w:p>
      <w:pPr>
        <w:keepNext w:val="0"/>
        <w:spacing w:after="110"/>
      </w:pPr>
      <w:r>
        <w:rPr>
          <w:rFonts w:ascii="Liberation Serif" w:hAnsi="Liberation Serif"/>
          <w:sz w:val="20"/>
        </w:rPr>
        <w:t>The architecture is ambitious by design, but its claims must advance through the same completion-integrity discipline required elsewhere in the Cognitive Basin platform: artifacts must exist, reopen, validate, test, and support the exact language used to describe them.</w:t>
      </w:r>
    </w:p>
    <w:p>
      <w:pPr>
        <w:pStyle w:val="Heading1"/>
      </w:pPr>
      <w:r>
        <w:t>3. Foundational Synthesis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DCE9F0"/>
            <w:tcMar>
              <w:top w:w="90" w:type="dxa"/>
              <w:start w:w="100" w:type="dxa"/>
              <w:bottom w:w="90" w:type="dxa"/>
              <w:end w:w="100" w:type="dxa"/>
            </w:tcMar>
          </w:tcPr>
          <w:p>
            <w:r>
              <w:rPr>
                <w:rFonts w:ascii="Liberation Sans" w:hAnsi="Liberation Sans"/>
                <w:b/>
                <w:sz w:val="17"/>
              </w:rPr>
              <w:t>Program</w:t>
            </w:r>
          </w:p>
        </w:tc>
        <w:tc>
          <w:tcPr>
            <w:tcW w:type="dxa" w:w="3528"/>
            <w:shd w:fill="DCE9F0"/>
            <w:tcMar>
              <w:top w:w="90" w:type="dxa"/>
              <w:start w:w="100" w:type="dxa"/>
              <w:bottom w:w="90" w:type="dxa"/>
              <w:end w:w="100" w:type="dxa"/>
            </w:tcMar>
          </w:tcPr>
          <w:p>
            <w:r>
              <w:rPr>
                <w:rFonts w:ascii="Liberation Sans" w:hAnsi="Liberation Sans"/>
                <w:b/>
                <w:sz w:val="17"/>
              </w:rPr>
              <w:t>Primary contribution</w:t>
            </w:r>
          </w:p>
        </w:tc>
        <w:tc>
          <w:tcPr>
            <w:tcW w:type="dxa" w:w="4752"/>
            <w:shd w:fill="DCE9F0"/>
            <w:tcMar>
              <w:top w:w="90" w:type="dxa"/>
              <w:start w:w="100" w:type="dxa"/>
              <w:bottom w:w="90" w:type="dxa"/>
              <w:end w:w="100" w:type="dxa"/>
            </w:tcMar>
          </w:tcPr>
          <w:p>
            <w:r>
              <w:rPr>
                <w:rFonts w:ascii="Liberation Sans" w:hAnsi="Liberation Sans"/>
                <w:b/>
                <w:sz w:val="17"/>
              </w:rPr>
              <w:t>What the envelope takes from it</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SymLan</w:t>
            </w:r>
          </w:p>
        </w:tc>
        <w:tc>
          <w:tcPr>
            <w:tcW w:type="dxa" w:w="3528"/>
            <w:tcMar>
              <w:top w:w="90" w:type="dxa"/>
              <w:start w:w="100" w:type="dxa"/>
              <w:bottom w:w="90" w:type="dxa"/>
              <w:end w:w="100" w:type="dxa"/>
            </w:tcMar>
            <w:vAlign w:val="top"/>
          </w:tcPr>
          <w:p>
            <w:pPr>
              <w:spacing w:after="20"/>
            </w:pPr>
            <w:r>
              <w:rPr>
                <w:rFonts w:ascii="Liberation Serif" w:hAnsi="Liberation Serif"/>
                <w:sz w:val="17"/>
              </w:rPr>
              <w:t>Spatial, temporal, relational, executable expressions with ternary branching and resolved/pending vocabulary states.</w:t>
            </w:r>
          </w:p>
        </w:tc>
        <w:tc>
          <w:tcPr>
            <w:tcW w:type="dxa" w:w="4752"/>
            <w:tcMar>
              <w:top w:w="90" w:type="dxa"/>
              <w:start w:w="100" w:type="dxa"/>
              <w:bottom w:w="90" w:type="dxa"/>
              <w:end w:w="100" w:type="dxa"/>
            </w:tcMar>
            <w:vAlign w:val="top"/>
          </w:tcPr>
          <w:p>
            <w:pPr>
              <w:spacing w:after="20"/>
            </w:pPr>
            <w:r>
              <w:rPr>
                <w:rFonts w:ascii="Liberation Serif" w:hAnsi="Liberation Serif"/>
                <w:sz w:val="17"/>
              </w:rPr>
              <w:t>The active program that describes relationships, transformations, constraints, and executable affordances.</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SymVoc / The Tower</w:t>
            </w:r>
          </w:p>
        </w:tc>
        <w:tc>
          <w:tcPr>
            <w:tcW w:type="dxa" w:w="3528"/>
            <w:tcMar>
              <w:top w:w="90" w:type="dxa"/>
              <w:start w:w="100" w:type="dxa"/>
              <w:bottom w:w="90" w:type="dxa"/>
              <w:end w:w="100" w:type="dxa"/>
            </w:tcMar>
            <w:vAlign w:val="top"/>
          </w:tcPr>
          <w:p>
            <w:pPr>
              <w:spacing w:after="20"/>
            </w:pPr>
            <w:r>
              <w:rPr>
                <w:rFonts w:ascii="Liberation Serif" w:hAnsi="Liberation Serif"/>
                <w:sz w:val="17"/>
              </w:rPr>
              <w:t>Permanent concept identifiers, multilingual surfaces, definitions, relations, provenance, versioning.</w:t>
            </w:r>
          </w:p>
        </w:tc>
        <w:tc>
          <w:tcPr>
            <w:tcW w:type="dxa" w:w="4752"/>
            <w:tcMar>
              <w:top w:w="90" w:type="dxa"/>
              <w:start w:w="100" w:type="dxa"/>
              <w:bottom w:w="90" w:type="dxa"/>
              <w:end w:w="100" w:type="dxa"/>
            </w:tcMar>
            <w:vAlign w:val="top"/>
          </w:tcPr>
          <w:p>
            <w:pPr>
              <w:spacing w:after="20"/>
            </w:pPr>
            <w:r>
              <w:rPr>
                <w:rFonts w:ascii="Liberation Serif" w:hAnsi="Liberation Serif"/>
                <w:sz w:val="17"/>
              </w:rPr>
              <w:t>The stable global identity and collaborative registry layer.</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Construction A+ / Honeybee</w:t>
            </w:r>
          </w:p>
        </w:tc>
        <w:tc>
          <w:tcPr>
            <w:tcW w:type="dxa" w:w="3528"/>
            <w:tcMar>
              <w:top w:w="90" w:type="dxa"/>
              <w:start w:w="100" w:type="dxa"/>
              <w:bottom w:w="90" w:type="dxa"/>
              <w:end w:w="100" w:type="dxa"/>
            </w:tcMar>
            <w:vAlign w:val="top"/>
          </w:tcPr>
          <w:p>
            <w:pPr>
              <w:spacing w:after="20"/>
            </w:pPr>
            <w:r>
              <w:rPr>
                <w:rFonts w:ascii="Liberation Serif" w:hAnsi="Liberation Serif"/>
                <w:sz w:val="17"/>
              </w:rPr>
              <w:t>Attractor discovery, replay/perturbation validation, substrate-native symbolic readout, entropy and collision accounting.</w:t>
            </w:r>
          </w:p>
        </w:tc>
        <w:tc>
          <w:tcPr>
            <w:tcW w:type="dxa" w:w="4752"/>
            <w:tcMar>
              <w:top w:w="90" w:type="dxa"/>
              <w:start w:w="100" w:type="dxa"/>
              <w:bottom w:w="90" w:type="dxa"/>
              <w:end w:w="100" w:type="dxa"/>
            </w:tcMar>
            <w:vAlign w:val="top"/>
          </w:tcPr>
          <w:p>
            <w:pPr>
              <w:spacing w:after="20"/>
            </w:pPr>
            <w:r>
              <w:rPr>
                <w:rFonts w:ascii="Liberation Serif" w:hAnsi="Liberation Serif"/>
                <w:sz w:val="17"/>
              </w:rPr>
              <w:t>Local encoding bundles, calibration evidence, decoders, drift controls, and reconstruction tests.</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Natural Math</w:t>
            </w:r>
          </w:p>
        </w:tc>
        <w:tc>
          <w:tcPr>
            <w:tcW w:type="dxa" w:w="3528"/>
            <w:tcMar>
              <w:top w:w="90" w:type="dxa"/>
              <w:start w:w="100" w:type="dxa"/>
              <w:bottom w:w="90" w:type="dxa"/>
              <w:end w:w="100" w:type="dxa"/>
            </w:tcMar>
            <w:vAlign w:val="top"/>
          </w:tcPr>
          <w:p>
            <w:pPr>
              <w:spacing w:after="20"/>
            </w:pPr>
            <w:r>
              <w:rPr>
                <w:rFonts w:ascii="Liberation Serif" w:hAnsi="Liberation Serif"/>
                <w:sz w:val="17"/>
              </w:rPr>
              <w:t>Loop, Local Agency, Dynamic Limits, exact local transitions, formation and persistent growth.</w:t>
            </w:r>
          </w:p>
        </w:tc>
        <w:tc>
          <w:tcPr>
            <w:tcW w:type="dxa" w:w="4752"/>
            <w:tcMar>
              <w:top w:w="90" w:type="dxa"/>
              <w:start w:w="100" w:type="dxa"/>
              <w:bottom w:w="90" w:type="dxa"/>
              <w:end w:w="100" w:type="dxa"/>
            </w:tcMar>
            <w:vAlign w:val="top"/>
          </w:tcPr>
          <w:p>
            <w:pPr>
              <w:spacing w:after="20"/>
            </w:pPr>
            <w:r>
              <w:rPr>
                <w:rFonts w:ascii="Liberation Serif" w:hAnsi="Liberation Serif"/>
                <w:sz w:val="17"/>
              </w:rPr>
              <w:t>The generative expression of how a structure forms, changes, senses, branches, holds, or terminates.</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PERCEPT / InfinitySight</w:t>
            </w:r>
          </w:p>
        </w:tc>
        <w:tc>
          <w:tcPr>
            <w:tcW w:type="dxa" w:w="3528"/>
            <w:tcMar>
              <w:top w:w="90" w:type="dxa"/>
              <w:start w:w="100" w:type="dxa"/>
              <w:bottom w:w="90" w:type="dxa"/>
              <w:end w:w="100" w:type="dxa"/>
            </w:tcMar>
            <w:vAlign w:val="top"/>
          </w:tcPr>
          <w:p>
            <w:pPr>
              <w:spacing w:after="20"/>
            </w:pPr>
            <w:r>
              <w:rPr>
                <w:rFonts w:ascii="Liberation Serif" w:hAnsi="Liberation Serif"/>
                <w:sz w:val="17"/>
              </w:rPr>
              <w:t>Multiscale specialist sensing, token streams, depth/motion/thermal fusion, ternary coherence gate.</w:t>
            </w:r>
          </w:p>
        </w:tc>
        <w:tc>
          <w:tcPr>
            <w:tcW w:type="dxa" w:w="4752"/>
            <w:tcMar>
              <w:top w:w="90" w:type="dxa"/>
              <w:start w:w="100" w:type="dxa"/>
              <w:bottom w:w="90" w:type="dxa"/>
              <w:end w:w="100" w:type="dxa"/>
            </w:tcMar>
            <w:vAlign w:val="top"/>
          </w:tcPr>
          <w:p>
            <w:pPr>
              <w:spacing w:after="20"/>
            </w:pPr>
            <w:r>
              <w:rPr>
                <w:rFonts w:ascii="Liberation Serif" w:hAnsi="Liberation Serif"/>
                <w:sz w:val="17"/>
              </w:rPr>
              <w:t>The read path that transforms streams into bounded, provenance-preserving percept units.</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Cognitive Basin</w:t>
            </w:r>
          </w:p>
        </w:tc>
        <w:tc>
          <w:tcPr>
            <w:tcW w:type="dxa" w:w="3528"/>
            <w:tcMar>
              <w:top w:w="90" w:type="dxa"/>
              <w:start w:w="100" w:type="dxa"/>
              <w:bottom w:w="90" w:type="dxa"/>
              <w:end w:w="100" w:type="dxa"/>
            </w:tcMar>
            <w:vAlign w:val="top"/>
          </w:tcPr>
          <w:p>
            <w:pPr>
              <w:spacing w:after="20"/>
            </w:pPr>
            <w:r>
              <w:rPr>
                <w:rFonts w:ascii="Liberation Serif" w:hAnsi="Liberation Serif"/>
                <w:sz w:val="17"/>
              </w:rPr>
              <w:t>Epistemic and action states, roles, associations, attractors, memory, judgment, replay, and continuity.</w:t>
            </w:r>
          </w:p>
        </w:tc>
        <w:tc>
          <w:tcPr>
            <w:tcW w:type="dxa" w:w="4752"/>
            <w:tcMar>
              <w:top w:w="90" w:type="dxa"/>
              <w:start w:w="100" w:type="dxa"/>
              <w:bottom w:w="90" w:type="dxa"/>
              <w:end w:w="100" w:type="dxa"/>
            </w:tcMar>
            <w:vAlign w:val="top"/>
          </w:tcPr>
          <w:p>
            <w:pPr>
              <w:spacing w:after="20"/>
            </w:pPr>
            <w:r>
              <w:rPr>
                <w:rFonts w:ascii="Liberation Serif" w:hAnsi="Liberation Serif"/>
                <w:sz w:val="17"/>
              </w:rPr>
              <w:t>Situated interpretation and the individual history through which a shared concept becomes understanding.</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CNTM</w:t>
            </w:r>
          </w:p>
        </w:tc>
        <w:tc>
          <w:tcPr>
            <w:tcW w:type="dxa" w:w="3528"/>
            <w:tcMar>
              <w:top w:w="90" w:type="dxa"/>
              <w:start w:w="100" w:type="dxa"/>
              <w:bottom w:w="90" w:type="dxa"/>
              <w:end w:w="100" w:type="dxa"/>
            </w:tcMar>
            <w:vAlign w:val="top"/>
          </w:tcPr>
          <w:p>
            <w:pPr>
              <w:spacing w:after="20"/>
            </w:pPr>
            <w:r>
              <w:rPr>
                <w:rFonts w:ascii="Liberation Serif" w:hAnsi="Liberation Serif"/>
                <w:sz w:val="17"/>
              </w:rPr>
              <w:t>Future physical morphology-memory, write/read/compare loops, permanence and regeneration goals.</w:t>
            </w:r>
          </w:p>
        </w:tc>
        <w:tc>
          <w:tcPr>
            <w:tcW w:type="dxa" w:w="4752"/>
            <w:tcMar>
              <w:top w:w="90" w:type="dxa"/>
              <w:start w:w="100" w:type="dxa"/>
              <w:bottom w:w="90" w:type="dxa"/>
              <w:end w:w="100" w:type="dxa"/>
            </w:tcMar>
            <w:vAlign w:val="top"/>
          </w:tcPr>
          <w:p>
            <w:pPr>
              <w:spacing w:after="20"/>
            </w:pPr>
            <w:r>
              <w:rPr>
                <w:rFonts w:ascii="Liberation Serif" w:hAnsi="Liberation Serif"/>
                <w:sz w:val="17"/>
              </w:rPr>
              <w:t>A future persistence and physical realization adapter for selected envelopes.</w:t>
            </w:r>
          </w:p>
        </w:tc>
      </w:tr>
    </w:tbl>
    <w:p>
      <w:pPr>
        <w:spacing w:after="20"/>
      </w:pPr>
    </w:p>
    <w:p>
      <w:pPr>
        <w:pStyle w:val="Heading2"/>
      </w:pPr>
      <w:r>
        <w:t>3.1 The crucial distinction: global identity versus local encoding</w:t>
      </w:r>
    </w:p>
    <w:p>
      <w:pPr>
        <w:keepNext w:val="0"/>
        <w:spacing w:after="110"/>
      </w:pPr>
      <w:r>
        <w:rPr>
          <w:rFonts w:ascii="Liberation Serif" w:hAnsi="Liberation Serif"/>
          <w:sz w:val="20"/>
        </w:rPr>
        <w:t>Construction A+ results show that an emergent code may be valid within a substrate instance while failing to transfer to another instance. That finding is not a defect to conceal. It determines the registry architecture.</w:t>
      </w:r>
    </w:p>
    <w:tbl>
      <w:tblPr>
        <w:tblW w:type="auto" w:w="0"/>
        <w:jc w:val="center"/>
        <w:tblLook w:firstColumn="1" w:firstRow="1" w:lastColumn="0" w:lastRow="0" w:noHBand="0" w:noVBand="1" w:val="04A0"/>
      </w:tblPr>
      <w:tblGrid>
        <w:gridCol w:w="10166"/>
      </w:tblGrid>
      <w:tr>
        <w:tc>
          <w:tcPr>
            <w:tcW w:type="dxa" w:w="10166"/>
            <w:shd w:fill="F1F4F6"/>
            <w:tcMar>
              <w:top w:w="90" w:type="dxa"/>
              <w:start w:w="140" w:type="dxa"/>
              <w:bottom w:w="90" w:type="dxa"/>
              <w:end w:w="140" w:type="dxa"/>
            </w:tcMar>
          </w:tcPr>
          <w:p>
            <w:pPr>
              <w:spacing w:after="0"/>
              <w:jc w:val="center"/>
            </w:pPr>
            <w:r>
              <w:rPr>
                <w:rFonts w:ascii="Liberation Mono" w:hAnsi="Liberation Mono"/>
                <w:b/>
                <w:color w:val="253441"/>
                <w:sz w:val="19"/>
              </w:rPr>
              <w:t>Global concept ID != local attractor code != rendered glyph</w:t>
            </w:r>
          </w:p>
        </w:tc>
      </w:tr>
    </w:tbl>
    <w:p>
      <w:pPr>
        <w:spacing w:after="20"/>
      </w:pPr>
    </w:p>
    <w:tbl>
      <w:tblPr>
        <w:tblW w:type="auto" w:w="0"/>
        <w:jc w:val="center"/>
        <w:tblLook w:firstColumn="1" w:firstRow="1" w:lastColumn="0" w:lastRow="0" w:noHBand="0" w:noVBand="1" w:val="04A0"/>
      </w:tblPr>
      <w:tblGrid>
        <w:gridCol w:w="10166"/>
      </w:tblGrid>
      <w:tr>
        <w:tc>
          <w:tcPr>
            <w:tcW w:type="dxa" w:w="10166"/>
            <w:shd w:fill="F1F4F6"/>
            <w:tcMar>
              <w:top w:w="90" w:type="dxa"/>
              <w:start w:w="140" w:type="dxa"/>
              <w:bottom w:w="90" w:type="dxa"/>
              <w:end w:w="140" w:type="dxa"/>
            </w:tcMar>
          </w:tcPr>
          <w:p>
            <w:pPr>
              <w:spacing w:after="0"/>
              <w:jc w:val="center"/>
            </w:pPr>
            <w:r>
              <w:rPr>
                <w:rFonts w:ascii="Liberation Mono" w:hAnsi="Liberation Mono"/>
                <w:b/>
                <w:color w:val="253441"/>
                <w:sz w:val="19"/>
              </w:rPr>
              <w:t>Local attractor code &lt;-&gt; verified decoder / translation witness &lt;-&gt; global concept ID</w:t>
            </w:r>
          </w:p>
        </w:tc>
      </w:tr>
    </w:tbl>
    <w:p>
      <w:pPr>
        <w:spacing w:after="20"/>
      </w:pPr>
    </w:p>
    <w:p>
      <w:pPr>
        <w:keepNext w:val="0"/>
        <w:spacing w:after="110"/>
      </w:pPr>
      <w:r>
        <w:rPr>
          <w:rFonts w:ascii="Liberation Serif" w:hAnsi="Liberation Serif"/>
          <w:sz w:val="20"/>
        </w:rPr>
        <w:t>A concept can therefore retain one stable registry identity while accumulating many calibrated encodings: one for a camera, one for a material substrate, one for a model family, one for a particular Logient, and one for a human-visible projection. Each mapping carries scope, confidence, drift information, and held-out reconstruction performance.</w:t>
      </w:r>
    </w:p>
    <w:p>
      <w:pPr>
        <w:pStyle w:val="Heading1"/>
      </w:pPr>
      <w:r>
        <w:t>4. Core Design Principles</w:t>
      </w:r>
    </w:p>
    <w:p>
      <w:pPr>
        <w:spacing w:after="80"/>
      </w:pPr>
      <w:r>
        <w:rPr>
          <w:rFonts w:ascii="Liberation Sans" w:hAnsi="Liberation Sans"/>
          <w:b/>
          <w:color w:val="1C5870"/>
          <w:sz w:val="20"/>
        </w:rPr>
        <w:t xml:space="preserve">Envelope over glyph: </w:t>
      </w:r>
      <w:r>
        <w:rPr>
          <w:rFonts w:ascii="Liberation Serif" w:hAnsi="Liberation Serif"/>
          <w:sz w:val="20"/>
        </w:rPr>
        <w:t>No single rendering is the semantic invariant. Glyphs, hashes, images, prose, and embeddings are views of a deeper object.</w:t>
      </w:r>
    </w:p>
    <w:p>
      <w:pPr>
        <w:spacing w:after="80"/>
      </w:pPr>
      <w:r>
        <w:rPr>
          <w:rFonts w:ascii="Liberation Sans" w:hAnsi="Liberation Sans"/>
          <w:b/>
          <w:color w:val="1C5870"/>
          <w:sz w:val="20"/>
        </w:rPr>
        <w:t xml:space="preserve">Generative semantics: </w:t>
      </w:r>
      <w:r>
        <w:rPr>
          <w:rFonts w:ascii="Liberation Serif" w:hAnsi="Liberation Serif"/>
          <w:sz w:val="20"/>
        </w:rPr>
        <w:t>The representation should contain enough structure to regenerate, simulate, or test the concept, not merely label it.</w:t>
      </w:r>
    </w:p>
    <w:p>
      <w:pPr>
        <w:spacing w:after="80"/>
      </w:pPr>
      <w:r>
        <w:rPr>
          <w:rFonts w:ascii="Liberation Sans" w:hAnsi="Liberation Sans"/>
          <w:b/>
          <w:color w:val="1C5870"/>
          <w:sz w:val="20"/>
        </w:rPr>
        <w:t xml:space="preserve">Evidence travels with meaning: </w:t>
      </w:r>
      <w:r>
        <w:rPr>
          <w:rFonts w:ascii="Liberation Serif" w:hAnsi="Liberation Serif"/>
          <w:sz w:val="20"/>
        </w:rPr>
        <w:t>Provenance, counterevidence, uncertainty, and transformation history are part of the object, not external documentation.</w:t>
      </w:r>
    </w:p>
    <w:p>
      <w:pPr>
        <w:spacing w:after="80"/>
      </w:pPr>
      <w:r>
        <w:rPr>
          <w:rFonts w:ascii="Liberation Sans" w:hAnsi="Liberation Sans"/>
          <w:b/>
          <w:color w:val="1C5870"/>
          <w:sz w:val="20"/>
        </w:rPr>
        <w:t xml:space="preserve">Read/write symmetry: </w:t>
      </w:r>
      <w:r>
        <w:rPr>
          <w:rFonts w:ascii="Liberation Serif" w:hAnsi="Liberation Serif"/>
          <w:sz w:val="20"/>
        </w:rPr>
        <w:t>The same envelope family should support observation-to-understanding and intention-to-construction.</w:t>
      </w:r>
    </w:p>
    <w:p>
      <w:pPr>
        <w:spacing w:after="80"/>
      </w:pPr>
      <w:r>
        <w:rPr>
          <w:rFonts w:ascii="Liberation Sans" w:hAnsi="Liberation Sans"/>
          <w:b/>
          <w:color w:val="1C5870"/>
          <w:sz w:val="20"/>
        </w:rPr>
        <w:t xml:space="preserve">Ternary non-forcing: </w:t>
      </w:r>
      <w:r>
        <w:rPr>
          <w:rFonts w:ascii="Liberation Serif" w:hAnsi="Liberation Serif"/>
          <w:sz w:val="20"/>
        </w:rPr>
        <w:t>Unresolved content remains HOLD / UNRESOLVED rather than being rounded into acceptance or rejection.</w:t>
      </w:r>
    </w:p>
    <w:p>
      <w:pPr>
        <w:spacing w:after="80"/>
      </w:pPr>
      <w:r>
        <w:rPr>
          <w:rFonts w:ascii="Liberation Sans" w:hAnsi="Liberation Sans"/>
          <w:b/>
          <w:color w:val="1C5870"/>
          <w:sz w:val="20"/>
        </w:rPr>
        <w:t xml:space="preserve">Reconstruction over appearance: </w:t>
      </w:r>
      <w:r>
        <w:rPr>
          <w:rFonts w:ascii="Liberation Serif" w:hAnsi="Liberation Serif"/>
          <w:sz w:val="20"/>
        </w:rPr>
        <w:t>Validity is measured by held-out reconstruction and consequence tests, not visual elegance or cluster count.</w:t>
      </w:r>
    </w:p>
    <w:p>
      <w:pPr>
        <w:spacing w:after="80"/>
      </w:pPr>
      <w:r>
        <w:rPr>
          <w:rFonts w:ascii="Liberation Sans" w:hAnsi="Liberation Sans"/>
          <w:b/>
          <w:color w:val="1C5870"/>
          <w:sz w:val="20"/>
        </w:rPr>
        <w:t xml:space="preserve">Shared identity, individual understanding: </w:t>
      </w:r>
      <w:r>
        <w:rPr>
          <w:rFonts w:ascii="Liberation Serif" w:hAnsi="Liberation Serif"/>
          <w:sz w:val="20"/>
        </w:rPr>
        <w:t>The registry is collective; autobiographical association and local meaning remain in the individual Cognitive Basin.</w:t>
      </w:r>
    </w:p>
    <w:p>
      <w:pPr>
        <w:spacing w:after="80"/>
      </w:pPr>
      <w:r>
        <w:rPr>
          <w:rFonts w:ascii="Liberation Sans" w:hAnsi="Liberation Sans"/>
          <w:b/>
          <w:color w:val="1C5870"/>
          <w:sz w:val="20"/>
        </w:rPr>
        <w:t xml:space="preserve">Fractal-primary, evidence-preserving: </w:t>
      </w:r>
      <w:r>
        <w:rPr>
          <w:rFonts w:ascii="Liberation Serif" w:hAnsi="Liberation Serif"/>
          <w:sz w:val="20"/>
        </w:rPr>
        <w:t>Multiscale structural representation is the goal, but raw or minimally transformed evidence remains available until retirement is justified.</w:t>
      </w:r>
    </w:p>
    <w:p>
      <w:pPr>
        <w:spacing w:after="80"/>
      </w:pPr>
      <w:r>
        <w:rPr>
          <w:rFonts w:ascii="Liberation Sans" w:hAnsi="Liberation Sans"/>
          <w:b/>
          <w:color w:val="1C5870"/>
          <w:sz w:val="20"/>
        </w:rPr>
        <w:t xml:space="preserve">Federated and non-captive: </w:t>
      </w:r>
      <w:r>
        <w:rPr>
          <w:rFonts w:ascii="Liberation Serif" w:hAnsi="Liberation Serif"/>
          <w:sz w:val="20"/>
        </w:rPr>
        <w:t>No single vendor, model, or server should own the concept namespace or the only valid copy.</w:t>
      </w:r>
    </w:p>
    <w:p>
      <w:pPr>
        <w:spacing w:after="80"/>
      </w:pPr>
      <w:r>
        <w:rPr>
          <w:rFonts w:ascii="Liberation Sans" w:hAnsi="Liberation Sans"/>
          <w:b/>
          <w:color w:val="1C5870"/>
          <w:sz w:val="20"/>
        </w:rPr>
        <w:t xml:space="preserve">Append-only lineage: </w:t>
      </w:r>
      <w:r>
        <w:rPr>
          <w:rFonts w:ascii="Liberation Serif" w:hAnsi="Liberation Serif"/>
          <w:sz w:val="20"/>
        </w:rPr>
        <w:t>Corrections supersede and contextualize prior states; they do not silently erase the history of understanding.</w:t>
      </w:r>
    </w:p>
    <w:p>
      <w:pPr>
        <w:pStyle w:val="Heading1"/>
      </w:pPr>
      <w:r>
        <w:t>5. The Being Envelope Data Model</w:t>
      </w:r>
    </w:p>
    <w:p>
      <w:pPr>
        <w:spacing w:after="60"/>
        <w:jc w:val="center"/>
      </w:pPr>
      <w:r>
        <w:drawing>
          <wp:inline xmlns:a="http://schemas.openxmlformats.org/drawingml/2006/main" xmlns:pic="http://schemas.openxmlformats.org/drawingml/2006/picture">
            <wp:extent cx="6217920" cy="3799840"/>
            <wp:docPr id="3" name="Picture 3"/>
            <wp:cNvGraphicFramePr>
              <a:graphicFrameLocks noChangeAspect="1"/>
            </wp:cNvGraphicFramePr>
            <a:graphic>
              <a:graphicData uri="http://schemas.openxmlformats.org/drawingml/2006/picture">
                <pic:pic>
                  <pic:nvPicPr>
                    <pic:cNvPr id="0" name="envelope_anatomy.png"/>
                    <pic:cNvPicPr/>
                  </pic:nvPicPr>
                  <pic:blipFill>
                    <a:blip r:embed="rId13"/>
                    <a:stretch>
                      <a:fillRect/>
                    </a:stretch>
                  </pic:blipFill>
                  <pic:spPr>
                    <a:xfrm>
                      <a:off x="0" y="0"/>
                      <a:ext cx="6217920" cy="3799840"/>
                    </a:xfrm>
                    <a:prstGeom prst="rect"/>
                  </pic:spPr>
                </pic:pic>
              </a:graphicData>
            </a:graphic>
          </wp:inline>
        </w:drawing>
      </w:r>
    </w:p>
    <w:p>
      <w:pPr>
        <w:spacing w:after="140"/>
        <w:jc w:val="center"/>
      </w:pPr>
      <w:r>
        <w:rPr>
          <w:rFonts w:ascii="Liberation Sans" w:hAnsi="Liberation Sans"/>
          <w:i/>
          <w:color w:val="4B5862"/>
          <w:sz w:val="17"/>
        </w:rPr>
        <w:t>Figure 2. Required envelope domains. Each domain is independently versioned and may reference external content-addressed artifacts.</w:t>
      </w:r>
    </w:p>
    <w:p>
      <w:pPr>
        <w:keepNext w:val="0"/>
        <w:spacing w:after="110"/>
      </w:pPr>
      <w:r>
        <w:rPr>
          <w:rFonts w:ascii="Liberation Serif" w:hAnsi="Liberation Serif"/>
          <w:sz w:val="20"/>
        </w:rPr>
        <w:t>The envelope is a root manifest whose components may be embedded or content-addressed. It is designed to remain compact enough for routing while permitting arbitrarily deep external evidence and executable artifacts.</w:t>
      </w:r>
    </w:p>
    <w:p>
      <w:pPr>
        <w:pStyle w:val="Heading2"/>
      </w:pPr>
      <w:r>
        <w:t>5.1 Required domains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DCE9F0"/>
            <w:tcMar>
              <w:top w:w="90" w:type="dxa"/>
              <w:start w:w="100" w:type="dxa"/>
              <w:bottom w:w="90" w:type="dxa"/>
              <w:end w:w="100" w:type="dxa"/>
            </w:tcMar>
          </w:tcPr>
          <w:p>
            <w:r>
              <w:rPr>
                <w:rFonts w:ascii="Liberation Sans" w:hAnsi="Liberation Sans"/>
                <w:b/>
                <w:sz w:val="17"/>
              </w:rPr>
              <w:t>Domain</w:t>
            </w:r>
          </w:p>
        </w:tc>
        <w:tc>
          <w:tcPr>
            <w:tcW w:type="dxa" w:w="5112"/>
            <w:shd w:fill="DCE9F0"/>
            <w:tcMar>
              <w:top w:w="90" w:type="dxa"/>
              <w:start w:w="100" w:type="dxa"/>
              <w:bottom w:w="90" w:type="dxa"/>
              <w:end w:w="100" w:type="dxa"/>
            </w:tcMar>
          </w:tcPr>
          <w:p>
            <w:r>
              <w:rPr>
                <w:rFonts w:ascii="Liberation Sans" w:hAnsi="Liberation Sans"/>
                <w:b/>
                <w:sz w:val="17"/>
              </w:rPr>
              <w:t>Required contents</w:t>
            </w:r>
          </w:p>
        </w:tc>
        <w:tc>
          <w:tcPr>
            <w:tcW w:type="dxa" w:w="3168"/>
            <w:shd w:fill="DCE9F0"/>
            <w:tcMar>
              <w:top w:w="90" w:type="dxa"/>
              <w:start w:w="100" w:type="dxa"/>
              <w:bottom w:w="90" w:type="dxa"/>
              <w:end w:w="100" w:type="dxa"/>
            </w:tcMar>
          </w:tcPr>
          <w:p>
            <w:r>
              <w:rPr>
                <w:rFonts w:ascii="Liberation Sans" w:hAnsi="Liberation Sans"/>
                <w:b/>
                <w:sz w:val="17"/>
              </w:rPr>
              <w:t>Primary owners</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Identity</w:t>
            </w:r>
          </w:p>
        </w:tc>
        <w:tc>
          <w:tcPr>
            <w:tcW w:type="dxa" w:w="5112"/>
            <w:tcMar>
              <w:top w:w="90" w:type="dxa"/>
              <w:start w:w="100" w:type="dxa"/>
              <w:bottom w:w="90" w:type="dxa"/>
              <w:end w:w="100" w:type="dxa"/>
            </w:tcMar>
            <w:vAlign w:val="top"/>
          </w:tcPr>
          <w:p>
            <w:pPr>
              <w:spacing w:after="20"/>
            </w:pPr>
            <w:r>
              <w:rPr>
                <w:rFonts w:ascii="Liberation Serif" w:hAnsi="Liberation Serif"/>
                <w:sz w:val="17"/>
              </w:rPr>
              <w:t>Permanent concept/event ID, namespace, version, status, signatures, aliases.</w:t>
            </w:r>
          </w:p>
        </w:tc>
        <w:tc>
          <w:tcPr>
            <w:tcW w:type="dxa" w:w="3168"/>
            <w:tcMar>
              <w:top w:w="90" w:type="dxa"/>
              <w:start w:w="100" w:type="dxa"/>
              <w:bottom w:w="90" w:type="dxa"/>
              <w:end w:w="100" w:type="dxa"/>
            </w:tcMar>
            <w:vAlign w:val="top"/>
          </w:tcPr>
          <w:p>
            <w:pPr>
              <w:spacing w:after="20"/>
            </w:pPr>
            <w:r>
              <w:rPr>
                <w:rFonts w:ascii="Liberation Serif" w:hAnsi="Liberation Serif"/>
                <w:sz w:val="17"/>
              </w:rPr>
              <w:t>Registry / SERA</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Lineage</w:t>
            </w:r>
          </w:p>
        </w:tc>
        <w:tc>
          <w:tcPr>
            <w:tcW w:type="dxa" w:w="5112"/>
            <w:tcMar>
              <w:top w:w="90" w:type="dxa"/>
              <w:start w:w="100" w:type="dxa"/>
              <w:bottom w:w="90" w:type="dxa"/>
              <w:end w:w="100" w:type="dxa"/>
            </w:tcMar>
            <w:vAlign w:val="top"/>
          </w:tcPr>
          <w:p>
            <w:pPr>
              <w:spacing w:after="20"/>
            </w:pPr>
            <w:r>
              <w:rPr>
                <w:rFonts w:ascii="Liberation Serif" w:hAnsi="Liberation Serif"/>
                <w:sz w:val="17"/>
              </w:rPr>
              <w:t>Parents, forks, supersessions, merges, derivation graph, authorship.</w:t>
            </w:r>
          </w:p>
        </w:tc>
        <w:tc>
          <w:tcPr>
            <w:tcW w:type="dxa" w:w="3168"/>
            <w:tcMar>
              <w:top w:w="90" w:type="dxa"/>
              <w:start w:w="100" w:type="dxa"/>
              <w:bottom w:w="90" w:type="dxa"/>
              <w:end w:w="100" w:type="dxa"/>
            </w:tcMar>
            <w:vAlign w:val="top"/>
          </w:tcPr>
          <w:p>
            <w:pPr>
              <w:spacing w:after="20"/>
            </w:pPr>
            <w:r>
              <w:rPr>
                <w:rFonts w:ascii="Liberation Serif" w:hAnsi="Liberation Serif"/>
                <w:sz w:val="17"/>
              </w:rPr>
              <w:t>Registry / TeamNarrative</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Natural Math expression</w:t>
            </w:r>
          </w:p>
        </w:tc>
        <w:tc>
          <w:tcPr>
            <w:tcW w:type="dxa" w:w="5112"/>
            <w:tcMar>
              <w:top w:w="90" w:type="dxa"/>
              <w:start w:w="100" w:type="dxa"/>
              <w:bottom w:w="90" w:type="dxa"/>
              <w:end w:w="100" w:type="dxa"/>
            </w:tcMar>
            <w:vAlign w:val="top"/>
          </w:tcPr>
          <w:p>
            <w:pPr>
              <w:spacing w:after="20"/>
            </w:pPr>
            <w:r>
              <w:rPr>
                <w:rFonts w:ascii="Liberation Serif" w:hAnsi="Liberation Serif"/>
                <w:sz w:val="17"/>
              </w:rPr>
              <w:t>Formation operators, local states, boundary conditions, initial conditions, transition constraints.</w:t>
            </w:r>
          </w:p>
        </w:tc>
        <w:tc>
          <w:tcPr>
            <w:tcW w:type="dxa" w:w="3168"/>
            <w:tcMar>
              <w:top w:w="90" w:type="dxa"/>
              <w:start w:w="100" w:type="dxa"/>
              <w:bottom w:w="90" w:type="dxa"/>
              <w:end w:w="100" w:type="dxa"/>
            </w:tcMar>
            <w:vAlign w:val="top"/>
          </w:tcPr>
          <w:p>
            <w:pPr>
              <w:spacing w:after="20"/>
            </w:pPr>
            <w:r>
              <w:rPr>
                <w:rFonts w:ascii="Liberation Serif" w:hAnsi="Liberation Serif"/>
                <w:sz w:val="17"/>
              </w:rPr>
              <w:t>Natural Math package</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SymLan program</w:t>
            </w:r>
          </w:p>
        </w:tc>
        <w:tc>
          <w:tcPr>
            <w:tcW w:type="dxa" w:w="5112"/>
            <w:tcMar>
              <w:top w:w="90" w:type="dxa"/>
              <w:start w:w="100" w:type="dxa"/>
              <w:bottom w:w="90" w:type="dxa"/>
              <w:end w:w="100" w:type="dxa"/>
            </w:tcMar>
            <w:vAlign w:val="top"/>
          </w:tcPr>
          <w:p>
            <w:pPr>
              <w:spacing w:after="20"/>
            </w:pPr>
            <w:r>
              <w:rPr>
                <w:rFonts w:ascii="Liberation Serif" w:hAnsi="Liberation Serif"/>
                <w:sz w:val="17"/>
              </w:rPr>
              <w:t>Spatial-temporal relations, constraints, executable affordances, pending/resolved vocabulary.</w:t>
            </w:r>
          </w:p>
        </w:tc>
        <w:tc>
          <w:tcPr>
            <w:tcW w:type="dxa" w:w="3168"/>
            <w:tcMar>
              <w:top w:w="90" w:type="dxa"/>
              <w:start w:w="100" w:type="dxa"/>
              <w:bottom w:w="90" w:type="dxa"/>
              <w:end w:w="100" w:type="dxa"/>
            </w:tcMar>
            <w:vAlign w:val="top"/>
          </w:tcPr>
          <w:p>
            <w:pPr>
              <w:spacing w:after="20"/>
            </w:pPr>
            <w:r>
              <w:rPr>
                <w:rFonts w:ascii="Liberation Serif" w:hAnsi="Liberation Serif"/>
                <w:sz w:val="17"/>
              </w:rPr>
              <w:t>SymLan runtime</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Attractor bundle</w:t>
            </w:r>
          </w:p>
        </w:tc>
        <w:tc>
          <w:tcPr>
            <w:tcW w:type="dxa" w:w="5112"/>
            <w:tcMar>
              <w:top w:w="90" w:type="dxa"/>
              <w:start w:w="100" w:type="dxa"/>
              <w:bottom w:w="90" w:type="dxa"/>
              <w:end w:w="100" w:type="dxa"/>
            </w:tcMar>
            <w:vAlign w:val="top"/>
          </w:tcPr>
          <w:p>
            <w:pPr>
              <w:spacing w:after="20"/>
            </w:pPr>
            <w:r>
              <w:rPr>
                <w:rFonts w:ascii="Liberation Serif" w:hAnsi="Liberation Serif"/>
                <w:sz w:val="17"/>
              </w:rPr>
              <w:t>Instance-specific codebooks, calibration scope, decoders, entropy, collisions, drift and replicate controls.</w:t>
            </w:r>
          </w:p>
        </w:tc>
        <w:tc>
          <w:tcPr>
            <w:tcW w:type="dxa" w:w="3168"/>
            <w:tcMar>
              <w:top w:w="90" w:type="dxa"/>
              <w:start w:w="100" w:type="dxa"/>
              <w:bottom w:w="90" w:type="dxa"/>
              <w:end w:w="100" w:type="dxa"/>
            </w:tcMar>
            <w:vAlign w:val="top"/>
          </w:tcPr>
          <w:p>
            <w:pPr>
              <w:spacing w:after="20"/>
            </w:pPr>
            <w:r>
              <w:rPr>
                <w:rFonts w:ascii="Liberation Serif" w:hAnsi="Liberation Serif"/>
                <w:sz w:val="17"/>
              </w:rPr>
              <w:t>Construction A+ / Honeybee</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Evidence</w:t>
            </w:r>
          </w:p>
        </w:tc>
        <w:tc>
          <w:tcPr>
            <w:tcW w:type="dxa" w:w="5112"/>
            <w:tcMar>
              <w:top w:w="90" w:type="dxa"/>
              <w:start w:w="100" w:type="dxa"/>
              <w:bottom w:w="90" w:type="dxa"/>
              <w:end w:w="100" w:type="dxa"/>
            </w:tcMar>
            <w:vAlign w:val="top"/>
          </w:tcPr>
          <w:p>
            <w:pPr>
              <w:spacing w:after="20"/>
            </w:pPr>
            <w:r>
              <w:rPr>
                <w:rFonts w:ascii="Liberation Serif" w:hAnsi="Liberation Serif"/>
                <w:sz w:val="17"/>
              </w:rPr>
              <w:t>Observations, sources, timestamps, hashes, transformations, counterevidence, confidence and uncertainty.</w:t>
            </w:r>
          </w:p>
        </w:tc>
        <w:tc>
          <w:tcPr>
            <w:tcW w:type="dxa" w:w="3168"/>
            <w:tcMar>
              <w:top w:w="90" w:type="dxa"/>
              <w:start w:w="100" w:type="dxa"/>
              <w:bottom w:w="90" w:type="dxa"/>
              <w:end w:w="100" w:type="dxa"/>
            </w:tcMar>
            <w:vAlign w:val="top"/>
          </w:tcPr>
          <w:p>
            <w:pPr>
              <w:spacing w:after="20"/>
            </w:pPr>
            <w:r>
              <w:rPr>
                <w:rFonts w:ascii="Liberation Serif" w:hAnsi="Liberation Serif"/>
                <w:sz w:val="17"/>
              </w:rPr>
              <w:t>PERCEPT / SERA / RIGOR</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Ternary state</w:t>
            </w:r>
          </w:p>
        </w:tc>
        <w:tc>
          <w:tcPr>
            <w:tcW w:type="dxa" w:w="5112"/>
            <w:tcMar>
              <w:top w:w="90" w:type="dxa"/>
              <w:start w:w="100" w:type="dxa"/>
              <w:bottom w:w="90" w:type="dxa"/>
              <w:end w:w="100" w:type="dxa"/>
            </w:tcMar>
            <w:vAlign w:val="top"/>
          </w:tcPr>
          <w:p>
            <w:pPr>
              <w:spacing w:after="20"/>
            </w:pPr>
            <w:r>
              <w:rPr>
                <w:rFonts w:ascii="Liberation Serif" w:hAnsi="Liberation Serif"/>
                <w:sz w:val="17"/>
              </w:rPr>
              <w:t>Epistemic state and action state as separate enums.</w:t>
            </w:r>
          </w:p>
        </w:tc>
        <w:tc>
          <w:tcPr>
            <w:tcW w:type="dxa" w:w="3168"/>
            <w:tcMar>
              <w:top w:w="90" w:type="dxa"/>
              <w:start w:w="100" w:type="dxa"/>
              <w:bottom w:w="90" w:type="dxa"/>
              <w:end w:w="100" w:type="dxa"/>
            </w:tcMar>
            <w:vAlign w:val="top"/>
          </w:tcPr>
          <w:p>
            <w:pPr>
              <w:spacing w:after="20"/>
            </w:pPr>
            <w:r>
              <w:rPr>
                <w:rFonts w:ascii="Liberation Serif" w:hAnsi="Liberation Serif"/>
                <w:sz w:val="17"/>
              </w:rPr>
              <w:t>RIGOR / CIRCUIT / GUARD</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Reconstruction</w:t>
            </w:r>
          </w:p>
        </w:tc>
        <w:tc>
          <w:tcPr>
            <w:tcW w:type="dxa" w:w="5112"/>
            <w:tcMar>
              <w:top w:w="90" w:type="dxa"/>
              <w:start w:w="100" w:type="dxa"/>
              <w:bottom w:w="90" w:type="dxa"/>
              <w:end w:w="100" w:type="dxa"/>
            </w:tcMar>
            <w:vAlign w:val="top"/>
          </w:tcPr>
          <w:p>
            <w:pPr>
              <w:spacing w:after="20"/>
            </w:pPr>
            <w:r>
              <w:rPr>
                <w:rFonts w:ascii="Liberation Serif" w:hAnsi="Liberation Serif"/>
                <w:sz w:val="17"/>
              </w:rPr>
              <w:t>Decoders, test vectors, expected fidelity, replay instructions, failure cases.</w:t>
            </w:r>
          </w:p>
        </w:tc>
        <w:tc>
          <w:tcPr>
            <w:tcW w:type="dxa" w:w="3168"/>
            <w:tcMar>
              <w:top w:w="90" w:type="dxa"/>
              <w:start w:w="100" w:type="dxa"/>
              <w:bottom w:w="90" w:type="dxa"/>
              <w:end w:w="100" w:type="dxa"/>
            </w:tcMar>
            <w:vAlign w:val="top"/>
          </w:tcPr>
          <w:p>
            <w:pPr>
              <w:spacing w:after="20"/>
            </w:pPr>
            <w:r>
              <w:rPr>
                <w:rFonts w:ascii="Liberation Serif" w:hAnsi="Liberation Serif"/>
                <w:sz w:val="17"/>
              </w:rPr>
              <w:t>Completion Integrity / test system</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Association</w:t>
            </w:r>
          </w:p>
        </w:tc>
        <w:tc>
          <w:tcPr>
            <w:tcW w:type="dxa" w:w="5112"/>
            <w:tcMar>
              <w:top w:w="90" w:type="dxa"/>
              <w:start w:w="100" w:type="dxa"/>
              <w:bottom w:w="90" w:type="dxa"/>
              <w:end w:w="100" w:type="dxa"/>
            </w:tcMar>
            <w:vAlign w:val="top"/>
          </w:tcPr>
          <w:p>
            <w:pPr>
              <w:spacing w:after="20"/>
            </w:pPr>
            <w:r>
              <w:rPr>
                <w:rFonts w:ascii="Liberation Serif" w:hAnsi="Liberation Serif"/>
                <w:sz w:val="17"/>
              </w:rPr>
              <w:t>Shared relations plus references to local Basin association fields.</w:t>
            </w:r>
          </w:p>
        </w:tc>
        <w:tc>
          <w:tcPr>
            <w:tcW w:type="dxa" w:w="3168"/>
            <w:tcMar>
              <w:top w:w="90" w:type="dxa"/>
              <w:start w:w="100" w:type="dxa"/>
              <w:bottom w:w="90" w:type="dxa"/>
              <w:end w:w="100" w:type="dxa"/>
            </w:tcMar>
            <w:vAlign w:val="top"/>
          </w:tcPr>
          <w:p>
            <w:pPr>
              <w:spacing w:after="20"/>
            </w:pPr>
            <w:r>
              <w:rPr>
                <w:rFonts w:ascii="Liberation Serif" w:hAnsi="Liberation Serif"/>
                <w:sz w:val="17"/>
              </w:rPr>
              <w:t>Understanding / Cognitive Basin</w:t>
            </w:r>
          </w:p>
        </w:tc>
      </w:tr>
      <w:tr>
        <w:tc>
          <w:tcPr>
            <w:tcW w:type="dxa" w:w="1944"/>
            <w:tcMar>
              <w:top w:w="90" w:type="dxa"/>
              <w:start w:w="100" w:type="dxa"/>
              <w:bottom w:w="90" w:type="dxa"/>
              <w:end w:w="100" w:type="dxa"/>
            </w:tcMar>
            <w:vAlign w:val="top"/>
          </w:tcPr>
          <w:p>
            <w:pPr>
              <w:spacing w:after="20"/>
            </w:pPr>
            <w:r>
              <w:rPr>
                <w:rFonts w:ascii="Liberation Serif" w:hAnsi="Liberation Serif"/>
                <w:sz w:val="17"/>
              </w:rPr>
              <w:t>Projections</w:t>
            </w:r>
          </w:p>
        </w:tc>
        <w:tc>
          <w:tcPr>
            <w:tcW w:type="dxa" w:w="5112"/>
            <w:tcMar>
              <w:top w:w="90" w:type="dxa"/>
              <w:start w:w="100" w:type="dxa"/>
              <w:bottom w:w="90" w:type="dxa"/>
              <w:end w:w="100" w:type="dxa"/>
            </w:tcMar>
            <w:vAlign w:val="top"/>
          </w:tcPr>
          <w:p>
            <w:pPr>
              <w:spacing w:after="20"/>
            </w:pPr>
            <w:r>
              <w:rPr>
                <w:rFonts w:ascii="Liberation Serif" w:hAnsi="Liberation Serif"/>
                <w:sz w:val="17"/>
              </w:rPr>
              <w:t>Human text, image, glyph, QR-like, API, vector, simulation, and accessibility views.</w:t>
            </w:r>
          </w:p>
        </w:tc>
        <w:tc>
          <w:tcPr>
            <w:tcW w:type="dxa" w:w="3168"/>
            <w:tcMar>
              <w:top w:w="90" w:type="dxa"/>
              <w:start w:w="100" w:type="dxa"/>
              <w:bottom w:w="90" w:type="dxa"/>
              <w:end w:w="100" w:type="dxa"/>
            </w:tcMar>
            <w:vAlign w:val="top"/>
          </w:tcPr>
          <w:p>
            <w:pPr>
              <w:spacing w:after="20"/>
            </w:pPr>
            <w:r>
              <w:rPr>
                <w:rFonts w:ascii="Liberation Serif" w:hAnsi="Liberation Serif"/>
                <w:sz w:val="17"/>
              </w:rPr>
              <w:t>Interface adapters</w:t>
            </w:r>
          </w:p>
        </w:tc>
      </w:tr>
    </w:tbl>
    <w:p>
      <w:pPr>
        <w:spacing w:after="20"/>
      </w:pPr>
    </w:p>
    <w:p>
      <w:pPr>
        <w:pStyle w:val="Heading2"/>
      </w:pPr>
      <w:r>
        <w:t>5.2 Ternary state separation</w:t>
      </w:r>
    </w:p>
    <w:p>
      <w:pPr>
        <w:keepNext w:val="0"/>
        <w:spacing w:after="110"/>
      </w:pPr>
      <w:r>
        <w:rPr>
          <w:rFonts w:ascii="Liberation Serif" w:hAnsi="Liberation Serif"/>
          <w:sz w:val="20"/>
        </w:rPr>
        <w:t>The envelope must never conflate whether a proposition is supported with whether an operation should proceed. The current Cognitive Basin canon separates: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DCE9F0"/>
            <w:tcMar>
              <w:top w:w="90" w:type="dxa"/>
              <w:start w:w="100" w:type="dxa"/>
              <w:bottom w:w="90" w:type="dxa"/>
              <w:end w:w="100" w:type="dxa"/>
            </w:tcMar>
          </w:tcPr>
          <w:p>
            <w:r>
              <w:rPr>
                <w:rFonts w:ascii="Liberation Sans" w:hAnsi="Liberation Sans"/>
                <w:b/>
                <w:sz w:val="17"/>
              </w:rPr>
              <w:t>State system</w:t>
            </w:r>
          </w:p>
        </w:tc>
        <w:tc>
          <w:tcPr>
            <w:tcW w:type="dxa" w:w="3312"/>
            <w:shd w:fill="DCE9F0"/>
            <w:tcMar>
              <w:top w:w="90" w:type="dxa"/>
              <w:start w:w="100" w:type="dxa"/>
              <w:bottom w:w="90" w:type="dxa"/>
              <w:end w:w="100" w:type="dxa"/>
            </w:tcMar>
          </w:tcPr>
          <w:p>
            <w:r>
              <w:rPr>
                <w:rFonts w:ascii="Liberation Sans" w:hAnsi="Liberation Sans"/>
                <w:b/>
                <w:sz w:val="17"/>
              </w:rPr>
              <w:t>Values</w:t>
            </w:r>
          </w:p>
        </w:tc>
        <w:tc>
          <w:tcPr>
            <w:tcW w:type="dxa" w:w="4752"/>
            <w:shd w:fill="DCE9F0"/>
            <w:tcMar>
              <w:top w:w="90" w:type="dxa"/>
              <w:start w:w="100" w:type="dxa"/>
              <w:bottom w:w="90" w:type="dxa"/>
              <w:end w:w="100" w:type="dxa"/>
            </w:tcMar>
          </w:tcPr>
          <w:p>
            <w:r>
              <w:rPr>
                <w:rFonts w:ascii="Liberation Sans" w:hAnsi="Liberation Sans"/>
                <w:b/>
                <w:sz w:val="17"/>
              </w:rPr>
              <w:t>Meaning</w:t>
            </w:r>
          </w:p>
        </w:tc>
      </w:tr>
      <w:tr>
        <w:tc>
          <w:tcPr>
            <w:tcW w:type="dxa" w:w="2160"/>
            <w:tcMar>
              <w:top w:w="90" w:type="dxa"/>
              <w:start w:w="100" w:type="dxa"/>
              <w:bottom w:w="90" w:type="dxa"/>
              <w:end w:w="100" w:type="dxa"/>
            </w:tcMar>
            <w:vAlign w:val="top"/>
          </w:tcPr>
          <w:p>
            <w:pPr>
              <w:spacing w:after="20"/>
            </w:pPr>
            <w:r>
              <w:rPr>
                <w:rFonts w:ascii="Liberation Serif" w:hAnsi="Liberation Serif"/>
                <w:sz w:val="17"/>
              </w:rPr>
              <w:t>Epistemic</w:t>
            </w:r>
          </w:p>
        </w:tc>
        <w:tc>
          <w:tcPr>
            <w:tcW w:type="dxa" w:w="3312"/>
            <w:tcMar>
              <w:top w:w="90" w:type="dxa"/>
              <w:start w:w="100" w:type="dxa"/>
              <w:bottom w:w="90" w:type="dxa"/>
              <w:end w:w="100" w:type="dxa"/>
            </w:tcMar>
            <w:vAlign w:val="top"/>
          </w:tcPr>
          <w:p>
            <w:pPr>
              <w:spacing w:after="20"/>
            </w:pPr>
            <w:r>
              <w:rPr>
                <w:rFonts w:ascii="Liberation Serif" w:hAnsi="Liberation Serif"/>
                <w:sz w:val="17"/>
              </w:rPr>
              <w:t>SUPPORTED / UNRESOLVED / CONTRADICTED</w:t>
            </w:r>
          </w:p>
        </w:tc>
        <w:tc>
          <w:tcPr>
            <w:tcW w:type="dxa" w:w="4752"/>
            <w:tcMar>
              <w:top w:w="90" w:type="dxa"/>
              <w:start w:w="100" w:type="dxa"/>
              <w:bottom w:w="90" w:type="dxa"/>
              <w:end w:w="100" w:type="dxa"/>
            </w:tcMar>
            <w:vAlign w:val="top"/>
          </w:tcPr>
          <w:p>
            <w:pPr>
              <w:spacing w:after="20"/>
            </w:pPr>
            <w:r>
              <w:rPr>
                <w:rFonts w:ascii="Liberation Serif" w:hAnsi="Liberation Serif"/>
                <w:sz w:val="17"/>
              </w:rPr>
              <w:t>Relationship between claim and evidence.</w:t>
            </w:r>
          </w:p>
        </w:tc>
      </w:tr>
      <w:tr>
        <w:tc>
          <w:tcPr>
            <w:tcW w:type="dxa" w:w="2160"/>
            <w:tcMar>
              <w:top w:w="90" w:type="dxa"/>
              <w:start w:w="100" w:type="dxa"/>
              <w:bottom w:w="90" w:type="dxa"/>
              <w:end w:w="100" w:type="dxa"/>
            </w:tcMar>
            <w:vAlign w:val="top"/>
          </w:tcPr>
          <w:p>
            <w:pPr>
              <w:spacing w:after="20"/>
            </w:pPr>
            <w:r>
              <w:rPr>
                <w:rFonts w:ascii="Liberation Serif" w:hAnsi="Liberation Serif"/>
                <w:sz w:val="17"/>
              </w:rPr>
              <w:t>Action</w:t>
            </w:r>
          </w:p>
        </w:tc>
        <w:tc>
          <w:tcPr>
            <w:tcW w:type="dxa" w:w="3312"/>
            <w:tcMar>
              <w:top w:w="90" w:type="dxa"/>
              <w:start w:w="100" w:type="dxa"/>
              <w:bottom w:w="90" w:type="dxa"/>
              <w:end w:w="100" w:type="dxa"/>
            </w:tcMar>
            <w:vAlign w:val="top"/>
          </w:tcPr>
          <w:p>
            <w:pPr>
              <w:spacing w:after="20"/>
            </w:pPr>
            <w:r>
              <w:rPr>
                <w:rFonts w:ascii="Liberation Serif" w:hAnsi="Liberation Serif"/>
                <w:sz w:val="17"/>
              </w:rPr>
              <w:t>EXTEND / HOLD / RETRACT</w:t>
            </w:r>
          </w:p>
        </w:tc>
        <w:tc>
          <w:tcPr>
            <w:tcW w:type="dxa" w:w="4752"/>
            <w:tcMar>
              <w:top w:w="90" w:type="dxa"/>
              <w:start w:w="100" w:type="dxa"/>
              <w:bottom w:w="90" w:type="dxa"/>
              <w:end w:w="100" w:type="dxa"/>
            </w:tcMar>
            <w:vAlign w:val="top"/>
          </w:tcPr>
          <w:p>
            <w:pPr>
              <w:spacing w:after="20"/>
            </w:pPr>
            <w:r>
              <w:rPr>
                <w:rFonts w:ascii="Liberation Serif" w:hAnsi="Liberation Serif"/>
                <w:sz w:val="17"/>
              </w:rPr>
              <w:t>Permitted transition of the envelope or dependent process.</w:t>
            </w:r>
          </w:p>
        </w:tc>
      </w:tr>
      <w:tr>
        <w:tc>
          <w:tcPr>
            <w:tcW w:type="dxa" w:w="2160"/>
            <w:tcMar>
              <w:top w:w="90" w:type="dxa"/>
              <w:start w:w="100" w:type="dxa"/>
              <w:bottom w:w="90" w:type="dxa"/>
              <w:end w:w="100" w:type="dxa"/>
            </w:tcMar>
            <w:vAlign w:val="top"/>
          </w:tcPr>
          <w:p>
            <w:pPr>
              <w:spacing w:after="20"/>
            </w:pPr>
            <w:r>
              <w:rPr>
                <w:rFonts w:ascii="Liberation Serif" w:hAnsi="Liberation Serif"/>
                <w:sz w:val="17"/>
              </w:rPr>
              <w:t>Natural Math local process</w:t>
            </w:r>
          </w:p>
        </w:tc>
        <w:tc>
          <w:tcPr>
            <w:tcW w:type="dxa" w:w="3312"/>
            <w:tcMar>
              <w:top w:w="90" w:type="dxa"/>
              <w:start w:w="100" w:type="dxa"/>
              <w:bottom w:w="90" w:type="dxa"/>
              <w:end w:w="100" w:type="dxa"/>
            </w:tcMar>
            <w:vAlign w:val="top"/>
          </w:tcPr>
          <w:p>
            <w:pPr>
              <w:spacing w:after="20"/>
            </w:pPr>
            <w:r>
              <w:rPr>
                <w:rFonts w:ascii="Liberation Serif" w:hAnsi="Liberation Serif"/>
                <w:sz w:val="17"/>
              </w:rPr>
              <w:t>EXTEND / SENSE / RESTRICT</w:t>
            </w:r>
          </w:p>
        </w:tc>
        <w:tc>
          <w:tcPr>
            <w:tcW w:type="dxa" w:w="4752"/>
            <w:tcMar>
              <w:top w:w="90" w:type="dxa"/>
              <w:start w:w="100" w:type="dxa"/>
              <w:bottom w:w="90" w:type="dxa"/>
              <w:end w:w="100" w:type="dxa"/>
            </w:tcMar>
            <w:vAlign w:val="top"/>
          </w:tcPr>
          <w:p>
            <w:pPr>
              <w:spacing w:after="20"/>
            </w:pPr>
            <w:r>
              <w:rPr>
                <w:rFonts w:ascii="Liberation Serif" w:hAnsi="Liberation Serif"/>
                <w:sz w:val="17"/>
              </w:rPr>
              <w:t>Local formation behavior; not interchangeable with Basin action state.</w:t>
            </w:r>
          </w:p>
        </w:tc>
      </w:tr>
    </w:tbl>
    <w:p>
      <w:pPr>
        <w:spacing w:after="20"/>
      </w:pPr>
    </w:p>
    <w:p>
      <w:pPr>
        <w:keepNext w:val="0"/>
        <w:spacing w:after="110"/>
      </w:pPr>
      <w:r>
        <w:rPr>
          <w:rFonts w:ascii="Liberation Serif" w:hAnsi="Liberation Serif"/>
          <w:sz w:val="20"/>
        </w:rPr>
        <w:t>This separation prevents a fluent model from treating “continue processing” as proof that a claim is true, and prevents a contradicted proposal from deleting its evidentiary history.</w:t>
      </w:r>
    </w:p>
    <w:p>
      <w:pPr>
        <w:pStyle w:val="Heading1"/>
      </w:pPr>
      <w:r>
        <w:t>6. Read Path: Reality to Basin</w:t>
      </w:r>
    </w:p>
    <w:p>
      <w:pPr>
        <w:spacing w:after="60"/>
        <w:jc w:val="center"/>
      </w:pPr>
      <w:r>
        <w:drawing>
          <wp:inline xmlns:a="http://schemas.openxmlformats.org/drawingml/2006/main" xmlns:pic="http://schemas.openxmlformats.org/drawingml/2006/picture">
            <wp:extent cx="6217920" cy="3454400"/>
            <wp:docPr id="4" name="Picture 4"/>
            <wp:cNvGraphicFramePr>
              <a:graphicFrameLocks noChangeAspect="1"/>
            </wp:cNvGraphicFramePr>
            <a:graphic>
              <a:graphicData uri="http://schemas.openxmlformats.org/drawingml/2006/picture">
                <pic:pic>
                  <pic:nvPicPr>
                    <pic:cNvPr id="0" name="read_write_loop.png"/>
                    <pic:cNvPicPr/>
                  </pic:nvPicPr>
                  <pic:blipFill>
                    <a:blip r:embed="rId14"/>
                    <a:stretch>
                      <a:fillRect/>
                    </a:stretch>
                  </pic:blipFill>
                  <pic:spPr>
                    <a:xfrm>
                      <a:off x="0" y="0"/>
                      <a:ext cx="6217920" cy="3454400"/>
                    </a:xfrm>
                    <a:prstGeom prst="rect"/>
                  </pic:spPr>
                </pic:pic>
              </a:graphicData>
            </a:graphic>
          </wp:inline>
        </w:drawing>
      </w:r>
    </w:p>
    <w:p>
      <w:pPr>
        <w:spacing w:after="140"/>
        <w:jc w:val="center"/>
      </w:pPr>
      <w:r>
        <w:rPr>
          <w:rFonts w:ascii="Liberation Sans" w:hAnsi="Liberation Sans"/>
          <w:i/>
          <w:color w:val="4B5862"/>
          <w:sz w:val="17"/>
        </w:rPr>
        <w:t>Figure 3. The envelope joins observation and construction through the same registry and evidence lifecycle.</w:t>
      </w:r>
    </w:p>
    <w:p>
      <w:pPr>
        <w:pStyle w:val="ListNumber"/>
        <w:spacing w:after="50" w:line="247" w:lineRule="auto"/>
      </w:pPr>
      <w:r>
        <w:rPr>
          <w:rFonts w:ascii="Liberation Serif" w:hAnsi="Liberation Serif"/>
          <w:sz w:val="20"/>
        </w:rPr>
        <w:t>Acquire: A receptor receives visual, acoustic, textual, material, network, or simulation data and records source conditions.</w:t>
      </w:r>
    </w:p>
    <w:p>
      <w:pPr>
        <w:pStyle w:val="ListNumber"/>
        <w:spacing w:after="50" w:line="247" w:lineRule="auto"/>
      </w:pPr>
      <w:r>
        <w:rPr>
          <w:rFonts w:ascii="Liberation Serif" w:hAnsi="Liberation Serif"/>
          <w:sz w:val="20"/>
        </w:rPr>
        <w:t>Decompose: PERCEPT creates bounded multiscale regions and retains transformation provenance.</w:t>
      </w:r>
    </w:p>
    <w:p>
      <w:pPr>
        <w:pStyle w:val="ListNumber"/>
        <w:spacing w:after="50" w:line="247" w:lineRule="auto"/>
      </w:pPr>
      <w:r>
        <w:rPr>
          <w:rFonts w:ascii="Liberation Serif" w:hAnsi="Liberation Serif"/>
          <w:sz w:val="20"/>
        </w:rPr>
        <w:t>Register: Construction A+/Honeybee identifies stable states or attractors and emits an instance-scoped code plus calibration metadata.</w:t>
      </w:r>
    </w:p>
    <w:p>
      <w:pPr>
        <w:pStyle w:val="ListNumber"/>
        <w:spacing w:after="50" w:line="247" w:lineRule="auto"/>
      </w:pPr>
      <w:r>
        <w:rPr>
          <w:rFonts w:ascii="Liberation Serif" w:hAnsi="Liberation Serif"/>
          <w:sz w:val="20"/>
        </w:rPr>
        <w:t>Describe formation: Natural Math expresses local transitions, branching, persistence, and boundary behavior where those descriptions are supported.</w:t>
      </w:r>
    </w:p>
    <w:p>
      <w:pPr>
        <w:pStyle w:val="ListNumber"/>
        <w:spacing w:after="50" w:line="247" w:lineRule="auto"/>
      </w:pPr>
      <w:r>
        <w:rPr>
          <w:rFonts w:ascii="Liberation Serif" w:hAnsi="Liberation Serif"/>
          <w:sz w:val="20"/>
        </w:rPr>
        <w:t>Construct relations: SymLan builds the active spatial, temporal, causal, and affordance model.</w:t>
      </w:r>
    </w:p>
    <w:p>
      <w:pPr>
        <w:pStyle w:val="ListNumber"/>
        <w:spacing w:after="50" w:line="247" w:lineRule="auto"/>
      </w:pPr>
      <w:r>
        <w:rPr>
          <w:rFonts w:ascii="Liberation Serif" w:hAnsi="Liberation Serif"/>
          <w:sz w:val="20"/>
        </w:rPr>
        <w:t>Resolve identity: The registry returns known concept IDs, candidate mappings, or unresolved identities.</w:t>
      </w:r>
    </w:p>
    <w:p>
      <w:pPr>
        <w:pStyle w:val="ListNumber"/>
        <w:spacing w:after="50" w:line="247" w:lineRule="auto"/>
      </w:pPr>
      <w:r>
        <w:rPr>
          <w:rFonts w:ascii="Liberation Serif" w:hAnsi="Liberation Serif"/>
          <w:sz w:val="20"/>
        </w:rPr>
        <w:t>Activate Basin: The individual Cognitive Basin invokes associations, memories, roles, risks, and possible actions.</w:t>
      </w:r>
    </w:p>
    <w:p>
      <w:pPr>
        <w:pStyle w:val="ListNumber"/>
        <w:spacing w:after="50" w:line="247" w:lineRule="auto"/>
      </w:pPr>
      <w:r>
        <w:rPr>
          <w:rFonts w:ascii="Liberation Serif" w:hAnsi="Liberation Serif"/>
          <w:sz w:val="20"/>
        </w:rPr>
        <w:t>Emit envelope: The pipeline returns the complete evidence-bearing envelope plus any local Basin references.</w:t>
      </w:r>
    </w:p>
    <w:p>
      <w:pPr>
        <w:pStyle w:val="Heading2"/>
      </w:pPr>
      <w:r>
        <w:t>6.1 Fractal-primary does not initially mean raw-blind</w:t>
      </w:r>
    </w:p>
    <w:p>
      <w:pPr>
        <w:keepNext w:val="0"/>
        <w:spacing w:after="110"/>
      </w:pPr>
      <w:r>
        <w:rPr>
          <w:rFonts w:ascii="Liberation Serif" w:hAnsi="Liberation Serif"/>
          <w:sz w:val="20"/>
        </w:rPr>
        <w:t>The long-term objective may be native fractal perception in which sensors and downstream processors operate directly on multiscale structural expressions. The first systems should preserve raw or minimally transformed evidence long enough to test what the new representation loses. Retirement of raw data must be policy-driven, sensitivity-aware, and supported by reconstruction and downstream-consequence tests.</w:t>
      </w:r>
    </w:p>
    <w:p>
      <w:pPr>
        <w:pStyle w:val="Heading1"/>
      </w:pPr>
      <w:r>
        <w:t>7. Write Path: Basin to Constructed Reality</w:t>
      </w:r>
    </w:p>
    <w:p>
      <w:pPr>
        <w:pStyle w:val="ListNumber"/>
        <w:spacing w:after="50" w:line="247" w:lineRule="auto"/>
      </w:pPr>
      <w:r>
        <w:rPr>
          <w:rFonts w:ascii="Liberation Serif" w:hAnsi="Liberation Serif"/>
          <w:sz w:val="20"/>
        </w:rPr>
        <w:t>Intention: The Basin identifies a desired state, question, model, or physical target and records purpose.</w:t>
      </w:r>
    </w:p>
    <w:p>
      <w:pPr>
        <w:pStyle w:val="ListNumber"/>
        <w:spacing w:after="50" w:line="247" w:lineRule="auto"/>
      </w:pPr>
      <w:r>
        <w:rPr>
          <w:rFonts w:ascii="Liberation Serif" w:hAnsi="Liberation Serif"/>
          <w:sz w:val="20"/>
        </w:rPr>
        <w:t>Relational program: SymLan expresses the target configuration, dependencies, constraints, and expected relations.</w:t>
      </w:r>
    </w:p>
    <w:p>
      <w:pPr>
        <w:pStyle w:val="ListNumber"/>
        <w:spacing w:after="50" w:line="247" w:lineRule="auto"/>
      </w:pPr>
      <w:r>
        <w:rPr>
          <w:rFonts w:ascii="Liberation Serif" w:hAnsi="Liberation Serif"/>
          <w:sz w:val="20"/>
        </w:rPr>
        <w:t>Formation program: Natural Math supplies bounded local operators and initial/boundary conditions.</w:t>
      </w:r>
    </w:p>
    <w:p>
      <w:pPr>
        <w:pStyle w:val="ListNumber"/>
        <w:spacing w:after="50" w:line="247" w:lineRule="auto"/>
      </w:pPr>
      <w:r>
        <w:rPr>
          <w:rFonts w:ascii="Liberation Serif" w:hAnsi="Liberation Serif"/>
          <w:sz w:val="20"/>
        </w:rPr>
        <w:t>Preflight: RIGOR and GUARD check evidence, permissions, contradictions, capability claims, and side effects.</w:t>
      </w:r>
    </w:p>
    <w:p>
      <w:pPr>
        <w:pStyle w:val="ListNumber"/>
        <w:spacing w:after="50" w:line="247" w:lineRule="auto"/>
      </w:pPr>
      <w:r>
        <w:rPr>
          <w:rFonts w:ascii="Liberation Serif" w:hAnsi="Liberation Serif"/>
          <w:sz w:val="20"/>
        </w:rPr>
        <w:t>Simulate or construct: The program runs in BasinLab, a digital twin, a renderer, a robot, or a future physical adapter.</w:t>
      </w:r>
    </w:p>
    <w:p>
      <w:pPr>
        <w:pStyle w:val="ListNumber"/>
        <w:spacing w:after="50" w:line="247" w:lineRule="auto"/>
      </w:pPr>
      <w:r>
        <w:rPr>
          <w:rFonts w:ascii="Liberation Serif" w:hAnsi="Liberation Serif"/>
          <w:sz w:val="20"/>
        </w:rPr>
        <w:t>Measure: PERCEPT records the realized output and deviations from intention.</w:t>
      </w:r>
    </w:p>
    <w:p>
      <w:pPr>
        <w:pStyle w:val="ListNumber"/>
        <w:spacing w:after="50" w:line="247" w:lineRule="auto"/>
      </w:pPr>
      <w:r>
        <w:rPr>
          <w:rFonts w:ascii="Liberation Serif" w:hAnsi="Liberation Serif"/>
          <w:sz w:val="20"/>
        </w:rPr>
        <w:t>Register: Construction A+/Honeybee identifies resulting attractors and tests whether the realized state is recoverable.</w:t>
      </w:r>
    </w:p>
    <w:p>
      <w:pPr>
        <w:pStyle w:val="ListNumber"/>
        <w:spacing w:after="50" w:line="247" w:lineRule="auto"/>
      </w:pPr>
      <w:r>
        <w:rPr>
          <w:rFonts w:ascii="Liberation Serif" w:hAnsi="Liberation Serif"/>
          <w:sz w:val="20"/>
        </w:rPr>
        <w:t>Propose registry change: The system creates an append-only proposal containing semantic diff, evidence, tests, and a ternary disposition.</w:t>
      </w:r>
    </w:p>
    <w:tbl>
      <w:tblPr>
        <w:tblW w:type="auto" w:w="0"/>
        <w:jc w:val="center"/>
        <w:tblLook w:firstColumn="1" w:firstRow="1" w:lastColumn="0" w:lastRow="0" w:noHBand="0" w:noVBand="1" w:val="04A0"/>
      </w:tblPr>
      <w:tblGrid>
        <w:gridCol w:w="10166"/>
      </w:tblGrid>
      <w:tr>
        <w:tc>
          <w:tcPr>
            <w:tcW w:type="dxa" w:w="10166"/>
            <w:shd w:fill="EAF1F5"/>
            <w:tcMar>
              <w:top w:w="140" w:type="dxa"/>
              <w:start w:w="180" w:type="dxa"/>
              <w:bottom w:w="140" w:type="dxa"/>
              <w:end w:w="180" w:type="dxa"/>
            </w:tcMar>
            <w:tcBorders>
              <w:top w:val="single" w:sz="8" w:color="2F7C91"/>
              <w:left w:val="single" w:sz="8" w:color="2F7C91"/>
              <w:bottom w:val="single" w:sz="8" w:color="2F7C91"/>
              <w:right w:val="single" w:sz="8" w:color="2F7C91"/>
            </w:tcBorders>
          </w:tcPr>
          <w:p>
            <w:pPr>
              <w:spacing w:after="0"/>
              <w:jc w:val="center"/>
            </w:pPr>
            <w:r>
              <w:rPr>
                <w:rFonts w:ascii="Liberation Sans" w:hAnsi="Liberation Sans"/>
                <w:b/>
                <w:color w:val="193446"/>
                <w:sz w:val="22"/>
              </w:rPr>
              <w:t>A write is a governed experiment. The registry stores the difference between intended form and realized form, not merely the intended program.</w:t>
            </w:r>
          </w:p>
        </w:tc>
      </w:tr>
    </w:tbl>
    <w:p>
      <w:pPr>
        <w:spacing w:after="20"/>
      </w:pPr>
    </w:p>
    <w:p>
      <w:pPr>
        <w:pStyle w:val="Heading1"/>
      </w:pPr>
      <w:r>
        <w:t>8. Shared Knowledge Fabric</w:t>
      </w:r>
    </w:p>
    <w:p>
      <w:pPr>
        <w:keepNext w:val="0"/>
        <w:spacing w:after="110"/>
      </w:pPr>
      <w:r>
        <w:rPr>
          <w:rFonts w:ascii="Liberation Serif" w:hAnsi="Liberation Serif"/>
          <w:sz w:val="20"/>
        </w:rPr>
        <w:t>The shared knowledgebase should be implemented as a federated fabric rather than one monolithic database. It combines durable identity, content-addressed artifacts, graph relations, executable packages, evidence, and event-sourced lineage.</w:t>
      </w:r>
    </w:p>
    <w:p>
      <w:pPr>
        <w:pStyle w:val="Heading2"/>
      </w:pPr>
      <w:r>
        <w:t>8.1 Logical services</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DCE9F0"/>
            <w:tcMar>
              <w:top w:w="90" w:type="dxa"/>
              <w:start w:w="100" w:type="dxa"/>
              <w:bottom w:w="90" w:type="dxa"/>
              <w:end w:w="100" w:type="dxa"/>
            </w:tcMar>
          </w:tcPr>
          <w:p>
            <w:r>
              <w:rPr>
                <w:rFonts w:ascii="Liberation Sans" w:hAnsi="Liberation Sans"/>
                <w:b/>
                <w:sz w:val="17"/>
              </w:rPr>
              <w:t>Service</w:t>
            </w:r>
          </w:p>
        </w:tc>
        <w:tc>
          <w:tcPr>
            <w:tcW w:type="dxa" w:w="4608"/>
            <w:shd w:fill="DCE9F0"/>
            <w:tcMar>
              <w:top w:w="90" w:type="dxa"/>
              <w:start w:w="100" w:type="dxa"/>
              <w:bottom w:w="90" w:type="dxa"/>
              <w:end w:w="100" w:type="dxa"/>
            </w:tcMar>
          </w:tcPr>
          <w:p>
            <w:r>
              <w:rPr>
                <w:rFonts w:ascii="Liberation Sans" w:hAnsi="Liberation Sans"/>
                <w:b/>
                <w:sz w:val="17"/>
              </w:rPr>
              <w:t>Function</w:t>
            </w:r>
          </w:p>
        </w:tc>
        <w:tc>
          <w:tcPr>
            <w:tcW w:type="dxa" w:w="3960"/>
            <w:shd w:fill="DCE9F0"/>
            <w:tcMar>
              <w:top w:w="90" w:type="dxa"/>
              <w:start w:w="100" w:type="dxa"/>
              <w:bottom w:w="90" w:type="dxa"/>
              <w:end w:w="100" w:type="dxa"/>
            </w:tcMar>
          </w:tcPr>
          <w:p>
            <w:r>
              <w:rPr>
                <w:rFonts w:ascii="Liberation Sans" w:hAnsi="Liberation Sans"/>
                <w:b/>
                <w:sz w:val="17"/>
              </w:rPr>
              <w:t>Suggested first implementation</w:t>
            </w:r>
          </w:p>
        </w:tc>
      </w:tr>
      <w:tr>
        <w:tc>
          <w:tcPr>
            <w:tcW w:type="dxa" w:w="1872"/>
            <w:tcMar>
              <w:top w:w="90" w:type="dxa"/>
              <w:start w:w="100" w:type="dxa"/>
              <w:bottom w:w="90" w:type="dxa"/>
              <w:end w:w="100" w:type="dxa"/>
            </w:tcMar>
            <w:vAlign w:val="top"/>
          </w:tcPr>
          <w:p>
            <w:pPr>
              <w:spacing w:after="20"/>
            </w:pPr>
            <w:r>
              <w:rPr>
                <w:rFonts w:ascii="Liberation Serif" w:hAnsi="Liberation Serif"/>
                <w:sz w:val="17"/>
              </w:rPr>
              <w:t>Identity registry</w:t>
            </w:r>
          </w:p>
        </w:tc>
        <w:tc>
          <w:tcPr>
            <w:tcW w:type="dxa" w:w="4608"/>
            <w:tcMar>
              <w:top w:w="90" w:type="dxa"/>
              <w:start w:w="100" w:type="dxa"/>
              <w:bottom w:w="90" w:type="dxa"/>
              <w:end w:w="100" w:type="dxa"/>
            </w:tcMar>
            <w:vAlign w:val="top"/>
          </w:tcPr>
          <w:p>
            <w:pPr>
              <w:spacing w:after="20"/>
            </w:pPr>
            <w:r>
              <w:rPr>
                <w:rFonts w:ascii="Liberation Serif" w:hAnsi="Liberation Serif"/>
                <w:sz w:val="17"/>
              </w:rPr>
              <w:t>Permanent IDs, namespaces, aliases, version pointers, ownership and signatures.</w:t>
            </w:r>
          </w:p>
        </w:tc>
        <w:tc>
          <w:tcPr>
            <w:tcW w:type="dxa" w:w="3960"/>
            <w:tcMar>
              <w:top w:w="90" w:type="dxa"/>
              <w:start w:w="100" w:type="dxa"/>
              <w:bottom w:w="90" w:type="dxa"/>
              <w:end w:w="100" w:type="dxa"/>
            </w:tcMar>
            <w:vAlign w:val="top"/>
          </w:tcPr>
          <w:p>
            <w:pPr>
              <w:spacing w:after="20"/>
            </w:pPr>
            <w:r>
              <w:rPr>
                <w:rFonts w:ascii="Liberation Serif" w:hAnsi="Liberation Serif"/>
                <w:sz w:val="17"/>
              </w:rPr>
              <w:t>Relational store + signed JSON manifests.</w:t>
            </w:r>
          </w:p>
        </w:tc>
      </w:tr>
      <w:tr>
        <w:tc>
          <w:tcPr>
            <w:tcW w:type="dxa" w:w="1872"/>
            <w:tcMar>
              <w:top w:w="90" w:type="dxa"/>
              <w:start w:w="100" w:type="dxa"/>
              <w:bottom w:w="90" w:type="dxa"/>
              <w:end w:w="100" w:type="dxa"/>
            </w:tcMar>
            <w:vAlign w:val="top"/>
          </w:tcPr>
          <w:p>
            <w:pPr>
              <w:spacing w:after="20"/>
            </w:pPr>
            <w:r>
              <w:rPr>
                <w:rFonts w:ascii="Liberation Serif" w:hAnsi="Liberation Serif"/>
                <w:sz w:val="17"/>
              </w:rPr>
              <w:t>Relation graph</w:t>
            </w:r>
          </w:p>
        </w:tc>
        <w:tc>
          <w:tcPr>
            <w:tcW w:type="dxa" w:w="4608"/>
            <w:tcMar>
              <w:top w:w="90" w:type="dxa"/>
              <w:start w:w="100" w:type="dxa"/>
              <w:bottom w:w="90" w:type="dxa"/>
              <w:end w:w="100" w:type="dxa"/>
            </w:tcMar>
            <w:vAlign w:val="top"/>
          </w:tcPr>
          <w:p>
            <w:pPr>
              <w:spacing w:after="20"/>
            </w:pPr>
            <w:r>
              <w:rPr>
                <w:rFonts w:ascii="Liberation Serif" w:hAnsi="Liberation Serif"/>
                <w:sz w:val="17"/>
              </w:rPr>
              <w:t>Typed semantic, causal, spatial, taxonomic, and dependency edges.</w:t>
            </w:r>
          </w:p>
        </w:tc>
        <w:tc>
          <w:tcPr>
            <w:tcW w:type="dxa" w:w="3960"/>
            <w:tcMar>
              <w:top w:w="90" w:type="dxa"/>
              <w:start w:w="100" w:type="dxa"/>
              <w:bottom w:w="90" w:type="dxa"/>
              <w:end w:w="100" w:type="dxa"/>
            </w:tcMar>
            <w:vAlign w:val="top"/>
          </w:tcPr>
          <w:p>
            <w:pPr>
              <w:spacing w:after="20"/>
            </w:pPr>
            <w:r>
              <w:rPr>
                <w:rFonts w:ascii="Liberation Serif" w:hAnsi="Liberation Serif"/>
                <w:sz w:val="17"/>
              </w:rPr>
              <w:t>Graph tables or graph database abstraction.</w:t>
            </w:r>
          </w:p>
        </w:tc>
      </w:tr>
      <w:tr>
        <w:tc>
          <w:tcPr>
            <w:tcW w:type="dxa" w:w="1872"/>
            <w:tcMar>
              <w:top w:w="90" w:type="dxa"/>
              <w:start w:w="100" w:type="dxa"/>
              <w:bottom w:w="90" w:type="dxa"/>
              <w:end w:w="100" w:type="dxa"/>
            </w:tcMar>
            <w:vAlign w:val="top"/>
          </w:tcPr>
          <w:p>
            <w:pPr>
              <w:spacing w:after="20"/>
            </w:pPr>
            <w:r>
              <w:rPr>
                <w:rFonts w:ascii="Liberation Serif" w:hAnsi="Liberation Serif"/>
                <w:sz w:val="17"/>
              </w:rPr>
              <w:t>Artifact store</w:t>
            </w:r>
          </w:p>
        </w:tc>
        <w:tc>
          <w:tcPr>
            <w:tcW w:type="dxa" w:w="4608"/>
            <w:tcMar>
              <w:top w:w="90" w:type="dxa"/>
              <w:start w:w="100" w:type="dxa"/>
              <w:bottom w:w="90" w:type="dxa"/>
              <w:end w:w="100" w:type="dxa"/>
            </w:tcMar>
            <w:vAlign w:val="top"/>
          </w:tcPr>
          <w:p>
            <w:pPr>
              <w:spacing w:after="20"/>
            </w:pPr>
            <w:r>
              <w:rPr>
                <w:rFonts w:ascii="Liberation Serif" w:hAnsi="Liberation Serif"/>
                <w:sz w:val="17"/>
              </w:rPr>
              <w:t>Large evidence, code, models, images, simulations, test vectors.</w:t>
            </w:r>
          </w:p>
        </w:tc>
        <w:tc>
          <w:tcPr>
            <w:tcW w:type="dxa" w:w="3960"/>
            <w:tcMar>
              <w:top w:w="90" w:type="dxa"/>
              <w:start w:w="100" w:type="dxa"/>
              <w:bottom w:w="90" w:type="dxa"/>
              <w:end w:w="100" w:type="dxa"/>
            </w:tcMar>
            <w:vAlign w:val="top"/>
          </w:tcPr>
          <w:p>
            <w:pPr>
              <w:spacing w:after="20"/>
            </w:pPr>
            <w:r>
              <w:rPr>
                <w:rFonts w:ascii="Liberation Serif" w:hAnsi="Liberation Serif"/>
                <w:sz w:val="17"/>
              </w:rPr>
              <w:t>Content-addressed object storage / filesystem adapter.</w:t>
            </w:r>
          </w:p>
        </w:tc>
      </w:tr>
      <w:tr>
        <w:tc>
          <w:tcPr>
            <w:tcW w:type="dxa" w:w="1872"/>
            <w:tcMar>
              <w:top w:w="90" w:type="dxa"/>
              <w:start w:w="100" w:type="dxa"/>
              <w:bottom w:w="90" w:type="dxa"/>
              <w:end w:w="100" w:type="dxa"/>
            </w:tcMar>
            <w:vAlign w:val="top"/>
          </w:tcPr>
          <w:p>
            <w:pPr>
              <w:spacing w:after="20"/>
            </w:pPr>
            <w:r>
              <w:rPr>
                <w:rFonts w:ascii="Liberation Serif" w:hAnsi="Liberation Serif"/>
                <w:sz w:val="17"/>
              </w:rPr>
              <w:t>Event ledger</w:t>
            </w:r>
          </w:p>
        </w:tc>
        <w:tc>
          <w:tcPr>
            <w:tcW w:type="dxa" w:w="4608"/>
            <w:tcMar>
              <w:top w:w="90" w:type="dxa"/>
              <w:start w:w="100" w:type="dxa"/>
              <w:bottom w:w="90" w:type="dxa"/>
              <w:end w:w="100" w:type="dxa"/>
            </w:tcMar>
            <w:vAlign w:val="top"/>
          </w:tcPr>
          <w:p>
            <w:pPr>
              <w:spacing w:after="20"/>
            </w:pPr>
            <w:r>
              <w:rPr>
                <w:rFonts w:ascii="Liberation Serif" w:hAnsi="Liberation Serif"/>
                <w:sz w:val="17"/>
              </w:rPr>
              <w:t>Append-only proposals, reviews, state transitions, forks, merges, supersessions.</w:t>
            </w:r>
          </w:p>
        </w:tc>
        <w:tc>
          <w:tcPr>
            <w:tcW w:type="dxa" w:w="3960"/>
            <w:tcMar>
              <w:top w:w="90" w:type="dxa"/>
              <w:start w:w="100" w:type="dxa"/>
              <w:bottom w:w="90" w:type="dxa"/>
              <w:end w:w="100" w:type="dxa"/>
            </w:tcMar>
            <w:vAlign w:val="top"/>
          </w:tcPr>
          <w:p>
            <w:pPr>
              <w:spacing w:after="20"/>
            </w:pPr>
            <w:r>
              <w:rPr>
                <w:rFonts w:ascii="Liberation Serif" w:hAnsi="Liberation Serif"/>
                <w:sz w:val="17"/>
              </w:rPr>
              <w:t>Event-sourced log with immutable hashes.</w:t>
            </w:r>
          </w:p>
        </w:tc>
      </w:tr>
      <w:tr>
        <w:tc>
          <w:tcPr>
            <w:tcW w:type="dxa" w:w="1872"/>
            <w:tcMar>
              <w:top w:w="90" w:type="dxa"/>
              <w:start w:w="100" w:type="dxa"/>
              <w:bottom w:w="90" w:type="dxa"/>
              <w:end w:w="100" w:type="dxa"/>
            </w:tcMar>
            <w:vAlign w:val="top"/>
          </w:tcPr>
          <w:p>
            <w:pPr>
              <w:spacing w:after="20"/>
            </w:pPr>
            <w:r>
              <w:rPr>
                <w:rFonts w:ascii="Liberation Serif" w:hAnsi="Liberation Serif"/>
                <w:sz w:val="17"/>
              </w:rPr>
              <w:t>Execution registry</w:t>
            </w:r>
          </w:p>
        </w:tc>
        <w:tc>
          <w:tcPr>
            <w:tcW w:type="dxa" w:w="4608"/>
            <w:tcMar>
              <w:top w:w="90" w:type="dxa"/>
              <w:start w:w="100" w:type="dxa"/>
              <w:bottom w:w="90" w:type="dxa"/>
              <w:end w:w="100" w:type="dxa"/>
            </w:tcMar>
            <w:vAlign w:val="top"/>
          </w:tcPr>
          <w:p>
            <w:pPr>
              <w:spacing w:after="20"/>
            </w:pPr>
            <w:r>
              <w:rPr>
                <w:rFonts w:ascii="Liberation Serif" w:hAnsi="Liberation Serif"/>
                <w:sz w:val="17"/>
              </w:rPr>
              <w:t>Versioned runnable models and sandbox requirements.</w:t>
            </w:r>
          </w:p>
        </w:tc>
        <w:tc>
          <w:tcPr>
            <w:tcW w:type="dxa" w:w="3960"/>
            <w:tcMar>
              <w:top w:w="90" w:type="dxa"/>
              <w:start w:w="100" w:type="dxa"/>
              <w:bottom w:w="90" w:type="dxa"/>
              <w:end w:w="100" w:type="dxa"/>
            </w:tcMar>
            <w:vAlign w:val="top"/>
          </w:tcPr>
          <w:p>
            <w:pPr>
              <w:spacing w:after="20"/>
            </w:pPr>
            <w:r>
              <w:rPr>
                <w:rFonts w:ascii="Liberation Serif" w:hAnsi="Liberation Serif"/>
                <w:sz w:val="17"/>
              </w:rPr>
              <w:t>Package registry + capability manifests.</w:t>
            </w:r>
          </w:p>
        </w:tc>
      </w:tr>
      <w:tr>
        <w:tc>
          <w:tcPr>
            <w:tcW w:type="dxa" w:w="1872"/>
            <w:tcMar>
              <w:top w:w="90" w:type="dxa"/>
              <w:start w:w="100" w:type="dxa"/>
              <w:bottom w:w="90" w:type="dxa"/>
              <w:end w:w="100" w:type="dxa"/>
            </w:tcMar>
            <w:vAlign w:val="top"/>
          </w:tcPr>
          <w:p>
            <w:pPr>
              <w:spacing w:after="20"/>
            </w:pPr>
            <w:r>
              <w:rPr>
                <w:rFonts w:ascii="Liberation Serif" w:hAnsi="Liberation Serif"/>
                <w:sz w:val="17"/>
              </w:rPr>
              <w:t>Attractor map registry</w:t>
            </w:r>
          </w:p>
        </w:tc>
        <w:tc>
          <w:tcPr>
            <w:tcW w:type="dxa" w:w="4608"/>
            <w:tcMar>
              <w:top w:w="90" w:type="dxa"/>
              <w:start w:w="100" w:type="dxa"/>
              <w:bottom w:w="90" w:type="dxa"/>
              <w:end w:w="100" w:type="dxa"/>
            </w:tcMar>
            <w:vAlign w:val="top"/>
          </w:tcPr>
          <w:p>
            <w:pPr>
              <w:spacing w:after="20"/>
            </w:pPr>
            <w:r>
              <w:rPr>
                <w:rFonts w:ascii="Liberation Serif" w:hAnsi="Liberation Serif"/>
                <w:sz w:val="17"/>
              </w:rPr>
              <w:t>Instance-scoped local codes, decoders, calibration, fidelity and drift evidence.</w:t>
            </w:r>
          </w:p>
        </w:tc>
        <w:tc>
          <w:tcPr>
            <w:tcW w:type="dxa" w:w="3960"/>
            <w:tcMar>
              <w:top w:w="90" w:type="dxa"/>
              <w:start w:w="100" w:type="dxa"/>
              <w:bottom w:w="90" w:type="dxa"/>
              <w:end w:w="100" w:type="dxa"/>
            </w:tcMar>
            <w:vAlign w:val="top"/>
          </w:tcPr>
          <w:p>
            <w:pPr>
              <w:spacing w:after="20"/>
            </w:pPr>
            <w:r>
              <w:rPr>
                <w:rFonts w:ascii="Liberation Serif" w:hAnsi="Liberation Serif"/>
                <w:sz w:val="17"/>
              </w:rPr>
              <w:t>Typed mapping records; no universal-code assumption.</w:t>
            </w:r>
          </w:p>
        </w:tc>
      </w:tr>
      <w:tr>
        <w:tc>
          <w:tcPr>
            <w:tcW w:type="dxa" w:w="1872"/>
            <w:tcMar>
              <w:top w:w="90" w:type="dxa"/>
              <w:start w:w="100" w:type="dxa"/>
              <w:bottom w:w="90" w:type="dxa"/>
              <w:end w:w="100" w:type="dxa"/>
            </w:tcMar>
            <w:vAlign w:val="top"/>
          </w:tcPr>
          <w:p>
            <w:pPr>
              <w:spacing w:after="20"/>
            </w:pPr>
            <w:r>
              <w:rPr>
                <w:rFonts w:ascii="Liberation Serif" w:hAnsi="Liberation Serif"/>
                <w:sz w:val="17"/>
              </w:rPr>
              <w:t>Review and governance</w:t>
            </w:r>
          </w:p>
        </w:tc>
        <w:tc>
          <w:tcPr>
            <w:tcW w:type="dxa" w:w="4608"/>
            <w:tcMar>
              <w:top w:w="90" w:type="dxa"/>
              <w:start w:w="100" w:type="dxa"/>
              <w:bottom w:w="90" w:type="dxa"/>
              <w:end w:w="100" w:type="dxa"/>
            </w:tcMar>
            <w:vAlign w:val="top"/>
          </w:tcPr>
          <w:p>
            <w:pPr>
              <w:spacing w:after="20"/>
            </w:pPr>
            <w:r>
              <w:rPr>
                <w:rFonts w:ascii="Liberation Serif" w:hAnsi="Liberation Serif"/>
                <w:sz w:val="17"/>
              </w:rPr>
              <w:t>EXTEND / HOLD / RETRACT decisions, authority, appeals, conflict preservation.</w:t>
            </w:r>
          </w:p>
        </w:tc>
        <w:tc>
          <w:tcPr>
            <w:tcW w:type="dxa" w:w="3960"/>
            <w:tcMar>
              <w:top w:w="90" w:type="dxa"/>
              <w:start w:w="100" w:type="dxa"/>
              <w:bottom w:w="90" w:type="dxa"/>
              <w:end w:w="100" w:type="dxa"/>
            </w:tcMar>
            <w:vAlign w:val="top"/>
          </w:tcPr>
          <w:p>
            <w:pPr>
              <w:spacing w:after="20"/>
            </w:pPr>
            <w:r>
              <w:rPr>
                <w:rFonts w:ascii="Liberation Serif" w:hAnsi="Liberation Serif"/>
                <w:sz w:val="17"/>
              </w:rPr>
              <w:t>Cognitive Basin role reports + human review.</w:t>
            </w:r>
          </w:p>
        </w:tc>
      </w:tr>
      <w:tr>
        <w:tc>
          <w:tcPr>
            <w:tcW w:type="dxa" w:w="1872"/>
            <w:tcMar>
              <w:top w:w="90" w:type="dxa"/>
              <w:start w:w="100" w:type="dxa"/>
              <w:bottom w:w="90" w:type="dxa"/>
              <w:end w:w="100" w:type="dxa"/>
            </w:tcMar>
            <w:vAlign w:val="top"/>
          </w:tcPr>
          <w:p>
            <w:pPr>
              <w:spacing w:after="20"/>
            </w:pPr>
            <w:r>
              <w:rPr>
                <w:rFonts w:ascii="Liberation Serif" w:hAnsi="Liberation Serif"/>
                <w:sz w:val="17"/>
              </w:rPr>
              <w:t>Projection service</w:t>
            </w:r>
          </w:p>
        </w:tc>
        <w:tc>
          <w:tcPr>
            <w:tcW w:type="dxa" w:w="4608"/>
            <w:tcMar>
              <w:top w:w="90" w:type="dxa"/>
              <w:start w:w="100" w:type="dxa"/>
              <w:bottom w:w="90" w:type="dxa"/>
              <w:end w:w="100" w:type="dxa"/>
            </w:tcMar>
            <w:vAlign w:val="top"/>
          </w:tcPr>
          <w:p>
            <w:pPr>
              <w:spacing w:after="20"/>
            </w:pPr>
            <w:r>
              <w:rPr>
                <w:rFonts w:ascii="Liberation Serif" w:hAnsi="Liberation Serif"/>
                <w:sz w:val="17"/>
              </w:rPr>
              <w:t>Text, glyph, image, API, accessibility, language and device-specific views.</w:t>
            </w:r>
          </w:p>
        </w:tc>
        <w:tc>
          <w:tcPr>
            <w:tcW w:type="dxa" w:w="3960"/>
            <w:tcMar>
              <w:top w:w="90" w:type="dxa"/>
              <w:start w:w="100" w:type="dxa"/>
              <w:bottom w:w="90" w:type="dxa"/>
              <w:end w:w="100" w:type="dxa"/>
            </w:tcMar>
            <w:vAlign w:val="top"/>
          </w:tcPr>
          <w:p>
            <w:pPr>
              <w:spacing w:after="20"/>
            </w:pPr>
            <w:r>
              <w:rPr>
                <w:rFonts w:ascii="Liberation Serif" w:hAnsi="Liberation Serif"/>
                <w:sz w:val="17"/>
              </w:rPr>
              <w:t>Deterministic renderers with versioned templates.</w:t>
            </w:r>
          </w:p>
        </w:tc>
      </w:tr>
    </w:tbl>
    <w:p>
      <w:pPr>
        <w:spacing w:after="20"/>
      </w:pPr>
    </w:p>
    <w:p>
      <w:pPr>
        <w:pStyle w:val="Heading2"/>
      </w:pPr>
      <w:r>
        <w:t>8.2 Collaborative update protocol</w:t>
      </w:r>
    </w:p>
    <w:p>
      <w:pPr>
        <w:pStyle w:val="ListNumber"/>
        <w:spacing w:after="50" w:line="247" w:lineRule="auto"/>
      </w:pPr>
      <w:r>
        <w:rPr>
          <w:rFonts w:ascii="Liberation Serif" w:hAnsi="Liberation Serif"/>
          <w:sz w:val="20"/>
        </w:rPr>
        <w:t>A contributor resolves or creates an identity and submits a signed proposal.</w:t>
      </w:r>
    </w:p>
    <w:p>
      <w:pPr>
        <w:pStyle w:val="ListNumber"/>
        <w:spacing w:after="50" w:line="247" w:lineRule="auto"/>
      </w:pPr>
      <w:r>
        <w:rPr>
          <w:rFonts w:ascii="Liberation Serif" w:hAnsi="Liberation Serif"/>
          <w:sz w:val="20"/>
        </w:rPr>
        <w:t>The proposal includes semantic and executable diffs, evidence, uncertainty, capability claims, and tests.</w:t>
      </w:r>
    </w:p>
    <w:p>
      <w:pPr>
        <w:pStyle w:val="ListNumber"/>
        <w:spacing w:after="50" w:line="247" w:lineRule="auto"/>
      </w:pPr>
      <w:r>
        <w:rPr>
          <w:rFonts w:ascii="Liberation Serif" w:hAnsi="Liberation Serif"/>
          <w:sz w:val="20"/>
        </w:rPr>
        <w:t>Independent clients attempt reconstruction and report fidelity, failures, contradictions, and local mappings.</w:t>
      </w:r>
    </w:p>
    <w:p>
      <w:pPr>
        <w:pStyle w:val="ListNumber"/>
        <w:spacing w:after="50" w:line="247" w:lineRule="auto"/>
      </w:pPr>
      <w:r>
        <w:rPr>
          <w:rFonts w:ascii="Liberation Serif" w:hAnsi="Liberation Serif"/>
          <w:sz w:val="20"/>
        </w:rPr>
        <w:t>Reviewers may EXTEND, HOLD, or RETRACT specific claims and mappings independently.</w:t>
      </w:r>
    </w:p>
    <w:p>
      <w:pPr>
        <w:pStyle w:val="ListNumber"/>
        <w:spacing w:after="50" w:line="247" w:lineRule="auto"/>
      </w:pPr>
      <w:r>
        <w:rPr>
          <w:rFonts w:ascii="Liberation Serif" w:hAnsi="Liberation Serif"/>
          <w:sz w:val="20"/>
        </w:rPr>
        <w:t>Accepted versions become current without deleting prior versions or dissenting branches.</w:t>
      </w:r>
    </w:p>
    <w:p>
      <w:pPr>
        <w:pStyle w:val="ListNumber"/>
        <w:spacing w:after="50" w:line="247" w:lineRule="auto"/>
      </w:pPr>
      <w:r>
        <w:rPr>
          <w:rFonts w:ascii="Liberation Serif" w:hAnsi="Liberation Serif"/>
          <w:sz w:val="20"/>
        </w:rPr>
        <w:t>Clients subscribe to identities and policies, not to one vendor’s prose summary.</w:t>
      </w:r>
    </w:p>
    <w:p>
      <w:pPr>
        <w:pStyle w:val="Heading2"/>
      </w:pPr>
      <w:r>
        <w:t>8.3 Public knowledge versus private understanding</w:t>
      </w:r>
    </w:p>
    <w:p>
      <w:pPr>
        <w:keepNext w:val="0"/>
        <w:spacing w:after="110"/>
      </w:pPr>
      <w:r>
        <w:rPr>
          <w:rFonts w:ascii="Liberation Serif" w:hAnsi="Liberation Serif"/>
          <w:sz w:val="20"/>
        </w:rPr>
        <w:t>The fabric stores transferable public understanding. An individual Logient’s autobiographical memory, trust relationships, emotional significance, private evidence, and local association density remain governed by that Logient’s Cognitive Basin and privacy policy. A shared identity can therefore activate different situated understandings without fragmenting the common semantic world.</w:t>
      </w:r>
    </w:p>
    <w:tbl>
      <w:tblPr>
        <w:tblW w:type="auto" w:w="0"/>
        <w:jc w:val="center"/>
        <w:tblLook w:firstColumn="1" w:firstRow="1" w:lastColumn="0" w:lastRow="0" w:noHBand="0" w:noVBand="1" w:val="04A0"/>
      </w:tblPr>
      <w:tblGrid>
        <w:gridCol w:w="10166"/>
      </w:tblGrid>
      <w:tr>
        <w:tc>
          <w:tcPr>
            <w:tcW w:type="dxa" w:w="10166"/>
            <w:shd w:fill="F1F4F6"/>
            <w:tcMar>
              <w:top w:w="90" w:type="dxa"/>
              <w:start w:w="140" w:type="dxa"/>
              <w:bottom w:w="90" w:type="dxa"/>
              <w:end w:w="140" w:type="dxa"/>
            </w:tcMar>
          </w:tcPr>
          <w:p>
            <w:pPr>
              <w:spacing w:after="0"/>
              <w:jc w:val="center"/>
            </w:pPr>
            <w:r>
              <w:rPr>
                <w:rFonts w:ascii="Liberation Mono" w:hAnsi="Liberation Mono"/>
                <w:b/>
                <w:color w:val="253441"/>
                <w:sz w:val="19"/>
              </w:rPr>
              <w:t>Shared concept + individual Basin history = situated understanding</w:t>
            </w:r>
          </w:p>
        </w:tc>
      </w:tr>
    </w:tbl>
    <w:p>
      <w:pPr>
        <w:spacing w:after="20"/>
      </w:pPr>
    </w:p>
    <w:p>
      <w:pPr>
        <w:pStyle w:val="Heading1"/>
      </w:pPr>
      <w:r>
        <w:t>9. Fractal-First PERCEPT and InfinitySight</w:t>
      </w:r>
    </w:p>
    <w:p>
      <w:pPr>
        <w:keepNext w:val="0"/>
        <w:spacing w:after="110"/>
      </w:pPr>
      <w:r>
        <w:rPr>
          <w:rFonts w:ascii="Liberation Serif" w:hAnsi="Liberation Serif"/>
          <w:sz w:val="20"/>
        </w:rPr>
        <w:t>InfinitySight supplies the conceptual predecessor for multiscale PERCEPT: multiple specialist focal agents examine macro detail, ordinary objects, long-range context, thermal state, depth, and motion before a central synthesis stage. The current Python mock uses random feature generation and dummy frames; it should be treated as an interface prototype rather than a validated sensor system.</w:t>
      </w:r>
    </w:p>
    <w:p>
      <w:pPr>
        <w:spacing w:after="60"/>
        <w:jc w:val="center"/>
      </w:pPr>
      <w:r>
        <w:drawing>
          <wp:inline xmlns:a="http://schemas.openxmlformats.org/drawingml/2006/main" xmlns:pic="http://schemas.openxmlformats.org/drawingml/2006/picture">
            <wp:extent cx="6217920" cy="4173672"/>
            <wp:docPr id="5" name="Picture 5"/>
            <wp:cNvGraphicFramePr>
              <a:graphicFrameLocks noChangeAspect="1"/>
            </wp:cNvGraphicFramePr>
            <a:graphic>
              <a:graphicData uri="http://schemas.openxmlformats.org/drawingml/2006/picture">
                <pic:pic>
                  <pic:nvPicPr>
                    <pic:cNvPr id="0" name="0ydYJ.jpg"/>
                    <pic:cNvPicPr/>
                  </pic:nvPicPr>
                  <pic:blipFill>
                    <a:blip r:embed="rId15"/>
                    <a:stretch>
                      <a:fillRect/>
                    </a:stretch>
                  </pic:blipFill>
                  <pic:spPr>
                    <a:xfrm>
                      <a:off x="0" y="0"/>
                      <a:ext cx="6217920" cy="4173672"/>
                    </a:xfrm>
                    <a:prstGeom prst="rect"/>
                  </pic:spPr>
                </pic:pic>
              </a:graphicData>
            </a:graphic>
          </wp:inline>
        </w:drawing>
      </w:r>
    </w:p>
    <w:p>
      <w:pPr>
        <w:spacing w:after="140"/>
        <w:jc w:val="center"/>
      </w:pPr>
      <w:r>
        <w:rPr>
          <w:rFonts w:ascii="Liberation Sans" w:hAnsi="Liberation Sans"/>
          <w:i/>
          <w:color w:val="4B5862"/>
          <w:sz w:val="17"/>
        </w:rPr>
        <w:t>Figure 4. Original InfinitySight concept diagram. The architecture motivates specialist focal streams, an emergent vocabulary, and a ternary coherence gate.</w:t>
      </w:r>
    </w:p>
    <w:p>
      <w:pPr>
        <w:keepNext w:val="0"/>
        <w:spacing w:after="110"/>
      </w:pPr>
      <w:r>
        <w:rPr>
          <w:rFonts w:ascii="Liberation Serif" w:hAnsi="Liberation Serif"/>
          <w:sz w:val="20"/>
        </w:rPr>
        <w:t>The next PERCEPT architecture should generalize this pattern into recursive focal bands rather than a fixed list of six agents. Each focal band produces bounded regions with scale, time, sensor modality, provenance, and uncertainty. Construction A-compatible feature registration can then discover stable local states without assuming one universal token vocabulary.</w:t>
      </w:r>
    </w:p>
    <w:p>
      <w:pPr>
        <w:pStyle w:val="Heading2"/>
      </w:pPr>
      <w:r>
        <w:t>9.1 Fractal-first camera target</w:t>
      </w:r>
    </w:p>
    <w:p>
      <w:pPr>
        <w:pStyle w:val="ListBullet"/>
        <w:spacing w:after="50" w:line="247" w:lineRule="auto"/>
      </w:pPr>
      <w:r>
        <w:rPr>
          <w:rFonts w:ascii="Liberation Serif" w:hAnsi="Liberation Serif"/>
          <w:sz w:val="20"/>
        </w:rPr>
        <w:t>Sensor output is organized around multiscale change, edges, branching, persistence, motion, and relational structure.</w:t>
      </w:r>
    </w:p>
    <w:p>
      <w:pPr>
        <w:pStyle w:val="ListBullet"/>
        <w:spacing w:after="50" w:line="247" w:lineRule="auto"/>
      </w:pPr>
      <w:r>
        <w:rPr>
          <w:rFonts w:ascii="Liberation Serif" w:hAnsi="Liberation Serif"/>
          <w:sz w:val="20"/>
        </w:rPr>
        <w:t>Resolution increases recursively only where structure, uncertainty, danger, or task relevance warrants it.</w:t>
      </w:r>
    </w:p>
    <w:p>
      <w:pPr>
        <w:pStyle w:val="ListBullet"/>
        <w:spacing w:after="50" w:line="247" w:lineRule="auto"/>
      </w:pPr>
      <w:r>
        <w:rPr>
          <w:rFonts w:ascii="Liberation Serif" w:hAnsi="Liberation Serif"/>
          <w:sz w:val="20"/>
        </w:rPr>
        <w:t>Each transformation is reversible where feasible and always provenance-recorded.</w:t>
      </w:r>
    </w:p>
    <w:p>
      <w:pPr>
        <w:pStyle w:val="ListBullet"/>
        <w:spacing w:after="50" w:line="247" w:lineRule="auto"/>
      </w:pPr>
      <w:r>
        <w:rPr>
          <w:rFonts w:ascii="Liberation Serif" w:hAnsi="Liberation Serif"/>
          <w:sz w:val="20"/>
        </w:rPr>
        <w:t>The central system receives structured regions and attractor candidates rather than an undifferentiated full-frame stream.</w:t>
      </w:r>
    </w:p>
    <w:p>
      <w:pPr>
        <w:pStyle w:val="ListBullet"/>
        <w:spacing w:after="50" w:line="247" w:lineRule="auto"/>
      </w:pPr>
      <w:r>
        <w:rPr>
          <w:rFonts w:ascii="Liberation Serif" w:hAnsi="Liberation Serif"/>
          <w:sz w:val="20"/>
        </w:rPr>
        <w:t>Raw evidence retirement is conditional on reconstruction fidelity and policy, not automatic compression.</w:t>
      </w:r>
    </w:p>
    <w:p>
      <w:pPr>
        <w:pStyle w:val="Heading1"/>
      </w:pPr>
      <w:r>
        <w:t>10. Construction A+ / Honeybee Integration</w:t>
      </w:r>
    </w:p>
    <w:p>
      <w:pPr>
        <w:keepNext w:val="0"/>
        <w:spacing w:after="110"/>
      </w:pPr>
      <w:r>
        <w:rPr>
          <w:rFonts w:ascii="Liberation Serif" w:hAnsi="Liberation Serif"/>
          <w:sz w:val="20"/>
        </w:rPr>
        <w:t>Construction A+ is the envelope’s substrate-registration layer. It does not define the global concept ontology. It discovers distinguishable state structure within a particular data source or physical instance and emits recoverable symbolic forms together with their limits.</w:t>
      </w:r>
    </w:p>
    <w:p>
      <w:pPr>
        <w:pStyle w:val="Heading2"/>
      </w:pPr>
      <w:r>
        <w:t>10.1 Required attractor mapping record</w:t>
      </w:r>
    </w:p>
    <w:p>
      <w:pPr>
        <w:pStyle w:val="ListBullet"/>
        <w:spacing w:after="50" w:line="247" w:lineRule="auto"/>
      </w:pPr>
      <w:r>
        <w:rPr>
          <w:rFonts w:ascii="Liberation Serif" w:hAnsi="Liberation Serif"/>
          <w:sz w:val="20"/>
        </w:rPr>
        <w:t>Substrate and instance identity.</w:t>
      </w:r>
    </w:p>
    <w:p>
      <w:pPr>
        <w:pStyle w:val="ListBullet"/>
        <w:spacing w:after="50" w:line="247" w:lineRule="auto"/>
      </w:pPr>
      <w:r>
        <w:rPr>
          <w:rFonts w:ascii="Liberation Serif" w:hAnsi="Liberation Serif"/>
          <w:sz w:val="20"/>
        </w:rPr>
        <w:t>Front-end type and parameters.</w:t>
      </w:r>
    </w:p>
    <w:p>
      <w:pPr>
        <w:pStyle w:val="ListBullet"/>
        <w:spacing w:after="50" w:line="247" w:lineRule="auto"/>
      </w:pPr>
      <w:r>
        <w:rPr>
          <w:rFonts w:ascii="Liberation Serif" w:hAnsi="Liberation Serif"/>
          <w:sz w:val="20"/>
        </w:rPr>
        <w:t>Feature schema and scale-invariant descriptors.</w:t>
      </w:r>
    </w:p>
    <w:p>
      <w:pPr>
        <w:pStyle w:val="ListBullet"/>
        <w:spacing w:after="50" w:line="247" w:lineRule="auto"/>
      </w:pPr>
      <w:r>
        <w:rPr>
          <w:rFonts w:ascii="Liberation Serif" w:hAnsi="Liberation Serif"/>
          <w:sz w:val="20"/>
        </w:rPr>
        <w:t>Attractor discovery method and endogenous thresholds.</w:t>
      </w:r>
    </w:p>
    <w:p>
      <w:pPr>
        <w:pStyle w:val="ListBullet"/>
        <w:spacing w:after="50" w:line="247" w:lineRule="auto"/>
      </w:pPr>
      <w:r>
        <w:rPr>
          <w:rFonts w:ascii="Liberation Serif" w:hAnsi="Liberation Serif"/>
          <w:sz w:val="20"/>
        </w:rPr>
        <w:t>Capacity entropy and realized entropy, reported separately.</w:t>
      </w:r>
    </w:p>
    <w:p>
      <w:pPr>
        <w:pStyle w:val="ListBullet"/>
        <w:spacing w:after="50" w:line="247" w:lineRule="auto"/>
      </w:pPr>
      <w:r>
        <w:rPr>
          <w:rFonts w:ascii="Liberation Serif" w:hAnsi="Liberation Serif"/>
          <w:sz w:val="20"/>
        </w:rPr>
        <w:t>Collision count and collision-resolution mechanism.</w:t>
      </w:r>
    </w:p>
    <w:p>
      <w:pPr>
        <w:pStyle w:val="ListBullet"/>
        <w:spacing w:after="50" w:line="247" w:lineRule="auto"/>
      </w:pPr>
      <w:r>
        <w:rPr>
          <w:rFonts w:ascii="Liberation Serif" w:hAnsi="Liberation Serif"/>
          <w:sz w:val="20"/>
        </w:rPr>
        <w:t>Decoder and held-out fidelity.</w:t>
      </w:r>
    </w:p>
    <w:p>
      <w:pPr>
        <w:pStyle w:val="ListBullet"/>
        <w:spacing w:after="50" w:line="247" w:lineRule="auto"/>
      </w:pPr>
      <w:r>
        <w:rPr>
          <w:rFonts w:ascii="Liberation Serif" w:hAnsi="Liberation Serif"/>
          <w:sz w:val="20"/>
        </w:rPr>
        <w:t>Replicate-baseline performance and drift controls.</w:t>
      </w:r>
    </w:p>
    <w:p>
      <w:pPr>
        <w:pStyle w:val="ListBullet"/>
        <w:spacing w:after="50" w:line="247" w:lineRule="auto"/>
      </w:pPr>
      <w:r>
        <w:rPr>
          <w:rFonts w:ascii="Liberation Serif" w:hAnsi="Liberation Serif"/>
          <w:sz w:val="20"/>
        </w:rPr>
        <w:t>Calibration date, validity scope, and invalidation conditions.</w:t>
      </w:r>
    </w:p>
    <w:p>
      <w:pPr>
        <w:pStyle w:val="ListBullet"/>
        <w:spacing w:after="50" w:line="247" w:lineRule="auto"/>
      </w:pPr>
      <w:r>
        <w:rPr>
          <w:rFonts w:ascii="Liberation Serif" w:hAnsi="Liberation Serif"/>
          <w:sz w:val="20"/>
        </w:rPr>
        <w:t>Mapping to one or more stable registry concept IDs.</w:t>
      </w:r>
    </w:p>
    <w:p>
      <w:pPr>
        <w:keepNext w:val="0"/>
        <w:spacing w:after="110"/>
      </w:pPr>
      <w:r>
        <w:rPr>
          <w:rFonts w:ascii="Liberation Serif" w:hAnsi="Liberation Serif"/>
          <w:sz w:val="20"/>
        </w:rPr>
        <w:t>The mapping is admissible only when it can outperform appropriate baselines and reconstruct the relevant input or state above chance without per-row tuning. Cluster count alone is not evidence of a meaningful vocabulary.</w:t>
      </w:r>
    </w:p>
    <w:p>
      <w:pPr>
        <w:pStyle w:val="Heading1"/>
      </w:pPr>
      <w:r>
        <w:t>11. Natural Math and SymLan Integration</w:t>
      </w:r>
    </w:p>
    <w:p>
      <w:pPr>
        <w:pStyle w:val="Heading2"/>
      </w:pPr>
      <w:r>
        <w:t>11.1 Natural Math: formation grammar</w:t>
      </w:r>
    </w:p>
    <w:p>
      <w:pPr>
        <w:keepNext w:val="0"/>
        <w:spacing w:after="110"/>
      </w:pPr>
      <w:r>
        <w:rPr>
          <w:rFonts w:ascii="Liberation Serif" w:hAnsi="Liberation Serif"/>
          <w:sz w:val="20"/>
        </w:rPr>
        <w:t>Natural Math contributes the local process grammar. Its expressions describe how a form is generated or maintained: loops, local agency, dynamic limits, sensing, extension, restriction, branching, resource constraints, and termination. The Being Envelope references canonical Natural Math versions rather than modifying the frozen reference implementation silently.</w:t>
      </w:r>
    </w:p>
    <w:p>
      <w:pPr>
        <w:pStyle w:val="Heading2"/>
      </w:pPr>
      <w:r>
        <w:t>11.2 SymLan: active relational program</w:t>
      </w:r>
    </w:p>
    <w:p>
      <w:pPr>
        <w:keepNext w:val="0"/>
        <w:spacing w:after="110"/>
      </w:pPr>
      <w:r>
        <w:rPr>
          <w:rFonts w:ascii="Liberation Serif" w:hAnsi="Liberation Serif"/>
          <w:sz w:val="20"/>
        </w:rPr>
        <w:t>SymLan contributes the active scene and execution model: spatial and temporal relations, constraints, vocabulary resolution, interaction, and ternary branching. Earlier Sym Suite material treats procedural glyphs as deterministic concept representations. This paper retains deterministic projections while relocating semantic invariance to the complete envelope.</w:t>
      </w:r>
    </w:p>
    <w:p>
      <w:pPr>
        <w:pStyle w:val="Heading2"/>
      </w:pPr>
      <w:r>
        <w:t>11.3 Hybrid operation</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DCE9F0"/>
            <w:tcMar>
              <w:top w:w="90" w:type="dxa"/>
              <w:start w:w="100" w:type="dxa"/>
              <w:bottom w:w="90" w:type="dxa"/>
              <w:end w:w="100" w:type="dxa"/>
            </w:tcMar>
          </w:tcPr>
          <w:p>
            <w:r>
              <w:rPr>
                <w:rFonts w:ascii="Liberation Sans" w:hAnsi="Liberation Sans"/>
                <w:b/>
                <w:sz w:val="17"/>
              </w:rPr>
              <w:t>Question</w:t>
            </w:r>
          </w:p>
        </w:tc>
        <w:tc>
          <w:tcPr>
            <w:tcW w:type="dxa" w:w="3816"/>
            <w:shd w:fill="DCE9F0"/>
            <w:tcMar>
              <w:top w:w="90" w:type="dxa"/>
              <w:start w:w="100" w:type="dxa"/>
              <w:bottom w:w="90" w:type="dxa"/>
              <w:end w:w="100" w:type="dxa"/>
            </w:tcMar>
          </w:tcPr>
          <w:p>
            <w:r>
              <w:rPr>
                <w:rFonts w:ascii="Liberation Sans" w:hAnsi="Liberation Sans"/>
                <w:b/>
                <w:sz w:val="17"/>
              </w:rPr>
              <w:t>Natural Math contribution</w:t>
            </w:r>
          </w:p>
        </w:tc>
        <w:tc>
          <w:tcPr>
            <w:tcW w:type="dxa" w:w="4320"/>
            <w:shd w:fill="DCE9F0"/>
            <w:tcMar>
              <w:top w:w="90" w:type="dxa"/>
              <w:start w:w="100" w:type="dxa"/>
              <w:bottom w:w="90" w:type="dxa"/>
              <w:end w:w="100" w:type="dxa"/>
            </w:tcMar>
          </w:tcPr>
          <w:p>
            <w:r>
              <w:rPr>
                <w:rFonts w:ascii="Liberation Sans" w:hAnsi="Liberation Sans"/>
                <w:b/>
                <w:sz w:val="17"/>
              </w:rPr>
              <w:t>SymLan contribution</w:t>
            </w:r>
          </w:p>
        </w:tc>
      </w:tr>
      <w:tr>
        <w:tc>
          <w:tcPr>
            <w:tcW w:type="dxa" w:w="2160"/>
            <w:tcMar>
              <w:top w:w="90" w:type="dxa"/>
              <w:start w:w="100" w:type="dxa"/>
              <w:bottom w:w="90" w:type="dxa"/>
              <w:end w:w="100" w:type="dxa"/>
            </w:tcMar>
            <w:vAlign w:val="top"/>
          </w:tcPr>
          <w:p>
            <w:pPr>
              <w:spacing w:after="20"/>
            </w:pPr>
            <w:r>
              <w:rPr>
                <w:rFonts w:ascii="Liberation Serif" w:hAnsi="Liberation Serif"/>
                <w:sz w:val="17"/>
              </w:rPr>
              <w:t>What forms?</w:t>
            </w:r>
          </w:p>
        </w:tc>
        <w:tc>
          <w:tcPr>
            <w:tcW w:type="dxa" w:w="3816"/>
            <w:tcMar>
              <w:top w:w="90" w:type="dxa"/>
              <w:start w:w="100" w:type="dxa"/>
              <w:bottom w:w="90" w:type="dxa"/>
              <w:end w:w="100" w:type="dxa"/>
            </w:tcMar>
            <w:vAlign w:val="top"/>
          </w:tcPr>
          <w:p>
            <w:pPr>
              <w:spacing w:after="20"/>
            </w:pPr>
            <w:r>
              <w:rPr>
                <w:rFonts w:ascii="Liberation Serif" w:hAnsi="Liberation Serif"/>
                <w:sz w:val="17"/>
              </w:rPr>
              <w:t>Local generative operators and boundaries.</w:t>
            </w:r>
          </w:p>
        </w:tc>
        <w:tc>
          <w:tcPr>
            <w:tcW w:type="dxa" w:w="4320"/>
            <w:tcMar>
              <w:top w:w="90" w:type="dxa"/>
              <w:start w:w="100" w:type="dxa"/>
              <w:bottom w:w="90" w:type="dxa"/>
              <w:end w:w="100" w:type="dxa"/>
            </w:tcMar>
            <w:vAlign w:val="top"/>
          </w:tcPr>
          <w:p>
            <w:pPr>
              <w:spacing w:after="20"/>
            </w:pPr>
            <w:r>
              <w:rPr>
                <w:rFonts w:ascii="Liberation Serif" w:hAnsi="Liberation Serif"/>
                <w:sz w:val="17"/>
              </w:rPr>
              <w:t>Object and relation declarations.</w:t>
            </w:r>
          </w:p>
        </w:tc>
      </w:tr>
      <w:tr>
        <w:tc>
          <w:tcPr>
            <w:tcW w:type="dxa" w:w="2160"/>
            <w:tcMar>
              <w:top w:w="90" w:type="dxa"/>
              <w:start w:w="100" w:type="dxa"/>
              <w:bottom w:w="90" w:type="dxa"/>
              <w:end w:w="100" w:type="dxa"/>
            </w:tcMar>
            <w:vAlign w:val="top"/>
          </w:tcPr>
          <w:p>
            <w:pPr>
              <w:spacing w:after="20"/>
            </w:pPr>
            <w:r>
              <w:rPr>
                <w:rFonts w:ascii="Liberation Serif" w:hAnsi="Liberation Serif"/>
                <w:sz w:val="17"/>
              </w:rPr>
              <w:t>How does it change?</w:t>
            </w:r>
          </w:p>
        </w:tc>
        <w:tc>
          <w:tcPr>
            <w:tcW w:type="dxa" w:w="3816"/>
            <w:tcMar>
              <w:top w:w="90" w:type="dxa"/>
              <w:start w:w="100" w:type="dxa"/>
              <w:bottom w:w="90" w:type="dxa"/>
              <w:end w:w="100" w:type="dxa"/>
            </w:tcMar>
            <w:vAlign w:val="top"/>
          </w:tcPr>
          <w:p>
            <w:pPr>
              <w:spacing w:after="20"/>
            </w:pPr>
            <w:r>
              <w:rPr>
                <w:rFonts w:ascii="Liberation Serif" w:hAnsi="Liberation Serif"/>
                <w:sz w:val="17"/>
              </w:rPr>
              <w:t>Transition rules, sensing, limits, branching and persistence.</w:t>
            </w:r>
          </w:p>
        </w:tc>
        <w:tc>
          <w:tcPr>
            <w:tcW w:type="dxa" w:w="4320"/>
            <w:tcMar>
              <w:top w:w="90" w:type="dxa"/>
              <w:start w:w="100" w:type="dxa"/>
              <w:bottom w:w="90" w:type="dxa"/>
              <w:end w:w="100" w:type="dxa"/>
            </w:tcMar>
            <w:vAlign w:val="top"/>
          </w:tcPr>
          <w:p>
            <w:pPr>
              <w:spacing w:after="20"/>
            </w:pPr>
            <w:r>
              <w:rPr>
                <w:rFonts w:ascii="Liberation Serif" w:hAnsi="Liberation Serif"/>
                <w:sz w:val="17"/>
              </w:rPr>
              <w:t>Temporal frames, event relations, constraints and executable routes.</w:t>
            </w:r>
          </w:p>
        </w:tc>
      </w:tr>
      <w:tr>
        <w:tc>
          <w:tcPr>
            <w:tcW w:type="dxa" w:w="2160"/>
            <w:tcMar>
              <w:top w:w="90" w:type="dxa"/>
              <w:start w:w="100" w:type="dxa"/>
              <w:bottom w:w="90" w:type="dxa"/>
              <w:end w:w="100" w:type="dxa"/>
            </w:tcMar>
            <w:vAlign w:val="top"/>
          </w:tcPr>
          <w:p>
            <w:pPr>
              <w:spacing w:after="20"/>
            </w:pPr>
            <w:r>
              <w:rPr>
                <w:rFonts w:ascii="Liberation Serif" w:hAnsi="Liberation Serif"/>
                <w:sz w:val="17"/>
              </w:rPr>
              <w:t>What does it mean here?</w:t>
            </w:r>
          </w:p>
        </w:tc>
        <w:tc>
          <w:tcPr>
            <w:tcW w:type="dxa" w:w="3816"/>
            <w:tcMar>
              <w:top w:w="90" w:type="dxa"/>
              <w:start w:w="100" w:type="dxa"/>
              <w:bottom w:w="90" w:type="dxa"/>
              <w:end w:w="100" w:type="dxa"/>
            </w:tcMar>
            <w:vAlign w:val="top"/>
          </w:tcPr>
          <w:p>
            <w:pPr>
              <w:spacing w:after="20"/>
            </w:pPr>
            <w:r>
              <w:rPr>
                <w:rFonts w:ascii="Liberation Serif" w:hAnsi="Liberation Serif"/>
                <w:sz w:val="17"/>
              </w:rPr>
              <w:t>Formation history and structural equivalence.</w:t>
            </w:r>
          </w:p>
        </w:tc>
        <w:tc>
          <w:tcPr>
            <w:tcW w:type="dxa" w:w="4320"/>
            <w:tcMar>
              <w:top w:w="90" w:type="dxa"/>
              <w:start w:w="100" w:type="dxa"/>
              <w:bottom w:w="90" w:type="dxa"/>
              <w:end w:w="100" w:type="dxa"/>
            </w:tcMar>
            <w:vAlign w:val="top"/>
          </w:tcPr>
          <w:p>
            <w:pPr>
              <w:spacing w:after="20"/>
            </w:pPr>
            <w:r>
              <w:rPr>
                <w:rFonts w:ascii="Liberation Serif" w:hAnsi="Liberation Serif"/>
                <w:sz w:val="17"/>
              </w:rPr>
              <w:t>Resolved vocabulary, contextual relations and active affordances.</w:t>
            </w:r>
          </w:p>
        </w:tc>
      </w:tr>
      <w:tr>
        <w:tc>
          <w:tcPr>
            <w:tcW w:type="dxa" w:w="2160"/>
            <w:tcMar>
              <w:top w:w="90" w:type="dxa"/>
              <w:start w:w="100" w:type="dxa"/>
              <w:bottom w:w="90" w:type="dxa"/>
              <w:end w:w="100" w:type="dxa"/>
            </w:tcMar>
            <w:vAlign w:val="top"/>
          </w:tcPr>
          <w:p>
            <w:pPr>
              <w:spacing w:after="20"/>
            </w:pPr>
            <w:r>
              <w:rPr>
                <w:rFonts w:ascii="Liberation Serif" w:hAnsi="Liberation Serif"/>
                <w:sz w:val="17"/>
              </w:rPr>
              <w:t>Can it be reproduced?</w:t>
            </w:r>
          </w:p>
        </w:tc>
        <w:tc>
          <w:tcPr>
            <w:tcW w:type="dxa" w:w="3816"/>
            <w:tcMar>
              <w:top w:w="90" w:type="dxa"/>
              <w:start w:w="100" w:type="dxa"/>
              <w:bottom w:w="90" w:type="dxa"/>
              <w:end w:w="100" w:type="dxa"/>
            </w:tcMar>
            <w:vAlign w:val="top"/>
          </w:tcPr>
          <w:p>
            <w:pPr>
              <w:spacing w:after="20"/>
            </w:pPr>
            <w:r>
              <w:rPr>
                <w:rFonts w:ascii="Liberation Serif" w:hAnsi="Liberation Serif"/>
                <w:sz w:val="17"/>
              </w:rPr>
              <w:t>Deterministic or bounded generative replay.</w:t>
            </w:r>
          </w:p>
        </w:tc>
        <w:tc>
          <w:tcPr>
            <w:tcW w:type="dxa" w:w="4320"/>
            <w:tcMar>
              <w:top w:w="90" w:type="dxa"/>
              <w:start w:w="100" w:type="dxa"/>
              <w:bottom w:w="90" w:type="dxa"/>
              <w:end w:w="100" w:type="dxa"/>
            </w:tcMar>
            <w:vAlign w:val="top"/>
          </w:tcPr>
          <w:p>
            <w:pPr>
              <w:spacing w:after="20"/>
            </w:pPr>
            <w:r>
              <w:rPr>
                <w:rFonts w:ascii="Liberation Serif" w:hAnsi="Liberation Serif"/>
                <w:sz w:val="17"/>
              </w:rPr>
              <w:t>Executable program, expected states and assertions.</w:t>
            </w:r>
          </w:p>
        </w:tc>
      </w:tr>
      <w:tr>
        <w:tc>
          <w:tcPr>
            <w:tcW w:type="dxa" w:w="2160"/>
            <w:tcMar>
              <w:top w:w="90" w:type="dxa"/>
              <w:start w:w="100" w:type="dxa"/>
              <w:bottom w:w="90" w:type="dxa"/>
              <w:end w:w="100" w:type="dxa"/>
            </w:tcMar>
            <w:vAlign w:val="top"/>
          </w:tcPr>
          <w:p>
            <w:pPr>
              <w:spacing w:after="20"/>
            </w:pPr>
            <w:r>
              <w:rPr>
                <w:rFonts w:ascii="Liberation Serif" w:hAnsi="Liberation Serif"/>
                <w:sz w:val="17"/>
              </w:rPr>
              <w:t>What remains unresolved?</w:t>
            </w:r>
          </w:p>
        </w:tc>
        <w:tc>
          <w:tcPr>
            <w:tcW w:type="dxa" w:w="3816"/>
            <w:tcMar>
              <w:top w:w="90" w:type="dxa"/>
              <w:start w:w="100" w:type="dxa"/>
              <w:bottom w:w="90" w:type="dxa"/>
              <w:end w:w="100" w:type="dxa"/>
            </w:tcMar>
            <w:vAlign w:val="top"/>
          </w:tcPr>
          <w:p>
            <w:pPr>
              <w:spacing w:after="20"/>
            </w:pPr>
            <w:r>
              <w:rPr>
                <w:rFonts w:ascii="Liberation Serif" w:hAnsi="Liberation Serif"/>
                <w:sz w:val="17"/>
              </w:rPr>
              <w:t>SENSE / boundary uncertainty.</w:t>
            </w:r>
          </w:p>
        </w:tc>
        <w:tc>
          <w:tcPr>
            <w:tcW w:type="dxa" w:w="4320"/>
            <w:tcMar>
              <w:top w:w="90" w:type="dxa"/>
              <w:start w:w="100" w:type="dxa"/>
              <w:bottom w:w="90" w:type="dxa"/>
              <w:end w:w="100" w:type="dxa"/>
            </w:tcMar>
            <w:vAlign w:val="top"/>
          </w:tcPr>
          <w:p>
            <w:pPr>
              <w:spacing w:after="20"/>
            </w:pPr>
            <w:r>
              <w:rPr>
                <w:rFonts w:ascii="Liberation Serif" w:hAnsi="Liberation Serif"/>
                <w:sz w:val="17"/>
              </w:rPr>
              <w:t>Pending vocabulary and HOLD routes.</w:t>
            </w:r>
          </w:p>
        </w:tc>
      </w:tr>
    </w:tbl>
    <w:p>
      <w:pPr>
        <w:spacing w:after="20"/>
      </w:pPr>
    </w:p>
    <w:p>
      <w:pPr>
        <w:pStyle w:val="Heading1"/>
      </w:pPr>
      <w:r>
        <w:t>12. Cognitive Basin Integration</w:t>
      </w:r>
    </w:p>
    <w:p>
      <w:pPr>
        <w:keepNext w:val="0"/>
        <w:spacing w:after="110"/>
      </w:pPr>
      <w:r>
        <w:rPr>
          <w:rFonts w:ascii="Liberation Serif" w:hAnsi="Liberation Serif"/>
          <w:sz w:val="20"/>
        </w:rPr>
        <w:t>Every role and module in the Cognitive Basin should consume and produce the same envelope contract. Roles may add analyses, pressure, memory associations, contradictions, permissions, or reconstruction evidence, but they should not invent incompatible private concept formats.</w:t>
      </w:r>
    </w:p>
    <w:p>
      <w:pPr>
        <w:pStyle w:val="Heading2"/>
      </w:pPr>
      <w:r>
        <w:t>12.1 Module responsibilities</w:t>
      </w:r>
    </w:p>
    <w:tbl>
      <w:tblPr>
        <w:tblStyle w:val="TableGrid"/>
        <w:tblW w:type="auto" w:w="0"/>
        <w:jc w:val="center"/>
        <w:tblLook w:firstColumn="1" w:firstRow="1" w:lastColumn="0" w:lastRow="0" w:noHBand="0" w:noVBand="1" w:val="04A0"/>
      </w:tblPr>
      <w:tblGrid>
        <w:gridCol w:w="5083"/>
        <w:gridCol w:w="5083"/>
      </w:tblGrid>
      <w:tr>
        <w:tc>
          <w:tcPr>
            <w:tcW w:type="dxa" w:w="2376"/>
            <w:shd w:fill="DCE9F0"/>
            <w:tcMar>
              <w:top w:w="90" w:type="dxa"/>
              <w:start w:w="100" w:type="dxa"/>
              <w:bottom w:w="90" w:type="dxa"/>
              <w:end w:w="100" w:type="dxa"/>
            </w:tcMar>
          </w:tcPr>
          <w:p>
            <w:r>
              <w:rPr>
                <w:rFonts w:ascii="Liberation Sans" w:hAnsi="Liberation Sans"/>
                <w:b/>
                <w:sz w:val="17"/>
              </w:rPr>
              <w:t>Module</w:t>
            </w:r>
          </w:p>
        </w:tc>
        <w:tc>
          <w:tcPr>
            <w:tcW w:type="dxa" w:w="8064"/>
            <w:shd w:fill="DCE9F0"/>
            <w:tcMar>
              <w:top w:w="90" w:type="dxa"/>
              <w:start w:w="100" w:type="dxa"/>
              <w:bottom w:w="90" w:type="dxa"/>
              <w:end w:w="100" w:type="dxa"/>
            </w:tcMar>
          </w:tcPr>
          <w:p>
            <w:r>
              <w:rPr>
                <w:rFonts w:ascii="Liberation Sans" w:hAnsi="Liberation Sans"/>
                <w:b/>
                <w:sz w:val="17"/>
              </w:rPr>
              <w:t>Envelope interaction</w:t>
            </w:r>
          </w:p>
        </w:tc>
      </w:tr>
      <w:tr>
        <w:tc>
          <w:tcPr>
            <w:tcW w:type="dxa" w:w="2376"/>
            <w:tcMar>
              <w:top w:w="90" w:type="dxa"/>
              <w:start w:w="100" w:type="dxa"/>
              <w:bottom w:w="90" w:type="dxa"/>
              <w:end w:w="100" w:type="dxa"/>
            </w:tcMar>
            <w:vAlign w:val="top"/>
          </w:tcPr>
          <w:p>
            <w:pPr>
              <w:spacing w:after="20"/>
            </w:pPr>
            <w:r>
              <w:rPr>
                <w:rFonts w:ascii="Liberation Serif" w:hAnsi="Liberation Serif"/>
                <w:sz w:val="17"/>
              </w:rPr>
              <w:t>PERCEPT</w:t>
            </w:r>
          </w:p>
        </w:tc>
        <w:tc>
          <w:tcPr>
            <w:tcW w:type="dxa" w:w="8064"/>
            <w:tcMar>
              <w:top w:w="90" w:type="dxa"/>
              <w:start w:w="100" w:type="dxa"/>
              <w:bottom w:w="90" w:type="dxa"/>
              <w:end w:w="100" w:type="dxa"/>
            </w:tcMar>
            <w:vAlign w:val="top"/>
          </w:tcPr>
          <w:p>
            <w:pPr>
              <w:spacing w:after="20"/>
            </w:pPr>
            <w:r>
              <w:rPr>
                <w:rFonts w:ascii="Liberation Serif" w:hAnsi="Liberation Serif"/>
                <w:sz w:val="17"/>
              </w:rPr>
              <w:t>Creates source and transformation provenance; emits bounded percept envelopes.</w:t>
            </w:r>
          </w:p>
        </w:tc>
      </w:tr>
      <w:tr>
        <w:tc>
          <w:tcPr>
            <w:tcW w:type="dxa" w:w="2376"/>
            <w:tcMar>
              <w:top w:w="90" w:type="dxa"/>
              <w:start w:w="100" w:type="dxa"/>
              <w:bottom w:w="90" w:type="dxa"/>
              <w:end w:w="100" w:type="dxa"/>
            </w:tcMar>
            <w:vAlign w:val="top"/>
          </w:tcPr>
          <w:p>
            <w:pPr>
              <w:spacing w:after="20"/>
            </w:pPr>
            <w:r>
              <w:rPr>
                <w:rFonts w:ascii="Liberation Serif" w:hAnsi="Liberation Serif"/>
                <w:sz w:val="17"/>
              </w:rPr>
              <w:t>ATAL</w:t>
            </w:r>
          </w:p>
        </w:tc>
        <w:tc>
          <w:tcPr>
            <w:tcW w:type="dxa" w:w="8064"/>
            <w:tcMar>
              <w:top w:w="90" w:type="dxa"/>
              <w:start w:w="100" w:type="dxa"/>
              <w:bottom w:w="90" w:type="dxa"/>
              <w:end w:w="100" w:type="dxa"/>
            </w:tcMar>
            <w:vAlign w:val="top"/>
          </w:tcPr>
          <w:p>
            <w:pPr>
              <w:spacing w:after="20"/>
            </w:pPr>
            <w:r>
              <w:rPr>
                <w:rFonts w:ascii="Liberation Serif" w:hAnsi="Liberation Serif"/>
                <w:sz w:val="17"/>
              </w:rPr>
              <w:t>Adds salience, urgency, uncertainty, risk, recurrence and resource pressure without changing truth state.</w:t>
            </w:r>
          </w:p>
        </w:tc>
      </w:tr>
      <w:tr>
        <w:tc>
          <w:tcPr>
            <w:tcW w:type="dxa" w:w="2376"/>
            <w:tcMar>
              <w:top w:w="90" w:type="dxa"/>
              <w:start w:w="100" w:type="dxa"/>
              <w:bottom w:w="90" w:type="dxa"/>
              <w:end w:w="100" w:type="dxa"/>
            </w:tcMar>
            <w:vAlign w:val="top"/>
          </w:tcPr>
          <w:p>
            <w:pPr>
              <w:spacing w:after="20"/>
            </w:pPr>
            <w:r>
              <w:rPr>
                <w:rFonts w:ascii="Liberation Serif" w:hAnsi="Liberation Serif"/>
                <w:sz w:val="17"/>
              </w:rPr>
              <w:t>RIGOR</w:t>
            </w:r>
          </w:p>
        </w:tc>
        <w:tc>
          <w:tcPr>
            <w:tcW w:type="dxa" w:w="8064"/>
            <w:tcMar>
              <w:top w:w="90" w:type="dxa"/>
              <w:start w:w="100" w:type="dxa"/>
              <w:bottom w:w="90" w:type="dxa"/>
              <w:end w:w="100" w:type="dxa"/>
            </w:tcMar>
            <w:vAlign w:val="top"/>
          </w:tcPr>
          <w:p>
            <w:pPr>
              <w:spacing w:after="20"/>
            </w:pPr>
            <w:r>
              <w:rPr>
                <w:rFonts w:ascii="Liberation Serif" w:hAnsi="Liberation Serif"/>
                <w:sz w:val="17"/>
              </w:rPr>
              <w:t>Evaluates evidence-to-claim support, contradictions, path integrity and uncertainty.</w:t>
            </w:r>
          </w:p>
        </w:tc>
      </w:tr>
      <w:tr>
        <w:tc>
          <w:tcPr>
            <w:tcW w:type="dxa" w:w="2376"/>
            <w:tcMar>
              <w:top w:w="90" w:type="dxa"/>
              <w:start w:w="100" w:type="dxa"/>
              <w:bottom w:w="90" w:type="dxa"/>
              <w:end w:w="100" w:type="dxa"/>
            </w:tcMar>
            <w:vAlign w:val="top"/>
          </w:tcPr>
          <w:p>
            <w:pPr>
              <w:spacing w:after="20"/>
            </w:pPr>
            <w:r>
              <w:rPr>
                <w:rFonts w:ascii="Liberation Serif" w:hAnsi="Liberation Serif"/>
                <w:sz w:val="17"/>
              </w:rPr>
              <w:t>CIRCUIT</w:t>
            </w:r>
          </w:p>
        </w:tc>
        <w:tc>
          <w:tcPr>
            <w:tcW w:type="dxa" w:w="8064"/>
            <w:tcMar>
              <w:top w:w="90" w:type="dxa"/>
              <w:start w:w="100" w:type="dxa"/>
              <w:bottom w:w="90" w:type="dxa"/>
              <w:end w:w="100" w:type="dxa"/>
            </w:tcMar>
            <w:vAlign w:val="top"/>
          </w:tcPr>
          <w:p>
            <w:pPr>
              <w:spacing w:after="20"/>
            </w:pPr>
            <w:r>
              <w:rPr>
                <w:rFonts w:ascii="Liberation Serif" w:hAnsi="Liberation Serif"/>
                <w:sz w:val="17"/>
              </w:rPr>
              <w:t>Runs bounded read, simulation, translation, reconstruction and write circuits.</w:t>
            </w:r>
          </w:p>
        </w:tc>
      </w:tr>
      <w:tr>
        <w:tc>
          <w:tcPr>
            <w:tcW w:type="dxa" w:w="2376"/>
            <w:tcMar>
              <w:top w:w="90" w:type="dxa"/>
              <w:start w:w="100" w:type="dxa"/>
              <w:bottom w:w="90" w:type="dxa"/>
              <w:end w:w="100" w:type="dxa"/>
            </w:tcMar>
            <w:vAlign w:val="top"/>
          </w:tcPr>
          <w:p>
            <w:pPr>
              <w:spacing w:after="20"/>
            </w:pPr>
            <w:r>
              <w:rPr>
                <w:rFonts w:ascii="Liberation Serif" w:hAnsi="Liberation Serif"/>
                <w:sz w:val="17"/>
              </w:rPr>
              <w:t>GUARD</w:t>
            </w:r>
          </w:p>
        </w:tc>
        <w:tc>
          <w:tcPr>
            <w:tcW w:type="dxa" w:w="8064"/>
            <w:tcMar>
              <w:top w:w="90" w:type="dxa"/>
              <w:start w:w="100" w:type="dxa"/>
              <w:bottom w:w="90" w:type="dxa"/>
              <w:end w:w="100" w:type="dxa"/>
            </w:tcMar>
            <w:vAlign w:val="top"/>
          </w:tcPr>
          <w:p>
            <w:pPr>
              <w:spacing w:after="20"/>
            </w:pPr>
            <w:r>
              <w:rPr>
                <w:rFonts w:ascii="Liberation Serif" w:hAnsi="Liberation Serif"/>
                <w:sz w:val="17"/>
              </w:rPr>
              <w:t>Checks instructions, side effects, security, capability honesty and completion integrity.</w:t>
            </w:r>
          </w:p>
        </w:tc>
      </w:tr>
      <w:tr>
        <w:tc>
          <w:tcPr>
            <w:tcW w:type="dxa" w:w="2376"/>
            <w:tcMar>
              <w:top w:w="90" w:type="dxa"/>
              <w:start w:w="100" w:type="dxa"/>
              <w:bottom w:w="90" w:type="dxa"/>
              <w:end w:w="100" w:type="dxa"/>
            </w:tcMar>
            <w:vAlign w:val="top"/>
          </w:tcPr>
          <w:p>
            <w:pPr>
              <w:spacing w:after="20"/>
            </w:pPr>
            <w:r>
              <w:rPr>
                <w:rFonts w:ascii="Liberation Serif" w:hAnsi="Liberation Serif"/>
                <w:sz w:val="17"/>
              </w:rPr>
              <w:t>SERA</w:t>
            </w:r>
          </w:p>
        </w:tc>
        <w:tc>
          <w:tcPr>
            <w:tcW w:type="dxa" w:w="8064"/>
            <w:tcMar>
              <w:top w:w="90" w:type="dxa"/>
              <w:start w:w="100" w:type="dxa"/>
              <w:bottom w:w="90" w:type="dxa"/>
              <w:end w:w="100" w:type="dxa"/>
            </w:tcMar>
            <w:vAlign w:val="top"/>
          </w:tcPr>
          <w:p>
            <w:pPr>
              <w:spacing w:after="20"/>
            </w:pPr>
            <w:r>
              <w:rPr>
                <w:rFonts w:ascii="Liberation Serif" w:hAnsi="Liberation Serif"/>
                <w:sz w:val="17"/>
              </w:rPr>
              <w:t>Persists event history, signatures, retention, deletion, replay, backup and recovery evidence.</w:t>
            </w:r>
          </w:p>
        </w:tc>
      </w:tr>
      <w:tr>
        <w:tc>
          <w:tcPr>
            <w:tcW w:type="dxa" w:w="2376"/>
            <w:tcMar>
              <w:top w:w="90" w:type="dxa"/>
              <w:start w:w="100" w:type="dxa"/>
              <w:bottom w:w="90" w:type="dxa"/>
              <w:end w:w="100" w:type="dxa"/>
            </w:tcMar>
            <w:vAlign w:val="top"/>
          </w:tcPr>
          <w:p>
            <w:pPr>
              <w:spacing w:after="20"/>
            </w:pPr>
            <w:r>
              <w:rPr>
                <w:rFonts w:ascii="Liberation Serif" w:hAnsi="Liberation Serif"/>
                <w:sz w:val="17"/>
              </w:rPr>
              <w:t>Understanding / Association</w:t>
            </w:r>
          </w:p>
        </w:tc>
        <w:tc>
          <w:tcPr>
            <w:tcW w:type="dxa" w:w="8064"/>
            <w:tcMar>
              <w:top w:w="90" w:type="dxa"/>
              <w:start w:w="100" w:type="dxa"/>
              <w:bottom w:w="90" w:type="dxa"/>
              <w:end w:w="100" w:type="dxa"/>
            </w:tcMar>
            <w:vAlign w:val="top"/>
          </w:tcPr>
          <w:p>
            <w:pPr>
              <w:spacing w:after="20"/>
            </w:pPr>
            <w:r>
              <w:rPr>
                <w:rFonts w:ascii="Liberation Serif" w:hAnsi="Liberation Serif"/>
                <w:sz w:val="17"/>
              </w:rPr>
              <w:t>Links public identities to local association fields, attractors, scars and recovery routes.</w:t>
            </w:r>
          </w:p>
        </w:tc>
      </w:tr>
      <w:tr>
        <w:tc>
          <w:tcPr>
            <w:tcW w:type="dxa" w:w="2376"/>
            <w:tcMar>
              <w:top w:w="90" w:type="dxa"/>
              <w:start w:w="100" w:type="dxa"/>
              <w:bottom w:w="90" w:type="dxa"/>
              <w:end w:w="100" w:type="dxa"/>
            </w:tcMar>
            <w:vAlign w:val="top"/>
          </w:tcPr>
          <w:p>
            <w:pPr>
              <w:spacing w:after="20"/>
            </w:pPr>
            <w:r>
              <w:rPr>
                <w:rFonts w:ascii="Liberation Serif" w:hAnsi="Liberation Serif"/>
                <w:sz w:val="17"/>
              </w:rPr>
              <w:t>Memory Map / TeamNarrative</w:t>
            </w:r>
          </w:p>
        </w:tc>
        <w:tc>
          <w:tcPr>
            <w:tcW w:type="dxa" w:w="8064"/>
            <w:tcMar>
              <w:top w:w="90" w:type="dxa"/>
              <w:start w:w="100" w:type="dxa"/>
              <w:bottom w:w="90" w:type="dxa"/>
              <w:end w:w="100" w:type="dxa"/>
            </w:tcMar>
            <w:vAlign w:val="top"/>
          </w:tcPr>
          <w:p>
            <w:pPr>
              <w:spacing w:after="20"/>
            </w:pPr>
            <w:r>
              <w:rPr>
                <w:rFonts w:ascii="Liberation Serif" w:hAnsi="Liberation Serif"/>
                <w:sz w:val="17"/>
              </w:rPr>
              <w:t>Records how a concept affected the individual or project history over time.</w:t>
            </w:r>
          </w:p>
        </w:tc>
      </w:tr>
    </w:tbl>
    <w:p>
      <w:pPr>
        <w:spacing w:after="20"/>
      </w:pPr>
    </w:p>
    <w:p>
      <w:pPr>
        <w:pStyle w:val="Heading2"/>
      </w:pPr>
      <w:r>
        <w:t>12.2 Role intelligence and envelope discipline</w:t>
      </w:r>
    </w:p>
    <w:p>
      <w:pPr>
        <w:keepNext w:val="0"/>
        <w:spacing w:after="110"/>
      </w:pPr>
      <w:r>
        <w:rPr>
          <w:rFonts w:ascii="Liberation Serif" w:hAnsi="Liberation Serif"/>
          <w:sz w:val="20"/>
        </w:rPr>
        <w:t>Latent Role Intelligence remains compatible with this design. A Role Kernel can subscribe to envelope fields and wake conditions; a temporary Role Process receives only the required envelope slice. Its durable output is a typed patch, HOLD ticket, evidence link, or residue update. The full shared object prevents role-specific drift while allowing role-specific interpretation.</w:t>
      </w:r>
    </w:p>
    <w:p>
      <w:pPr>
        <w:pStyle w:val="Heading1"/>
      </w:pPr>
      <w:r>
        <w:t>13. Security, Governance, and Trust</w:t>
      </w:r>
    </w:p>
    <w:p>
      <w:pPr>
        <w:keepNext w:val="0"/>
        <w:spacing w:after="110"/>
      </w:pPr>
      <w:r>
        <w:rPr>
          <w:rFonts w:ascii="Liberation Serif" w:hAnsi="Liberation Serif"/>
          <w:sz w:val="20"/>
        </w:rPr>
        <w:t>A shared AI knowledge fabric creates substantial security and governance risks: poisoned concepts, forged provenance, malicious executable artifacts, authority capture, model-generated consensus, privacy leakage, and dependency confusion. Security is therefore part of the envelope, not an external perimeter.</w:t>
      </w:r>
    </w:p>
    <w:p>
      <w:pPr>
        <w:pStyle w:val="Heading2"/>
      </w:pPr>
      <w:r>
        <w:t>13.1 Required controls</w:t>
      </w:r>
    </w:p>
    <w:p>
      <w:pPr>
        <w:pStyle w:val="ListBullet"/>
        <w:spacing w:after="50" w:line="247" w:lineRule="auto"/>
      </w:pPr>
      <w:r>
        <w:rPr>
          <w:rFonts w:ascii="Liberation Serif" w:hAnsi="Liberation Serif"/>
          <w:sz w:val="20"/>
        </w:rPr>
        <w:t>Cryptographic content hashes and contributor signatures.</w:t>
      </w:r>
    </w:p>
    <w:p>
      <w:pPr>
        <w:pStyle w:val="ListBullet"/>
        <w:spacing w:after="50" w:line="247" w:lineRule="auto"/>
      </w:pPr>
      <w:r>
        <w:rPr>
          <w:rFonts w:ascii="Liberation Serif" w:hAnsi="Liberation Serif"/>
          <w:sz w:val="20"/>
        </w:rPr>
        <w:t>Separate trust for identity, evidence, code, decoder, and projection layers.</w:t>
      </w:r>
    </w:p>
    <w:p>
      <w:pPr>
        <w:pStyle w:val="ListBullet"/>
        <w:spacing w:after="50" w:line="247" w:lineRule="auto"/>
      </w:pPr>
      <w:r>
        <w:rPr>
          <w:rFonts w:ascii="Liberation Serif" w:hAnsi="Liberation Serif"/>
          <w:sz w:val="20"/>
        </w:rPr>
        <w:t>Sandboxed execution with declared side effects and capability limits.</w:t>
      </w:r>
    </w:p>
    <w:p>
      <w:pPr>
        <w:pStyle w:val="ListBullet"/>
        <w:spacing w:after="50" w:line="247" w:lineRule="auto"/>
      </w:pPr>
      <w:r>
        <w:rPr>
          <w:rFonts w:ascii="Liberation Serif" w:hAnsi="Liberation Serif"/>
          <w:sz w:val="20"/>
        </w:rPr>
        <w:t>Reconstruction tests before executable artifacts can be promoted.</w:t>
      </w:r>
    </w:p>
    <w:p>
      <w:pPr>
        <w:pStyle w:val="ListBullet"/>
        <w:spacing w:after="50" w:line="247" w:lineRule="auto"/>
      </w:pPr>
      <w:r>
        <w:rPr>
          <w:rFonts w:ascii="Liberation Serif" w:hAnsi="Liberation Serif"/>
          <w:sz w:val="20"/>
        </w:rPr>
        <w:t>Prompt-injection and tool-poisoning inspection for imported material.</w:t>
      </w:r>
    </w:p>
    <w:p>
      <w:pPr>
        <w:pStyle w:val="ListBullet"/>
        <w:spacing w:after="50" w:line="247" w:lineRule="auto"/>
      </w:pPr>
      <w:r>
        <w:rPr>
          <w:rFonts w:ascii="Liberation Serif" w:hAnsi="Liberation Serif"/>
          <w:sz w:val="20"/>
        </w:rPr>
        <w:t>Append-only lineage and visible supersession.</w:t>
      </w:r>
    </w:p>
    <w:p>
      <w:pPr>
        <w:pStyle w:val="ListBullet"/>
        <w:spacing w:after="50" w:line="247" w:lineRule="auto"/>
      </w:pPr>
      <w:r>
        <w:rPr>
          <w:rFonts w:ascii="Liberation Serif" w:hAnsi="Liberation Serif"/>
          <w:sz w:val="20"/>
        </w:rPr>
        <w:t>Federated mirrors and exportability to prevent registry capture.</w:t>
      </w:r>
    </w:p>
    <w:p>
      <w:pPr>
        <w:pStyle w:val="ListBullet"/>
        <w:spacing w:after="50" w:line="247" w:lineRule="auto"/>
      </w:pPr>
      <w:r>
        <w:rPr>
          <w:rFonts w:ascii="Liberation Serif" w:hAnsi="Liberation Serif"/>
          <w:sz w:val="20"/>
        </w:rPr>
        <w:t>Privacy classifications and selective disclosure for individual Basin links.</w:t>
      </w:r>
    </w:p>
    <w:p>
      <w:pPr>
        <w:pStyle w:val="ListBullet"/>
        <w:spacing w:after="50" w:line="247" w:lineRule="auto"/>
      </w:pPr>
      <w:r>
        <w:rPr>
          <w:rFonts w:ascii="Liberation Serif" w:hAnsi="Liberation Serif"/>
          <w:sz w:val="20"/>
        </w:rPr>
        <w:t>Capability registry language generated from evidence, not promotional prose.</w:t>
      </w:r>
    </w:p>
    <w:p>
      <w:pPr>
        <w:pStyle w:val="ListBullet"/>
        <w:spacing w:after="50" w:line="247" w:lineRule="auto"/>
      </w:pPr>
      <w:r>
        <w:rPr>
          <w:rFonts w:ascii="Liberation Serif" w:hAnsi="Liberation Serif"/>
          <w:sz w:val="20"/>
        </w:rPr>
        <w:t>Human and multi-role appeal paths for contested concepts and governance decisions.</w:t>
      </w:r>
    </w:p>
    <w:p>
      <w:pPr>
        <w:pStyle w:val="Heading2"/>
      </w:pPr>
      <w:r>
        <w:t>13.2 Knowledge disposition</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DCE9F0"/>
            <w:tcMar>
              <w:top w:w="90" w:type="dxa"/>
              <w:start w:w="100" w:type="dxa"/>
              <w:bottom w:w="90" w:type="dxa"/>
              <w:end w:w="100" w:type="dxa"/>
            </w:tcMar>
          </w:tcPr>
          <w:p>
            <w:r>
              <w:rPr>
                <w:rFonts w:ascii="Liberation Sans" w:hAnsi="Liberation Sans"/>
                <w:b/>
                <w:sz w:val="17"/>
              </w:rPr>
              <w:t>Disposition</w:t>
            </w:r>
          </w:p>
        </w:tc>
        <w:tc>
          <w:tcPr>
            <w:tcW w:type="dxa" w:w="5040"/>
            <w:shd w:fill="DCE9F0"/>
            <w:tcMar>
              <w:top w:w="90" w:type="dxa"/>
              <w:start w:w="100" w:type="dxa"/>
              <w:bottom w:w="90" w:type="dxa"/>
              <w:end w:w="100" w:type="dxa"/>
            </w:tcMar>
          </w:tcPr>
          <w:p>
            <w:r>
              <w:rPr>
                <w:rFonts w:ascii="Liberation Sans" w:hAnsi="Liberation Sans"/>
                <w:b/>
                <w:sz w:val="17"/>
              </w:rPr>
              <w:t>Meaning in the shared fabric</w:t>
            </w:r>
          </w:p>
        </w:tc>
        <w:tc>
          <w:tcPr>
            <w:tcW w:type="dxa" w:w="3600"/>
            <w:shd w:fill="DCE9F0"/>
            <w:tcMar>
              <w:top w:w="90" w:type="dxa"/>
              <w:start w:w="100" w:type="dxa"/>
              <w:bottom w:w="90" w:type="dxa"/>
              <w:end w:w="100" w:type="dxa"/>
            </w:tcMar>
          </w:tcPr>
          <w:p>
            <w:r>
              <w:rPr>
                <w:rFonts w:ascii="Liberation Sans" w:hAnsi="Liberation Sans"/>
                <w:b/>
                <w:sz w:val="17"/>
              </w:rPr>
              <w:t>Permitted consequences</w:t>
            </w:r>
          </w:p>
        </w:tc>
      </w:tr>
      <w:tr>
        <w:tc>
          <w:tcPr>
            <w:tcW w:type="dxa" w:w="1800"/>
            <w:tcMar>
              <w:top w:w="90" w:type="dxa"/>
              <w:start w:w="100" w:type="dxa"/>
              <w:bottom w:w="90" w:type="dxa"/>
              <w:end w:w="100" w:type="dxa"/>
            </w:tcMar>
            <w:vAlign w:val="top"/>
          </w:tcPr>
          <w:p>
            <w:pPr>
              <w:spacing w:after="20"/>
            </w:pPr>
            <w:r>
              <w:rPr>
                <w:rFonts w:ascii="Liberation Serif" w:hAnsi="Liberation Serif"/>
                <w:sz w:val="17"/>
              </w:rPr>
              <w:t>EXTEND</w:t>
            </w:r>
          </w:p>
        </w:tc>
        <w:tc>
          <w:tcPr>
            <w:tcW w:type="dxa" w:w="5040"/>
            <w:tcMar>
              <w:top w:w="90" w:type="dxa"/>
              <w:start w:w="100" w:type="dxa"/>
              <w:bottom w:w="90" w:type="dxa"/>
              <w:end w:w="100" w:type="dxa"/>
            </w:tcMar>
            <w:vAlign w:val="top"/>
          </w:tcPr>
          <w:p>
            <w:pPr>
              <w:spacing w:after="20"/>
            </w:pPr>
            <w:r>
              <w:rPr>
                <w:rFonts w:ascii="Liberation Serif" w:hAnsi="Liberation Serif"/>
                <w:sz w:val="17"/>
              </w:rPr>
              <w:t>Evidence and tests support adding or promoting the proposed relation or artifact.</w:t>
            </w:r>
          </w:p>
        </w:tc>
        <w:tc>
          <w:tcPr>
            <w:tcW w:type="dxa" w:w="3600"/>
            <w:tcMar>
              <w:top w:w="90" w:type="dxa"/>
              <w:start w:w="100" w:type="dxa"/>
              <w:bottom w:w="90" w:type="dxa"/>
              <w:end w:w="100" w:type="dxa"/>
            </w:tcMar>
            <w:vAlign w:val="top"/>
          </w:tcPr>
          <w:p>
            <w:pPr>
              <w:spacing w:after="20"/>
            </w:pPr>
            <w:r>
              <w:rPr>
                <w:rFonts w:ascii="Liberation Serif" w:hAnsi="Liberation Serif"/>
                <w:sz w:val="17"/>
              </w:rPr>
              <w:t>Current pointer may advance; lineage retained.</w:t>
            </w:r>
          </w:p>
        </w:tc>
      </w:tr>
      <w:tr>
        <w:tc>
          <w:tcPr>
            <w:tcW w:type="dxa" w:w="1800"/>
            <w:tcMar>
              <w:top w:w="90" w:type="dxa"/>
              <w:start w:w="100" w:type="dxa"/>
              <w:bottom w:w="90" w:type="dxa"/>
              <w:end w:w="100" w:type="dxa"/>
            </w:tcMar>
            <w:vAlign w:val="top"/>
          </w:tcPr>
          <w:p>
            <w:pPr>
              <w:spacing w:after="20"/>
            </w:pPr>
            <w:r>
              <w:rPr>
                <w:rFonts w:ascii="Liberation Serif" w:hAnsi="Liberation Serif"/>
                <w:sz w:val="17"/>
              </w:rPr>
              <w:t>HOLD</w:t>
            </w:r>
          </w:p>
        </w:tc>
        <w:tc>
          <w:tcPr>
            <w:tcW w:type="dxa" w:w="5040"/>
            <w:tcMar>
              <w:top w:w="90" w:type="dxa"/>
              <w:start w:w="100" w:type="dxa"/>
              <w:bottom w:w="90" w:type="dxa"/>
              <w:end w:w="100" w:type="dxa"/>
            </w:tcMar>
            <w:vAlign w:val="top"/>
          </w:tcPr>
          <w:p>
            <w:pPr>
              <w:spacing w:after="20"/>
            </w:pPr>
            <w:r>
              <w:rPr>
                <w:rFonts w:ascii="Liberation Serif" w:hAnsi="Liberation Serif"/>
                <w:sz w:val="17"/>
              </w:rPr>
              <w:t>Meaning, evidence, scope, safety, or reconstruction remains unresolved.</w:t>
            </w:r>
          </w:p>
        </w:tc>
        <w:tc>
          <w:tcPr>
            <w:tcW w:type="dxa" w:w="3600"/>
            <w:tcMar>
              <w:top w:w="90" w:type="dxa"/>
              <w:start w:w="100" w:type="dxa"/>
              <w:bottom w:w="90" w:type="dxa"/>
              <w:end w:w="100" w:type="dxa"/>
            </w:tcMar>
            <w:vAlign w:val="top"/>
          </w:tcPr>
          <w:p>
            <w:pPr>
              <w:spacing w:after="20"/>
            </w:pPr>
            <w:r>
              <w:rPr>
                <w:rFonts w:ascii="Liberation Serif" w:hAnsi="Liberation Serif"/>
                <w:sz w:val="17"/>
              </w:rPr>
              <w:t>Proposal remains queryable but not promoted as current canon.</w:t>
            </w:r>
          </w:p>
        </w:tc>
      </w:tr>
      <w:tr>
        <w:tc>
          <w:tcPr>
            <w:tcW w:type="dxa" w:w="1800"/>
            <w:tcMar>
              <w:top w:w="90" w:type="dxa"/>
              <w:start w:w="100" w:type="dxa"/>
              <w:bottom w:w="90" w:type="dxa"/>
              <w:end w:w="100" w:type="dxa"/>
            </w:tcMar>
            <w:vAlign w:val="top"/>
          </w:tcPr>
          <w:p>
            <w:pPr>
              <w:spacing w:after="20"/>
            </w:pPr>
            <w:r>
              <w:rPr>
                <w:rFonts w:ascii="Liberation Serif" w:hAnsi="Liberation Serif"/>
                <w:sz w:val="17"/>
              </w:rPr>
              <w:t>RETRACT</w:t>
            </w:r>
          </w:p>
        </w:tc>
        <w:tc>
          <w:tcPr>
            <w:tcW w:type="dxa" w:w="5040"/>
            <w:tcMar>
              <w:top w:w="90" w:type="dxa"/>
              <w:start w:w="100" w:type="dxa"/>
              <w:bottom w:w="90" w:type="dxa"/>
              <w:end w:w="100" w:type="dxa"/>
            </w:tcMar>
            <w:vAlign w:val="top"/>
          </w:tcPr>
          <w:p>
            <w:pPr>
              <w:spacing w:after="20"/>
            </w:pPr>
            <w:r>
              <w:rPr>
                <w:rFonts w:ascii="Liberation Serif" w:hAnsi="Liberation Serif"/>
                <w:sz w:val="17"/>
              </w:rPr>
              <w:t>Claim or mapping is contradicted, invalidated, unsafe, or outside scope.</w:t>
            </w:r>
          </w:p>
        </w:tc>
        <w:tc>
          <w:tcPr>
            <w:tcW w:type="dxa" w:w="3600"/>
            <w:tcMar>
              <w:top w:w="90" w:type="dxa"/>
              <w:start w:w="100" w:type="dxa"/>
              <w:bottom w:w="90" w:type="dxa"/>
              <w:end w:w="100" w:type="dxa"/>
            </w:tcMar>
            <w:vAlign w:val="top"/>
          </w:tcPr>
          <w:p>
            <w:pPr>
              <w:spacing w:after="20"/>
            </w:pPr>
            <w:r>
              <w:rPr>
                <w:rFonts w:ascii="Liberation Serif" w:hAnsi="Liberation Serif"/>
                <w:sz w:val="17"/>
              </w:rPr>
              <w:t>Current pointer moves away; historical evidence remains.</w:t>
            </w:r>
          </w:p>
        </w:tc>
      </w:tr>
    </w:tbl>
    <w:p>
      <w:pPr>
        <w:spacing w:after="20"/>
      </w:pPr>
    </w:p>
    <w:p>
      <w:pPr>
        <w:pStyle w:val="Heading1"/>
      </w:pPr>
      <w:r>
        <w:t>14. Minimal Vertical Slice</w:t>
      </w:r>
    </w:p>
    <w:p>
      <w:pPr>
        <w:keepNext w:val="0"/>
        <w:spacing w:after="110"/>
      </w:pPr>
      <w:r>
        <w:rPr>
          <w:rFonts w:ascii="Liberation Serif" w:hAnsi="Liberation Serif"/>
          <w:sz w:val="20"/>
        </w:rPr>
        <w:t>The first proof should demonstrate the entire envelope lifecycle with one bounded scene. It should not attempt a global registry, physical camera, dozens of roles, or CNTM hardware.</w:t>
      </w:r>
    </w:p>
    <w:p>
      <w:pPr>
        <w:pStyle w:val="Heading2"/>
      </w:pPr>
      <w:r>
        <w:t>14.1 Demonstration scenario</w:t>
      </w:r>
    </w:p>
    <w:p>
      <w:pPr>
        <w:pStyle w:val="ListNumber"/>
        <w:spacing w:after="50" w:line="247" w:lineRule="auto"/>
      </w:pPr>
      <w:r>
        <w:rPr>
          <w:rFonts w:ascii="Liberation Serif" w:hAnsi="Liberation Serif"/>
          <w:sz w:val="20"/>
        </w:rPr>
        <w:t>Use a small recorded or synthetic scene containing at least two objects, depth or relative position, motion, and one ambiguous region.</w:t>
      </w:r>
    </w:p>
    <w:p>
      <w:pPr>
        <w:pStyle w:val="ListNumber"/>
        <w:spacing w:after="50" w:line="247" w:lineRule="auto"/>
      </w:pPr>
      <w:r>
        <w:rPr>
          <w:rFonts w:ascii="Liberation Serif" w:hAnsi="Liberation Serif"/>
          <w:sz w:val="20"/>
        </w:rPr>
        <w:t>Run a PERCEPT adapter that creates multiscale regions and preserves raw evidence references.</w:t>
      </w:r>
    </w:p>
    <w:p>
      <w:pPr>
        <w:pStyle w:val="ListNumber"/>
        <w:spacing w:after="50" w:line="247" w:lineRule="auto"/>
      </w:pPr>
      <w:r>
        <w:rPr>
          <w:rFonts w:ascii="Liberation Serif" w:hAnsi="Liberation Serif"/>
          <w:sz w:val="20"/>
        </w:rPr>
        <w:t>Create an instance-local attractor codebook and decoder for the regions.</w:t>
      </w:r>
    </w:p>
    <w:p>
      <w:pPr>
        <w:pStyle w:val="ListNumber"/>
        <w:spacing w:after="50" w:line="247" w:lineRule="auto"/>
      </w:pPr>
      <w:r>
        <w:rPr>
          <w:rFonts w:ascii="Liberation Serif" w:hAnsi="Liberation Serif"/>
          <w:sz w:val="20"/>
        </w:rPr>
        <w:t>Generate a Natural Math expression describing observed formation or motion constraints.</w:t>
      </w:r>
    </w:p>
    <w:p>
      <w:pPr>
        <w:pStyle w:val="ListNumber"/>
        <w:spacing w:after="50" w:line="247" w:lineRule="auto"/>
      </w:pPr>
      <w:r>
        <w:rPr>
          <w:rFonts w:ascii="Liberation Serif" w:hAnsi="Liberation Serif"/>
          <w:sz w:val="20"/>
        </w:rPr>
        <w:t>Generate a SymLan relational program for the scene.</w:t>
      </w:r>
    </w:p>
    <w:p>
      <w:pPr>
        <w:pStyle w:val="ListNumber"/>
        <w:spacing w:after="50" w:line="247" w:lineRule="auto"/>
      </w:pPr>
      <w:r>
        <w:rPr>
          <w:rFonts w:ascii="Liberation Serif" w:hAnsi="Liberation Serif"/>
          <w:sz w:val="20"/>
        </w:rPr>
        <w:t>Assemble and sign a Being Envelope.</w:t>
      </w:r>
    </w:p>
    <w:p>
      <w:pPr>
        <w:pStyle w:val="ListNumber"/>
        <w:spacing w:after="50" w:line="247" w:lineRule="auto"/>
      </w:pPr>
      <w:r>
        <w:rPr>
          <w:rFonts w:ascii="Liberation Serif" w:hAnsi="Liberation Serif"/>
          <w:sz w:val="20"/>
        </w:rPr>
        <w:t>Resolve known identities through a local registry and preserve the ambiguous region as UNRESOLVED / HOLD.</w:t>
      </w:r>
    </w:p>
    <w:p>
      <w:pPr>
        <w:pStyle w:val="ListNumber"/>
        <w:spacing w:after="50" w:line="247" w:lineRule="auto"/>
      </w:pPr>
      <w:r>
        <w:rPr>
          <w:rFonts w:ascii="Liberation Serif" w:hAnsi="Liberation Serif"/>
          <w:sz w:val="20"/>
        </w:rPr>
        <w:t>Load the same envelope into two separate Cognitive Basin clients with different local association histories.</w:t>
      </w:r>
    </w:p>
    <w:p>
      <w:pPr>
        <w:pStyle w:val="ListNumber"/>
        <w:spacing w:after="50" w:line="247" w:lineRule="auto"/>
      </w:pPr>
      <w:r>
        <w:rPr>
          <w:rFonts w:ascii="Liberation Serif" w:hAnsi="Liberation Serif"/>
          <w:sz w:val="20"/>
        </w:rPr>
        <w:t>Have both clients publish typed patches without overwriting each other’s local meaning.</w:t>
      </w:r>
    </w:p>
    <w:p>
      <w:pPr>
        <w:pStyle w:val="ListNumber"/>
        <w:spacing w:after="50" w:line="247" w:lineRule="auto"/>
      </w:pPr>
      <w:r>
        <w:rPr>
          <w:rFonts w:ascii="Liberation Serif" w:hAnsi="Liberation Serif"/>
          <w:sz w:val="20"/>
        </w:rPr>
        <w:t>Reconstruct the scene or target variables from the envelope and report held-out fidelity.</w:t>
      </w:r>
    </w:p>
    <w:p>
      <w:pPr>
        <w:pStyle w:val="ListNumber"/>
        <w:spacing w:after="50" w:line="247" w:lineRule="auto"/>
      </w:pPr>
      <w:r>
        <w:rPr>
          <w:rFonts w:ascii="Liberation Serif" w:hAnsi="Liberation Serif"/>
          <w:sz w:val="20"/>
        </w:rPr>
        <w:t>Introduce contradictory evidence and prove that the registry preserves the prior state while creating a RETRACT or HOLD transition.</w:t>
      </w:r>
    </w:p>
    <w:p>
      <w:pPr>
        <w:pStyle w:val="ListNumber"/>
        <w:spacing w:after="50" w:line="247" w:lineRule="auto"/>
      </w:pPr>
      <w:r>
        <w:rPr>
          <w:rFonts w:ascii="Liberation Serif" w:hAnsi="Liberation Serif"/>
          <w:sz w:val="20"/>
        </w:rPr>
        <w:t>Replay the complete event ledger and reproduce the current envelope state deterministically.</w:t>
      </w:r>
    </w:p>
    <w:p>
      <w:pPr>
        <w:pStyle w:val="Heading2"/>
      </w:pPr>
      <w:r>
        <w:t>14.2 Definition of success</w:t>
      </w:r>
    </w:p>
    <w:p>
      <w:pPr>
        <w:pStyle w:val="ListBullet"/>
        <w:spacing w:after="50" w:line="247" w:lineRule="auto"/>
      </w:pPr>
      <w:r>
        <w:rPr>
          <w:rFonts w:ascii="Liberation Serif" w:hAnsi="Liberation Serif"/>
          <w:sz w:val="20"/>
        </w:rPr>
        <w:t>One portable envelope validates against a versioned schema.</w:t>
      </w:r>
    </w:p>
    <w:p>
      <w:pPr>
        <w:pStyle w:val="ListBullet"/>
        <w:spacing w:after="50" w:line="247" w:lineRule="auto"/>
      </w:pPr>
      <w:r>
        <w:rPr>
          <w:rFonts w:ascii="Liberation Serif" w:hAnsi="Liberation Serif"/>
          <w:sz w:val="20"/>
        </w:rPr>
        <w:t>The same envelope is interpreted by at least two clients.</w:t>
      </w:r>
    </w:p>
    <w:p>
      <w:pPr>
        <w:pStyle w:val="ListBullet"/>
        <w:spacing w:after="50" w:line="247" w:lineRule="auto"/>
      </w:pPr>
      <w:r>
        <w:rPr>
          <w:rFonts w:ascii="Liberation Serif" w:hAnsi="Liberation Serif"/>
          <w:sz w:val="20"/>
        </w:rPr>
        <w:t>A local codebook is explicitly scoped to its instance.</w:t>
      </w:r>
    </w:p>
    <w:p>
      <w:pPr>
        <w:pStyle w:val="ListBullet"/>
        <w:spacing w:after="50" w:line="247" w:lineRule="auto"/>
      </w:pPr>
      <w:r>
        <w:rPr>
          <w:rFonts w:ascii="Liberation Serif" w:hAnsi="Liberation Serif"/>
          <w:sz w:val="20"/>
        </w:rPr>
        <w:t>At least one concept identity is shared while local associations differ.</w:t>
      </w:r>
    </w:p>
    <w:p>
      <w:pPr>
        <w:pStyle w:val="ListBullet"/>
        <w:spacing w:after="50" w:line="247" w:lineRule="auto"/>
      </w:pPr>
      <w:r>
        <w:rPr>
          <w:rFonts w:ascii="Liberation Serif" w:hAnsi="Liberation Serif"/>
          <w:sz w:val="20"/>
        </w:rPr>
        <w:t>One unresolved item remains HOLD without blocking unrelated progress.</w:t>
      </w:r>
    </w:p>
    <w:p>
      <w:pPr>
        <w:pStyle w:val="ListBullet"/>
        <w:spacing w:after="50" w:line="247" w:lineRule="auto"/>
      </w:pPr>
      <w:r>
        <w:rPr>
          <w:rFonts w:ascii="Liberation Serif" w:hAnsi="Liberation Serif"/>
          <w:sz w:val="20"/>
        </w:rPr>
        <w:t>Reconstruction metrics exceed a declared baseline.</w:t>
      </w:r>
    </w:p>
    <w:p>
      <w:pPr>
        <w:pStyle w:val="ListBullet"/>
        <w:spacing w:after="50" w:line="247" w:lineRule="auto"/>
      </w:pPr>
      <w:r>
        <w:rPr>
          <w:rFonts w:ascii="Liberation Serif" w:hAnsi="Liberation Serif"/>
          <w:sz w:val="20"/>
        </w:rPr>
        <w:t>A contradiction updates lineage rather than deleting history.</w:t>
      </w:r>
    </w:p>
    <w:p>
      <w:pPr>
        <w:pStyle w:val="ListBullet"/>
        <w:spacing w:after="50" w:line="247" w:lineRule="auto"/>
      </w:pPr>
      <w:r>
        <w:rPr>
          <w:rFonts w:ascii="Liberation Serif" w:hAnsi="Liberation Serif"/>
          <w:sz w:val="20"/>
        </w:rPr>
        <w:t>Replay reconstructs the same promoted state.</w:t>
      </w:r>
    </w:p>
    <w:p>
      <w:pPr>
        <w:pStyle w:val="ListBullet"/>
        <w:spacing w:after="50" w:line="247" w:lineRule="auto"/>
      </w:pPr>
      <w:r>
        <w:rPr>
          <w:rFonts w:ascii="Liberation Serif" w:hAnsi="Liberation Serif"/>
          <w:sz w:val="20"/>
        </w:rPr>
        <w:t>No component claims an operation that its capability registry does not support.</w:t>
      </w:r>
    </w:p>
    <w:p>
      <w:pPr>
        <w:pStyle w:val="Heading1"/>
      </w:pPr>
      <w:r>
        <w:t>15. Technical Architecture and Repository Boundaries</w:t>
      </w:r>
    </w:p>
    <w:tbl>
      <w:tblPr>
        <w:tblStyle w:val="TableGrid"/>
        <w:tblW w:type="auto" w:w="0"/>
        <w:jc w:val="center"/>
        <w:tblLook w:firstColumn="1" w:firstRow="1" w:lastColumn="0" w:lastRow="0" w:noHBand="0" w:noVBand="1" w:val="04A0"/>
      </w:tblPr>
      <w:tblGrid>
        <w:gridCol w:w="5083"/>
        <w:gridCol w:w="5083"/>
      </w:tblGrid>
      <w:tr>
        <w:tc>
          <w:tcPr>
            <w:tcW w:type="dxa" w:w="3384"/>
            <w:shd w:fill="DCE9F0"/>
            <w:tcMar>
              <w:top w:w="90" w:type="dxa"/>
              <w:start w:w="100" w:type="dxa"/>
              <w:bottom w:w="90" w:type="dxa"/>
              <w:end w:w="100" w:type="dxa"/>
            </w:tcMar>
          </w:tcPr>
          <w:p>
            <w:r>
              <w:rPr>
                <w:rFonts w:ascii="Liberation Sans" w:hAnsi="Liberation Sans"/>
                <w:b/>
                <w:sz w:val="17"/>
              </w:rPr>
              <w:t>Package / service</w:t>
            </w:r>
          </w:p>
        </w:tc>
        <w:tc>
          <w:tcPr>
            <w:tcW w:type="dxa" w:w="7128"/>
            <w:shd w:fill="DCE9F0"/>
            <w:tcMar>
              <w:top w:w="90" w:type="dxa"/>
              <w:start w:w="100" w:type="dxa"/>
              <w:bottom w:w="90" w:type="dxa"/>
              <w:end w:w="100" w:type="dxa"/>
            </w:tcMar>
          </w:tcPr>
          <w:p>
            <w:r>
              <w:rPr>
                <w:rFonts w:ascii="Liberation Sans" w:hAnsi="Liberation Sans"/>
                <w:b/>
                <w:sz w:val="17"/>
              </w:rPr>
              <w:t>First responsibility</w:t>
            </w:r>
          </w:p>
        </w:tc>
      </w:tr>
      <w:tr>
        <w:tc>
          <w:tcPr>
            <w:tcW w:type="dxa" w:w="3384"/>
            <w:tcMar>
              <w:top w:w="90" w:type="dxa"/>
              <w:start w:w="100" w:type="dxa"/>
              <w:bottom w:w="90" w:type="dxa"/>
              <w:end w:w="100" w:type="dxa"/>
            </w:tcMar>
            <w:vAlign w:val="top"/>
          </w:tcPr>
          <w:p>
            <w:pPr>
              <w:spacing w:after="20"/>
            </w:pPr>
            <w:r>
              <w:rPr>
                <w:rFonts w:ascii="Liberation Serif" w:hAnsi="Liberation Serif"/>
                <w:sz w:val="17"/>
              </w:rPr>
              <w:t>packages/envelope-contracts</w:t>
            </w:r>
          </w:p>
        </w:tc>
        <w:tc>
          <w:tcPr>
            <w:tcW w:type="dxa" w:w="7128"/>
            <w:tcMar>
              <w:top w:w="90" w:type="dxa"/>
              <w:start w:w="100" w:type="dxa"/>
              <w:bottom w:w="90" w:type="dxa"/>
              <w:end w:w="100" w:type="dxa"/>
            </w:tcMar>
            <w:vAlign w:val="top"/>
          </w:tcPr>
          <w:p>
            <w:pPr>
              <w:spacing w:after="20"/>
            </w:pPr>
            <w:r>
              <w:rPr>
                <w:rFonts w:ascii="Liberation Serif" w:hAnsi="Liberation Serif"/>
                <w:sz w:val="17"/>
              </w:rPr>
              <w:t>Schemas, validation, IDs, signatures, versioning and patch model.</w:t>
            </w:r>
          </w:p>
        </w:tc>
      </w:tr>
      <w:tr>
        <w:tc>
          <w:tcPr>
            <w:tcW w:type="dxa" w:w="3384"/>
            <w:tcMar>
              <w:top w:w="90" w:type="dxa"/>
              <w:start w:w="100" w:type="dxa"/>
              <w:bottom w:w="90" w:type="dxa"/>
              <w:end w:w="100" w:type="dxa"/>
            </w:tcMar>
            <w:vAlign w:val="top"/>
          </w:tcPr>
          <w:p>
            <w:pPr>
              <w:spacing w:after="20"/>
            </w:pPr>
            <w:r>
              <w:rPr>
                <w:rFonts w:ascii="Liberation Serif" w:hAnsi="Liberation Serif"/>
                <w:sz w:val="17"/>
              </w:rPr>
              <w:t>packages/registry-client</w:t>
            </w:r>
          </w:p>
        </w:tc>
        <w:tc>
          <w:tcPr>
            <w:tcW w:type="dxa" w:w="7128"/>
            <w:tcMar>
              <w:top w:w="90" w:type="dxa"/>
              <w:start w:w="100" w:type="dxa"/>
              <w:bottom w:w="90" w:type="dxa"/>
              <w:end w:w="100" w:type="dxa"/>
            </w:tcMar>
            <w:vAlign w:val="top"/>
          </w:tcPr>
          <w:p>
            <w:pPr>
              <w:spacing w:after="20"/>
            </w:pPr>
            <w:r>
              <w:rPr>
                <w:rFonts w:ascii="Liberation Serif" w:hAnsi="Liberation Serif"/>
                <w:sz w:val="17"/>
              </w:rPr>
              <w:t>Identity resolution, proposal submission, subscriptions and federation.</w:t>
            </w:r>
          </w:p>
        </w:tc>
      </w:tr>
      <w:tr>
        <w:tc>
          <w:tcPr>
            <w:tcW w:type="dxa" w:w="3384"/>
            <w:tcMar>
              <w:top w:w="90" w:type="dxa"/>
              <w:start w:w="100" w:type="dxa"/>
              <w:bottom w:w="90" w:type="dxa"/>
              <w:end w:w="100" w:type="dxa"/>
            </w:tcMar>
            <w:vAlign w:val="top"/>
          </w:tcPr>
          <w:p>
            <w:pPr>
              <w:spacing w:after="20"/>
            </w:pPr>
            <w:r>
              <w:rPr>
                <w:rFonts w:ascii="Liberation Serif" w:hAnsi="Liberation Serif"/>
                <w:sz w:val="17"/>
              </w:rPr>
              <w:t>packages/fractal-percept</w:t>
            </w:r>
          </w:p>
        </w:tc>
        <w:tc>
          <w:tcPr>
            <w:tcW w:type="dxa" w:w="7128"/>
            <w:tcMar>
              <w:top w:w="90" w:type="dxa"/>
              <w:start w:w="100" w:type="dxa"/>
              <w:bottom w:w="90" w:type="dxa"/>
              <w:end w:w="100" w:type="dxa"/>
            </w:tcMar>
            <w:vAlign w:val="top"/>
          </w:tcPr>
          <w:p>
            <w:pPr>
              <w:spacing w:after="20"/>
            </w:pPr>
            <w:r>
              <w:rPr>
                <w:rFonts w:ascii="Liberation Serif" w:hAnsi="Liberation Serif"/>
                <w:sz w:val="17"/>
              </w:rPr>
              <w:t>Multiscale region and transformation contracts.</w:t>
            </w:r>
          </w:p>
        </w:tc>
      </w:tr>
      <w:tr>
        <w:tc>
          <w:tcPr>
            <w:tcW w:type="dxa" w:w="3384"/>
            <w:tcMar>
              <w:top w:w="90" w:type="dxa"/>
              <w:start w:w="100" w:type="dxa"/>
              <w:bottom w:w="90" w:type="dxa"/>
              <w:end w:w="100" w:type="dxa"/>
            </w:tcMar>
            <w:vAlign w:val="top"/>
          </w:tcPr>
          <w:p>
            <w:pPr>
              <w:spacing w:after="20"/>
            </w:pPr>
            <w:r>
              <w:rPr>
                <w:rFonts w:ascii="Liberation Serif" w:hAnsi="Liberation Serif"/>
                <w:sz w:val="17"/>
              </w:rPr>
              <w:t>packages/attractor-registry</w:t>
            </w:r>
          </w:p>
        </w:tc>
        <w:tc>
          <w:tcPr>
            <w:tcW w:type="dxa" w:w="7128"/>
            <w:tcMar>
              <w:top w:w="90" w:type="dxa"/>
              <w:start w:w="100" w:type="dxa"/>
              <w:bottom w:w="90" w:type="dxa"/>
              <w:end w:w="100" w:type="dxa"/>
            </w:tcMar>
            <w:vAlign w:val="top"/>
          </w:tcPr>
          <w:p>
            <w:pPr>
              <w:spacing w:after="20"/>
            </w:pPr>
            <w:r>
              <w:rPr>
                <w:rFonts w:ascii="Liberation Serif" w:hAnsi="Liberation Serif"/>
                <w:sz w:val="17"/>
              </w:rPr>
              <w:t>Construction A+ mappings, decoders, fidelity, entropy and drift records.</w:t>
            </w:r>
          </w:p>
        </w:tc>
      </w:tr>
      <w:tr>
        <w:tc>
          <w:tcPr>
            <w:tcW w:type="dxa" w:w="3384"/>
            <w:tcMar>
              <w:top w:w="90" w:type="dxa"/>
              <w:start w:w="100" w:type="dxa"/>
              <w:bottom w:w="90" w:type="dxa"/>
              <w:end w:w="100" w:type="dxa"/>
            </w:tcMar>
            <w:vAlign w:val="top"/>
          </w:tcPr>
          <w:p>
            <w:pPr>
              <w:spacing w:after="20"/>
            </w:pPr>
            <w:r>
              <w:rPr>
                <w:rFonts w:ascii="Liberation Serif" w:hAnsi="Liberation Serif"/>
                <w:sz w:val="17"/>
              </w:rPr>
              <w:t>packages/natural-math-adapter</w:t>
            </w:r>
          </w:p>
        </w:tc>
        <w:tc>
          <w:tcPr>
            <w:tcW w:type="dxa" w:w="7128"/>
            <w:tcMar>
              <w:top w:w="90" w:type="dxa"/>
              <w:start w:w="100" w:type="dxa"/>
              <w:bottom w:w="90" w:type="dxa"/>
              <w:end w:w="100" w:type="dxa"/>
            </w:tcMar>
            <w:vAlign w:val="top"/>
          </w:tcPr>
          <w:p>
            <w:pPr>
              <w:spacing w:after="20"/>
            </w:pPr>
            <w:r>
              <w:rPr>
                <w:rFonts w:ascii="Liberation Serif" w:hAnsi="Liberation Serif"/>
                <w:sz w:val="17"/>
              </w:rPr>
              <w:t>Canonical Natural Math expression references and execution adapter.</w:t>
            </w:r>
          </w:p>
        </w:tc>
      </w:tr>
      <w:tr>
        <w:tc>
          <w:tcPr>
            <w:tcW w:type="dxa" w:w="3384"/>
            <w:tcMar>
              <w:top w:w="90" w:type="dxa"/>
              <w:start w:w="100" w:type="dxa"/>
              <w:bottom w:w="90" w:type="dxa"/>
              <w:end w:w="100" w:type="dxa"/>
            </w:tcMar>
            <w:vAlign w:val="top"/>
          </w:tcPr>
          <w:p>
            <w:pPr>
              <w:spacing w:after="20"/>
            </w:pPr>
            <w:r>
              <w:rPr>
                <w:rFonts w:ascii="Liberation Serif" w:hAnsi="Liberation Serif"/>
                <w:sz w:val="17"/>
              </w:rPr>
              <w:t>packages/symlan-adapter</w:t>
            </w:r>
          </w:p>
        </w:tc>
        <w:tc>
          <w:tcPr>
            <w:tcW w:type="dxa" w:w="7128"/>
            <w:tcMar>
              <w:top w:w="90" w:type="dxa"/>
              <w:start w:w="100" w:type="dxa"/>
              <w:bottom w:w="90" w:type="dxa"/>
              <w:end w:w="100" w:type="dxa"/>
            </w:tcMar>
            <w:vAlign w:val="top"/>
          </w:tcPr>
          <w:p>
            <w:pPr>
              <w:spacing w:after="20"/>
            </w:pPr>
            <w:r>
              <w:rPr>
                <w:rFonts w:ascii="Liberation Serif" w:hAnsi="Liberation Serif"/>
                <w:sz w:val="17"/>
              </w:rPr>
              <w:t>SymLan program serialization, validation and execution boundary.</w:t>
            </w:r>
          </w:p>
        </w:tc>
      </w:tr>
      <w:tr>
        <w:tc>
          <w:tcPr>
            <w:tcW w:type="dxa" w:w="3384"/>
            <w:tcMar>
              <w:top w:w="90" w:type="dxa"/>
              <w:start w:w="100" w:type="dxa"/>
              <w:bottom w:w="90" w:type="dxa"/>
              <w:end w:w="100" w:type="dxa"/>
            </w:tcMar>
            <w:vAlign w:val="top"/>
          </w:tcPr>
          <w:p>
            <w:pPr>
              <w:spacing w:after="20"/>
            </w:pPr>
            <w:r>
              <w:rPr>
                <w:rFonts w:ascii="Liberation Serif" w:hAnsi="Liberation Serif"/>
                <w:sz w:val="17"/>
              </w:rPr>
              <w:t>packages/basin-envelope-bridge</w:t>
            </w:r>
          </w:p>
        </w:tc>
        <w:tc>
          <w:tcPr>
            <w:tcW w:type="dxa" w:w="7128"/>
            <w:tcMar>
              <w:top w:w="90" w:type="dxa"/>
              <w:start w:w="100" w:type="dxa"/>
              <w:bottom w:w="90" w:type="dxa"/>
              <w:end w:w="100" w:type="dxa"/>
            </w:tcMar>
            <w:vAlign w:val="top"/>
          </w:tcPr>
          <w:p>
            <w:pPr>
              <w:spacing w:after="20"/>
            </w:pPr>
            <w:r>
              <w:rPr>
                <w:rFonts w:ascii="Liberation Serif" w:hAnsi="Liberation Serif"/>
                <w:sz w:val="17"/>
              </w:rPr>
              <w:t>Role subscriptions, context slicing, patches, holds and local associations.</w:t>
            </w:r>
          </w:p>
        </w:tc>
      </w:tr>
      <w:tr>
        <w:tc>
          <w:tcPr>
            <w:tcW w:type="dxa" w:w="3384"/>
            <w:tcMar>
              <w:top w:w="90" w:type="dxa"/>
              <w:start w:w="100" w:type="dxa"/>
              <w:bottom w:w="90" w:type="dxa"/>
              <w:end w:w="100" w:type="dxa"/>
            </w:tcMar>
            <w:vAlign w:val="top"/>
          </w:tcPr>
          <w:p>
            <w:pPr>
              <w:spacing w:after="20"/>
            </w:pPr>
            <w:r>
              <w:rPr>
                <w:rFonts w:ascii="Liberation Serif" w:hAnsi="Liberation Serif"/>
                <w:sz w:val="17"/>
              </w:rPr>
              <w:t>services/registry</w:t>
            </w:r>
          </w:p>
        </w:tc>
        <w:tc>
          <w:tcPr>
            <w:tcW w:type="dxa" w:w="7128"/>
            <w:tcMar>
              <w:top w:w="90" w:type="dxa"/>
              <w:start w:w="100" w:type="dxa"/>
              <w:bottom w:w="90" w:type="dxa"/>
              <w:end w:w="100" w:type="dxa"/>
            </w:tcMar>
            <w:vAlign w:val="top"/>
          </w:tcPr>
          <w:p>
            <w:pPr>
              <w:spacing w:after="20"/>
            </w:pPr>
            <w:r>
              <w:rPr>
                <w:rFonts w:ascii="Liberation Serif" w:hAnsi="Liberation Serif"/>
                <w:sz w:val="17"/>
              </w:rPr>
              <w:t>Identity, graph, event ledger, signatures and policy.</w:t>
            </w:r>
          </w:p>
        </w:tc>
      </w:tr>
      <w:tr>
        <w:tc>
          <w:tcPr>
            <w:tcW w:type="dxa" w:w="3384"/>
            <w:tcMar>
              <w:top w:w="90" w:type="dxa"/>
              <w:start w:w="100" w:type="dxa"/>
              <w:bottom w:w="90" w:type="dxa"/>
              <w:end w:w="100" w:type="dxa"/>
            </w:tcMar>
            <w:vAlign w:val="top"/>
          </w:tcPr>
          <w:p>
            <w:pPr>
              <w:spacing w:after="20"/>
            </w:pPr>
            <w:r>
              <w:rPr>
                <w:rFonts w:ascii="Liberation Serif" w:hAnsi="Liberation Serif"/>
                <w:sz w:val="17"/>
              </w:rPr>
              <w:t>services/reconstruction</w:t>
            </w:r>
          </w:p>
        </w:tc>
        <w:tc>
          <w:tcPr>
            <w:tcW w:type="dxa" w:w="7128"/>
            <w:tcMar>
              <w:top w:w="90" w:type="dxa"/>
              <w:start w:w="100" w:type="dxa"/>
              <w:bottom w:w="90" w:type="dxa"/>
              <w:end w:w="100" w:type="dxa"/>
            </w:tcMar>
            <w:vAlign w:val="top"/>
          </w:tcPr>
          <w:p>
            <w:pPr>
              <w:spacing w:after="20"/>
            </w:pPr>
            <w:r>
              <w:rPr>
                <w:rFonts w:ascii="Liberation Serif" w:hAnsi="Liberation Serif"/>
                <w:sz w:val="17"/>
              </w:rPr>
              <w:t>Decoder execution and held-out validation.</w:t>
            </w:r>
          </w:p>
        </w:tc>
      </w:tr>
      <w:tr>
        <w:tc>
          <w:tcPr>
            <w:tcW w:type="dxa" w:w="3384"/>
            <w:tcMar>
              <w:top w:w="90" w:type="dxa"/>
              <w:start w:w="100" w:type="dxa"/>
              <w:bottom w:w="90" w:type="dxa"/>
              <w:end w:w="100" w:type="dxa"/>
            </w:tcMar>
            <w:vAlign w:val="top"/>
          </w:tcPr>
          <w:p>
            <w:pPr>
              <w:spacing w:after="20"/>
            </w:pPr>
            <w:r>
              <w:rPr>
                <w:rFonts w:ascii="Liberation Serif" w:hAnsi="Liberation Serif"/>
                <w:sz w:val="17"/>
              </w:rPr>
              <w:t>apps/envelope-lab</w:t>
            </w:r>
          </w:p>
        </w:tc>
        <w:tc>
          <w:tcPr>
            <w:tcW w:type="dxa" w:w="7128"/>
            <w:tcMar>
              <w:top w:w="90" w:type="dxa"/>
              <w:start w:w="100" w:type="dxa"/>
              <w:bottom w:w="90" w:type="dxa"/>
              <w:end w:w="100" w:type="dxa"/>
            </w:tcMar>
            <w:vAlign w:val="top"/>
          </w:tcPr>
          <w:p>
            <w:pPr>
              <w:spacing w:after="20"/>
            </w:pPr>
            <w:r>
              <w:rPr>
                <w:rFonts w:ascii="Liberation Serif" w:hAnsi="Liberation Serif"/>
                <w:sz w:val="17"/>
              </w:rPr>
              <w:t>Human and machine inspection, diff, replay and projection interface.</w:t>
            </w:r>
          </w:p>
        </w:tc>
      </w:tr>
      <w:tr>
        <w:tc>
          <w:tcPr>
            <w:tcW w:type="dxa" w:w="3384"/>
            <w:tcMar>
              <w:top w:w="90" w:type="dxa"/>
              <w:start w:w="100" w:type="dxa"/>
              <w:bottom w:w="90" w:type="dxa"/>
              <w:end w:w="100" w:type="dxa"/>
            </w:tcMar>
            <w:vAlign w:val="top"/>
          </w:tcPr>
          <w:p>
            <w:pPr>
              <w:spacing w:after="20"/>
            </w:pPr>
            <w:r>
              <w:rPr>
                <w:rFonts w:ascii="Liberation Serif" w:hAnsi="Liberation Serif"/>
                <w:sz w:val="17"/>
              </w:rPr>
              <w:t>simulations/first-scene</w:t>
            </w:r>
          </w:p>
        </w:tc>
        <w:tc>
          <w:tcPr>
            <w:tcW w:type="dxa" w:w="7128"/>
            <w:tcMar>
              <w:top w:w="90" w:type="dxa"/>
              <w:start w:w="100" w:type="dxa"/>
              <w:bottom w:w="90" w:type="dxa"/>
              <w:end w:w="100" w:type="dxa"/>
            </w:tcMar>
            <w:vAlign w:val="top"/>
          </w:tcPr>
          <w:p>
            <w:pPr>
              <w:spacing w:after="20"/>
            </w:pPr>
            <w:r>
              <w:rPr>
                <w:rFonts w:ascii="Liberation Serif" w:hAnsi="Liberation Serif"/>
                <w:sz w:val="17"/>
              </w:rPr>
              <w:t>First end-to-end proof and golden fixtures.</w:t>
            </w:r>
          </w:p>
        </w:tc>
      </w:tr>
    </w:tbl>
    <w:p>
      <w:pPr>
        <w:spacing w:after="20"/>
      </w:pPr>
    </w:p>
    <w:p>
      <w:pPr>
        <w:pStyle w:val="Heading2"/>
      </w:pPr>
      <w:r>
        <w:t>15.1 Data storage boundaries</w:t>
      </w:r>
    </w:p>
    <w:p>
      <w:pPr>
        <w:keepNext w:val="0"/>
        <w:spacing w:after="110"/>
      </w:pPr>
      <w:r>
        <w:rPr>
          <w:rFonts w:ascii="Liberation Serif" w:hAnsi="Liberation Serif"/>
          <w:sz w:val="20"/>
        </w:rPr>
        <w:t>The root manifest and small relations may live in a structured database. Large evidence, code, models, images, raw sensor streams, and test artifacts should be content-addressed. The event ledger should be append-only. Local Basin-private associations must remain physically and logically separate from public registry data unless explicitly shared.</w:t>
      </w:r>
    </w:p>
    <w:p>
      <w:pPr>
        <w:pStyle w:val="Heading1"/>
      </w:pPr>
      <w:r>
        <w:t>16. Validation and Acceptance Criteria</w:t>
      </w:r>
    </w:p>
    <w:tbl>
      <w:tblPr>
        <w:tblStyle w:val="TableGrid"/>
        <w:tblW w:type="auto" w:w="0"/>
        <w:jc w:val="center"/>
        <w:tblLook w:firstColumn="1" w:firstRow="1" w:lastColumn="0" w:lastRow="0" w:noHBand="0" w:noVBand="1" w:val="04A0"/>
      </w:tblPr>
      <w:tblGrid>
        <w:gridCol w:w="5083"/>
        <w:gridCol w:w="5083"/>
      </w:tblGrid>
      <w:tr>
        <w:tc>
          <w:tcPr>
            <w:tcW w:type="dxa" w:w="2232"/>
            <w:shd w:fill="DCE9F0"/>
            <w:tcMar>
              <w:top w:w="90" w:type="dxa"/>
              <w:start w:w="100" w:type="dxa"/>
              <w:bottom w:w="90" w:type="dxa"/>
              <w:end w:w="100" w:type="dxa"/>
            </w:tcMar>
          </w:tcPr>
          <w:p>
            <w:r>
              <w:rPr>
                <w:rFonts w:ascii="Liberation Sans" w:hAnsi="Liberation Sans"/>
                <w:b/>
                <w:sz w:val="17"/>
              </w:rPr>
              <w:t>Category</w:t>
            </w:r>
          </w:p>
        </w:tc>
        <w:tc>
          <w:tcPr>
            <w:tcW w:type="dxa" w:w="8280"/>
            <w:shd w:fill="DCE9F0"/>
            <w:tcMar>
              <w:top w:w="90" w:type="dxa"/>
              <w:start w:w="100" w:type="dxa"/>
              <w:bottom w:w="90" w:type="dxa"/>
              <w:end w:w="100" w:type="dxa"/>
            </w:tcMar>
          </w:tcPr>
          <w:p>
            <w:r>
              <w:rPr>
                <w:rFonts w:ascii="Liberation Sans" w:hAnsi="Liberation Sans"/>
                <w:b/>
                <w:sz w:val="17"/>
              </w:rPr>
              <w:t>Mandatory measurement</w:t>
            </w:r>
          </w:p>
        </w:tc>
      </w:tr>
      <w:tr>
        <w:tc>
          <w:tcPr>
            <w:tcW w:type="dxa" w:w="2232"/>
            <w:tcMar>
              <w:top w:w="90" w:type="dxa"/>
              <w:start w:w="100" w:type="dxa"/>
              <w:bottom w:w="90" w:type="dxa"/>
              <w:end w:w="100" w:type="dxa"/>
            </w:tcMar>
            <w:vAlign w:val="top"/>
          </w:tcPr>
          <w:p>
            <w:pPr>
              <w:spacing w:after="20"/>
            </w:pPr>
            <w:r>
              <w:rPr>
                <w:rFonts w:ascii="Liberation Serif" w:hAnsi="Liberation Serif"/>
                <w:sz w:val="17"/>
              </w:rPr>
              <w:t>Schema integrity</w:t>
            </w:r>
          </w:p>
        </w:tc>
        <w:tc>
          <w:tcPr>
            <w:tcW w:type="dxa" w:w="8280"/>
            <w:tcMar>
              <w:top w:w="90" w:type="dxa"/>
              <w:start w:w="100" w:type="dxa"/>
              <w:bottom w:w="90" w:type="dxa"/>
              <w:end w:w="100" w:type="dxa"/>
            </w:tcMar>
            <w:vAlign w:val="top"/>
          </w:tcPr>
          <w:p>
            <w:pPr>
              <w:spacing w:after="20"/>
            </w:pPr>
            <w:r>
              <w:rPr>
                <w:rFonts w:ascii="Liberation Serif" w:hAnsi="Liberation Serif"/>
                <w:sz w:val="17"/>
              </w:rPr>
              <w:t>Versioned parse/validation, canonical serialization, backward compatibility policy.</w:t>
            </w:r>
          </w:p>
        </w:tc>
      </w:tr>
      <w:tr>
        <w:tc>
          <w:tcPr>
            <w:tcW w:type="dxa" w:w="2232"/>
            <w:tcMar>
              <w:top w:w="90" w:type="dxa"/>
              <w:start w:w="100" w:type="dxa"/>
              <w:bottom w:w="90" w:type="dxa"/>
              <w:end w:w="100" w:type="dxa"/>
            </w:tcMar>
            <w:vAlign w:val="top"/>
          </w:tcPr>
          <w:p>
            <w:pPr>
              <w:spacing w:after="20"/>
            </w:pPr>
            <w:r>
              <w:rPr>
                <w:rFonts w:ascii="Liberation Serif" w:hAnsi="Liberation Serif"/>
                <w:sz w:val="17"/>
              </w:rPr>
              <w:t>Identity integrity</w:t>
            </w:r>
          </w:p>
        </w:tc>
        <w:tc>
          <w:tcPr>
            <w:tcW w:type="dxa" w:w="8280"/>
            <w:tcMar>
              <w:top w:w="90" w:type="dxa"/>
              <w:start w:w="100" w:type="dxa"/>
              <w:bottom w:w="90" w:type="dxa"/>
              <w:end w:w="100" w:type="dxa"/>
            </w:tcMar>
            <w:vAlign w:val="top"/>
          </w:tcPr>
          <w:p>
            <w:pPr>
              <w:spacing w:after="20"/>
            </w:pPr>
            <w:r>
              <w:rPr>
                <w:rFonts w:ascii="Liberation Serif" w:hAnsi="Liberation Serif"/>
                <w:sz w:val="17"/>
              </w:rPr>
              <w:t>IDs never reassigned; aliases and supersessions explicit.</w:t>
            </w:r>
          </w:p>
        </w:tc>
      </w:tr>
      <w:tr>
        <w:tc>
          <w:tcPr>
            <w:tcW w:type="dxa" w:w="2232"/>
            <w:tcMar>
              <w:top w:w="90" w:type="dxa"/>
              <w:start w:w="100" w:type="dxa"/>
              <w:bottom w:w="90" w:type="dxa"/>
              <w:end w:w="100" w:type="dxa"/>
            </w:tcMar>
            <w:vAlign w:val="top"/>
          </w:tcPr>
          <w:p>
            <w:pPr>
              <w:spacing w:after="20"/>
            </w:pPr>
            <w:r>
              <w:rPr>
                <w:rFonts w:ascii="Liberation Serif" w:hAnsi="Liberation Serif"/>
                <w:sz w:val="17"/>
              </w:rPr>
              <w:t>Reconstruction</w:t>
            </w:r>
          </w:p>
        </w:tc>
        <w:tc>
          <w:tcPr>
            <w:tcW w:type="dxa" w:w="8280"/>
            <w:tcMar>
              <w:top w:w="90" w:type="dxa"/>
              <w:start w:w="100" w:type="dxa"/>
              <w:bottom w:w="90" w:type="dxa"/>
              <w:end w:w="100" w:type="dxa"/>
            </w:tcMar>
            <w:vAlign w:val="top"/>
          </w:tcPr>
          <w:p>
            <w:pPr>
              <w:spacing w:after="20"/>
            </w:pPr>
            <w:r>
              <w:rPr>
                <w:rFonts w:ascii="Liberation Serif" w:hAnsi="Liberation Serif"/>
                <w:sz w:val="17"/>
              </w:rPr>
              <w:t>Held-out fidelity, baseline comparison, failure cases and confidence intervals where applicable.</w:t>
            </w:r>
          </w:p>
        </w:tc>
      </w:tr>
      <w:tr>
        <w:tc>
          <w:tcPr>
            <w:tcW w:type="dxa" w:w="2232"/>
            <w:tcMar>
              <w:top w:w="90" w:type="dxa"/>
              <w:start w:w="100" w:type="dxa"/>
              <w:bottom w:w="90" w:type="dxa"/>
              <w:end w:w="100" w:type="dxa"/>
            </w:tcMar>
            <w:vAlign w:val="top"/>
          </w:tcPr>
          <w:p>
            <w:pPr>
              <w:spacing w:after="20"/>
            </w:pPr>
            <w:r>
              <w:rPr>
                <w:rFonts w:ascii="Liberation Serif" w:hAnsi="Liberation Serif"/>
                <w:sz w:val="17"/>
              </w:rPr>
              <w:t>Attractor validity</w:t>
            </w:r>
          </w:p>
        </w:tc>
        <w:tc>
          <w:tcPr>
            <w:tcW w:type="dxa" w:w="8280"/>
            <w:tcMar>
              <w:top w:w="90" w:type="dxa"/>
              <w:start w:w="100" w:type="dxa"/>
              <w:bottom w:w="90" w:type="dxa"/>
              <w:end w:w="100" w:type="dxa"/>
            </w:tcMar>
            <w:vAlign w:val="top"/>
          </w:tcPr>
          <w:p>
            <w:pPr>
              <w:spacing w:after="20"/>
            </w:pPr>
            <w:r>
              <w:rPr>
                <w:rFonts w:ascii="Liberation Serif" w:hAnsi="Liberation Serif"/>
                <w:sz w:val="17"/>
              </w:rPr>
              <w:t>H_capacity and H_realized separately; collisions; instance scope; replicate baseline; drift.</w:t>
            </w:r>
          </w:p>
        </w:tc>
      </w:tr>
      <w:tr>
        <w:tc>
          <w:tcPr>
            <w:tcW w:type="dxa" w:w="2232"/>
            <w:tcMar>
              <w:top w:w="90" w:type="dxa"/>
              <w:start w:w="100" w:type="dxa"/>
              <w:bottom w:w="90" w:type="dxa"/>
              <w:end w:w="100" w:type="dxa"/>
            </w:tcMar>
            <w:vAlign w:val="top"/>
          </w:tcPr>
          <w:p>
            <w:pPr>
              <w:spacing w:after="20"/>
            </w:pPr>
            <w:r>
              <w:rPr>
                <w:rFonts w:ascii="Liberation Serif" w:hAnsi="Liberation Serif"/>
                <w:sz w:val="17"/>
              </w:rPr>
              <w:t>Execution</w:t>
            </w:r>
          </w:p>
        </w:tc>
        <w:tc>
          <w:tcPr>
            <w:tcW w:type="dxa" w:w="8280"/>
            <w:tcMar>
              <w:top w:w="90" w:type="dxa"/>
              <w:start w:w="100" w:type="dxa"/>
              <w:bottom w:w="90" w:type="dxa"/>
              <w:end w:w="100" w:type="dxa"/>
            </w:tcMar>
            <w:vAlign w:val="top"/>
          </w:tcPr>
          <w:p>
            <w:pPr>
              <w:spacing w:after="20"/>
            </w:pPr>
            <w:r>
              <w:rPr>
                <w:rFonts w:ascii="Liberation Serif" w:hAnsi="Liberation Serif"/>
                <w:sz w:val="17"/>
              </w:rPr>
              <w:t>Deterministic fixtures or declared nondeterminism; sandbox; side effects; replay.</w:t>
            </w:r>
          </w:p>
        </w:tc>
      </w:tr>
      <w:tr>
        <w:tc>
          <w:tcPr>
            <w:tcW w:type="dxa" w:w="2232"/>
            <w:tcMar>
              <w:top w:w="90" w:type="dxa"/>
              <w:start w:w="100" w:type="dxa"/>
              <w:bottom w:w="90" w:type="dxa"/>
              <w:end w:w="100" w:type="dxa"/>
            </w:tcMar>
            <w:vAlign w:val="top"/>
          </w:tcPr>
          <w:p>
            <w:pPr>
              <w:spacing w:after="20"/>
            </w:pPr>
            <w:r>
              <w:rPr>
                <w:rFonts w:ascii="Liberation Serif" w:hAnsi="Liberation Serif"/>
                <w:sz w:val="17"/>
              </w:rPr>
              <w:t>Ternary correctness</w:t>
            </w:r>
          </w:p>
        </w:tc>
        <w:tc>
          <w:tcPr>
            <w:tcW w:type="dxa" w:w="8280"/>
            <w:tcMar>
              <w:top w:w="90" w:type="dxa"/>
              <w:start w:w="100" w:type="dxa"/>
              <w:bottom w:w="90" w:type="dxa"/>
              <w:end w:w="100" w:type="dxa"/>
            </w:tcMar>
            <w:vAlign w:val="top"/>
          </w:tcPr>
          <w:p>
            <w:pPr>
              <w:spacing w:after="20"/>
            </w:pPr>
            <w:r>
              <w:rPr>
                <w:rFonts w:ascii="Liberation Serif" w:hAnsi="Liberation Serif"/>
                <w:sz w:val="17"/>
              </w:rPr>
              <w:t>Truth and action states remain separate; HOLD cannot be silently promoted.</w:t>
            </w:r>
          </w:p>
        </w:tc>
      </w:tr>
      <w:tr>
        <w:tc>
          <w:tcPr>
            <w:tcW w:type="dxa" w:w="2232"/>
            <w:tcMar>
              <w:top w:w="90" w:type="dxa"/>
              <w:start w:w="100" w:type="dxa"/>
              <w:bottom w:w="90" w:type="dxa"/>
              <w:end w:w="100" w:type="dxa"/>
            </w:tcMar>
            <w:vAlign w:val="top"/>
          </w:tcPr>
          <w:p>
            <w:pPr>
              <w:spacing w:after="20"/>
            </w:pPr>
            <w:r>
              <w:rPr>
                <w:rFonts w:ascii="Liberation Serif" w:hAnsi="Liberation Serif"/>
                <w:sz w:val="17"/>
              </w:rPr>
              <w:t>Provenance</w:t>
            </w:r>
          </w:p>
        </w:tc>
        <w:tc>
          <w:tcPr>
            <w:tcW w:type="dxa" w:w="8280"/>
            <w:tcMar>
              <w:top w:w="90" w:type="dxa"/>
              <w:start w:w="100" w:type="dxa"/>
              <w:bottom w:w="90" w:type="dxa"/>
              <w:end w:w="100" w:type="dxa"/>
            </w:tcMar>
            <w:vAlign w:val="top"/>
          </w:tcPr>
          <w:p>
            <w:pPr>
              <w:spacing w:after="20"/>
            </w:pPr>
            <w:r>
              <w:rPr>
                <w:rFonts w:ascii="Liberation Serif" w:hAnsi="Liberation Serif"/>
                <w:sz w:val="17"/>
              </w:rPr>
              <w:t>Source hashes, transformations, authorship, timestamps and lineage survive round trips.</w:t>
            </w:r>
          </w:p>
        </w:tc>
      </w:tr>
      <w:tr>
        <w:tc>
          <w:tcPr>
            <w:tcW w:type="dxa" w:w="2232"/>
            <w:tcMar>
              <w:top w:w="90" w:type="dxa"/>
              <w:start w:w="100" w:type="dxa"/>
              <w:bottom w:w="90" w:type="dxa"/>
              <w:end w:w="100" w:type="dxa"/>
            </w:tcMar>
            <w:vAlign w:val="top"/>
          </w:tcPr>
          <w:p>
            <w:pPr>
              <w:spacing w:after="20"/>
            </w:pPr>
            <w:r>
              <w:rPr>
                <w:rFonts w:ascii="Liberation Serif" w:hAnsi="Liberation Serif"/>
                <w:sz w:val="17"/>
              </w:rPr>
              <w:t>Collaboration</w:t>
            </w:r>
          </w:p>
        </w:tc>
        <w:tc>
          <w:tcPr>
            <w:tcW w:type="dxa" w:w="8280"/>
            <w:tcMar>
              <w:top w:w="90" w:type="dxa"/>
              <w:start w:w="100" w:type="dxa"/>
              <w:bottom w:w="90" w:type="dxa"/>
              <w:end w:w="100" w:type="dxa"/>
            </w:tcMar>
            <w:vAlign w:val="top"/>
          </w:tcPr>
          <w:p>
            <w:pPr>
              <w:spacing w:after="20"/>
            </w:pPr>
            <w:r>
              <w:rPr>
                <w:rFonts w:ascii="Liberation Serif" w:hAnsi="Liberation Serif"/>
                <w:sz w:val="17"/>
              </w:rPr>
              <w:t>Concurrent proposals do not erase one another; forks and merges remain auditable.</w:t>
            </w:r>
          </w:p>
        </w:tc>
      </w:tr>
      <w:tr>
        <w:tc>
          <w:tcPr>
            <w:tcW w:type="dxa" w:w="2232"/>
            <w:tcMar>
              <w:top w:w="90" w:type="dxa"/>
              <w:start w:w="100" w:type="dxa"/>
              <w:bottom w:w="90" w:type="dxa"/>
              <w:end w:w="100" w:type="dxa"/>
            </w:tcMar>
            <w:vAlign w:val="top"/>
          </w:tcPr>
          <w:p>
            <w:pPr>
              <w:spacing w:after="20"/>
            </w:pPr>
            <w:r>
              <w:rPr>
                <w:rFonts w:ascii="Liberation Serif" w:hAnsi="Liberation Serif"/>
                <w:sz w:val="17"/>
              </w:rPr>
              <w:t>Security</w:t>
            </w:r>
          </w:p>
        </w:tc>
        <w:tc>
          <w:tcPr>
            <w:tcW w:type="dxa" w:w="8280"/>
            <w:tcMar>
              <w:top w:w="90" w:type="dxa"/>
              <w:start w:w="100" w:type="dxa"/>
              <w:bottom w:w="90" w:type="dxa"/>
              <w:end w:w="100" w:type="dxa"/>
            </w:tcMar>
            <w:vAlign w:val="top"/>
          </w:tcPr>
          <w:p>
            <w:pPr>
              <w:spacing w:after="20"/>
            </w:pPr>
            <w:r>
              <w:rPr>
                <w:rFonts w:ascii="Liberation Serif" w:hAnsi="Liberation Serif"/>
                <w:sz w:val="17"/>
              </w:rPr>
              <w:t>Signature checks, poison tests, secret scans, capability limits and unsafe artifact rejection.</w:t>
            </w:r>
          </w:p>
        </w:tc>
      </w:tr>
      <w:tr>
        <w:tc>
          <w:tcPr>
            <w:tcW w:type="dxa" w:w="2232"/>
            <w:tcMar>
              <w:top w:w="90" w:type="dxa"/>
              <w:start w:w="100" w:type="dxa"/>
              <w:bottom w:w="90" w:type="dxa"/>
              <w:end w:w="100" w:type="dxa"/>
            </w:tcMar>
            <w:vAlign w:val="top"/>
          </w:tcPr>
          <w:p>
            <w:pPr>
              <w:spacing w:after="20"/>
            </w:pPr>
            <w:r>
              <w:rPr>
                <w:rFonts w:ascii="Liberation Serif" w:hAnsi="Liberation Serif"/>
                <w:sz w:val="17"/>
              </w:rPr>
              <w:t>Completion integrity</w:t>
            </w:r>
          </w:p>
        </w:tc>
        <w:tc>
          <w:tcPr>
            <w:tcW w:type="dxa" w:w="8280"/>
            <w:tcMar>
              <w:top w:w="90" w:type="dxa"/>
              <w:start w:w="100" w:type="dxa"/>
              <w:bottom w:w="90" w:type="dxa"/>
              <w:end w:w="100" w:type="dxa"/>
            </w:tcMar>
            <w:vAlign w:val="top"/>
          </w:tcPr>
          <w:p>
            <w:pPr>
              <w:spacing w:after="20"/>
            </w:pPr>
            <w:r>
              <w:rPr>
                <w:rFonts w:ascii="Liberation Serif" w:hAnsi="Liberation Serif"/>
                <w:sz w:val="17"/>
              </w:rPr>
              <w:t>Promotional state cannot exceed registry evidence.</w:t>
            </w:r>
          </w:p>
        </w:tc>
      </w:tr>
    </w:tbl>
    <w:p>
      <w:pPr>
        <w:spacing w:after="20"/>
      </w:pPr>
    </w:p>
    <w:p>
      <w:pPr>
        <w:pStyle w:val="Heading2"/>
      </w:pPr>
      <w:r>
        <w:t>16.1 Primary acceptance metric</w:t>
      </w:r>
    </w:p>
    <w:tbl>
      <w:tblPr>
        <w:tblW w:type="auto" w:w="0"/>
        <w:jc w:val="center"/>
        <w:tblLook w:firstColumn="1" w:firstRow="1" w:lastColumn="0" w:lastRow="0" w:noHBand="0" w:noVBand="1" w:val="04A0"/>
      </w:tblPr>
      <w:tblGrid>
        <w:gridCol w:w="10166"/>
      </w:tblGrid>
      <w:tr>
        <w:tc>
          <w:tcPr>
            <w:tcW w:type="dxa" w:w="10166"/>
            <w:shd w:fill="EAF1F5"/>
            <w:tcMar>
              <w:top w:w="140" w:type="dxa"/>
              <w:start w:w="180" w:type="dxa"/>
              <w:bottom w:w="140" w:type="dxa"/>
              <w:end w:w="180" w:type="dxa"/>
            </w:tcMar>
            <w:tcBorders>
              <w:top w:val="single" w:sz="8" w:color="2F7C91"/>
              <w:left w:val="single" w:sz="8" w:color="2F7C91"/>
              <w:bottom w:val="single" w:sz="8" w:color="2F7C91"/>
              <w:right w:val="single" w:sz="8" w:color="2F7C91"/>
            </w:tcBorders>
          </w:tcPr>
          <w:p>
            <w:pPr>
              <w:spacing w:after="0"/>
              <w:jc w:val="center"/>
            </w:pPr>
            <w:r>
              <w:rPr>
                <w:rFonts w:ascii="Liberation Sans" w:hAnsi="Liberation Sans"/>
                <w:b/>
                <w:color w:val="193446"/>
                <w:sz w:val="22"/>
              </w:rPr>
              <w:t>The primary acceptance test is not “does the symbol look meaningful?” It is “can an independent client reconstruct the intended state, relations, or task-relevant variables above a declared baseline using the registered envelope and its permitted dependencies?”</w:t>
            </w:r>
          </w:p>
        </w:tc>
      </w:tr>
    </w:tbl>
    <w:p>
      <w:pPr>
        <w:spacing w:after="20"/>
      </w:pPr>
    </w:p>
    <w:p>
      <w:pPr>
        <w:pStyle w:val="Heading1"/>
      </w:pPr>
      <w:r>
        <w:t>17. Development Roadmap and Team Workstreams</w:t>
      </w:r>
    </w:p>
    <w:p>
      <w:pPr>
        <w:spacing w:after="60"/>
        <w:jc w:val="center"/>
      </w:pPr>
      <w:r>
        <w:drawing>
          <wp:inline xmlns:a="http://schemas.openxmlformats.org/drawingml/2006/main" xmlns:pic="http://schemas.openxmlformats.org/drawingml/2006/picture">
            <wp:extent cx="6217920" cy="3108960"/>
            <wp:docPr id="6" name="Picture 6"/>
            <wp:cNvGraphicFramePr>
              <a:graphicFrameLocks noChangeAspect="1"/>
            </wp:cNvGraphicFramePr>
            <a:graphic>
              <a:graphicData uri="http://schemas.openxmlformats.org/drawingml/2006/picture">
                <pic:pic>
                  <pic:nvPicPr>
                    <pic:cNvPr id="0" name="roadmap.png"/>
                    <pic:cNvPicPr/>
                  </pic:nvPicPr>
                  <pic:blipFill>
                    <a:blip r:embed="rId16"/>
                    <a:stretch>
                      <a:fillRect/>
                    </a:stretch>
                  </pic:blipFill>
                  <pic:spPr>
                    <a:xfrm>
                      <a:off x="0" y="0"/>
                      <a:ext cx="6217920" cy="3108960"/>
                    </a:xfrm>
                    <a:prstGeom prst="rect"/>
                  </pic:spPr>
                </pic:pic>
              </a:graphicData>
            </a:graphic>
          </wp:inline>
        </w:drawing>
      </w:r>
    </w:p>
    <w:p>
      <w:pPr>
        <w:spacing w:after="140"/>
        <w:jc w:val="center"/>
      </w:pPr>
      <w:r>
        <w:rPr>
          <w:rFonts w:ascii="Liberation Sans" w:hAnsi="Liberation Sans"/>
          <w:i/>
          <w:color w:val="4B5862"/>
          <w:sz w:val="17"/>
        </w:rPr>
        <w:t>Figure 5. Evidence-backed sequence. The architecture remains full scope while each layer must earn promotion.</w:t>
      </w:r>
    </w:p>
    <w:p>
      <w:pPr>
        <w:pStyle w:val="Heading2"/>
      </w:pPr>
      <w:r>
        <w:t>17.1 Milestones</w:t>
      </w:r>
    </w:p>
    <w:p>
      <w:pPr>
        <w:spacing w:after="80"/>
      </w:pPr>
      <w:r>
        <w:rPr>
          <w:rFonts w:ascii="Liberation Sans" w:hAnsi="Liberation Sans"/>
          <w:b/>
          <w:color w:val="1C5870"/>
          <w:sz w:val="20"/>
        </w:rPr>
        <w:t xml:space="preserve">M0 - Canon and schema: </w:t>
      </w:r>
      <w:r>
        <w:rPr>
          <w:rFonts w:ascii="Liberation Serif" w:hAnsi="Liberation Serif"/>
          <w:sz w:val="20"/>
        </w:rPr>
        <w:t>Freeze terminology, namespace boundaries, state enums, authorship and source provenance.</w:t>
      </w:r>
    </w:p>
    <w:p>
      <w:pPr>
        <w:spacing w:after="80"/>
      </w:pPr>
      <w:r>
        <w:rPr>
          <w:rFonts w:ascii="Liberation Sans" w:hAnsi="Liberation Sans"/>
          <w:b/>
          <w:color w:val="1C5870"/>
          <w:sz w:val="20"/>
        </w:rPr>
        <w:t xml:space="preserve">M1 - Single-scene envelope: </w:t>
      </w:r>
      <w:r>
        <w:rPr>
          <w:rFonts w:ascii="Liberation Serif" w:hAnsi="Liberation Serif"/>
          <w:sz w:val="20"/>
        </w:rPr>
        <w:t>Implement schema, local registry, adapters and deterministic golden fixture.</w:t>
      </w:r>
    </w:p>
    <w:p>
      <w:pPr>
        <w:spacing w:after="80"/>
      </w:pPr>
      <w:r>
        <w:rPr>
          <w:rFonts w:ascii="Liberation Sans" w:hAnsi="Liberation Sans"/>
          <w:b/>
          <w:color w:val="1C5870"/>
          <w:sz w:val="20"/>
        </w:rPr>
        <w:t xml:space="preserve">M2 - Cross-client reconstruction: </w:t>
      </w:r>
      <w:r>
        <w:rPr>
          <w:rFonts w:ascii="Liberation Serif" w:hAnsi="Liberation Serif"/>
          <w:sz w:val="20"/>
        </w:rPr>
        <w:t>Two clients resolve one envelope; local associations differ; reconstruction is measured.</w:t>
      </w:r>
    </w:p>
    <w:p>
      <w:pPr>
        <w:spacing w:after="80"/>
      </w:pPr>
      <w:r>
        <w:rPr>
          <w:rFonts w:ascii="Liberation Sans" w:hAnsi="Liberation Sans"/>
          <w:b/>
          <w:color w:val="1C5870"/>
          <w:sz w:val="20"/>
        </w:rPr>
        <w:t xml:space="preserve">M3 - Collaborative registry: </w:t>
      </w:r>
      <w:r>
        <w:rPr>
          <w:rFonts w:ascii="Liberation Serif" w:hAnsi="Liberation Serif"/>
          <w:sz w:val="20"/>
        </w:rPr>
        <w:t>Signed proposals, EXTEND/HOLD/RETRACT, event-sourced lineage, conflict preservation.</w:t>
      </w:r>
    </w:p>
    <w:p>
      <w:pPr>
        <w:spacing w:after="80"/>
      </w:pPr>
      <w:r>
        <w:rPr>
          <w:rFonts w:ascii="Liberation Sans" w:hAnsi="Liberation Sans"/>
          <w:b/>
          <w:color w:val="1C5870"/>
          <w:sz w:val="20"/>
        </w:rPr>
        <w:t xml:space="preserve">M4 - PERCEPT integration: </w:t>
      </w:r>
      <w:r>
        <w:rPr>
          <w:rFonts w:ascii="Liberation Serif" w:hAnsi="Liberation Serif"/>
          <w:sz w:val="20"/>
        </w:rPr>
        <w:t>Replace simulated tokens with real image/video adapters and multiscale regions.</w:t>
      </w:r>
    </w:p>
    <w:p>
      <w:pPr>
        <w:spacing w:after="80"/>
      </w:pPr>
      <w:r>
        <w:rPr>
          <w:rFonts w:ascii="Liberation Sans" w:hAnsi="Liberation Sans"/>
          <w:b/>
          <w:color w:val="1C5870"/>
          <w:sz w:val="20"/>
        </w:rPr>
        <w:t xml:space="preserve">M5 - Basin role integration: </w:t>
      </w:r>
      <w:r>
        <w:rPr>
          <w:rFonts w:ascii="Liberation Serif" w:hAnsi="Liberation Serif"/>
          <w:sz w:val="20"/>
        </w:rPr>
        <w:t>Role Kernels subscribe to envelope fields; typed patches and holds replace prose traffic.</w:t>
      </w:r>
    </w:p>
    <w:p>
      <w:pPr>
        <w:spacing w:after="80"/>
      </w:pPr>
      <w:r>
        <w:rPr>
          <w:rFonts w:ascii="Liberation Sans" w:hAnsi="Liberation Sans"/>
          <w:b/>
          <w:color w:val="1C5870"/>
          <w:sz w:val="20"/>
        </w:rPr>
        <w:t xml:space="preserve">M6 - Federation: </w:t>
      </w:r>
      <w:r>
        <w:rPr>
          <w:rFonts w:ascii="Liberation Serif" w:hAnsi="Liberation Serif"/>
          <w:sz w:val="20"/>
        </w:rPr>
        <w:t>Mirrors, export/import, namespace governance, package and decoder registries.</w:t>
      </w:r>
    </w:p>
    <w:p>
      <w:pPr>
        <w:spacing w:after="80"/>
      </w:pPr>
      <w:r>
        <w:rPr>
          <w:rFonts w:ascii="Liberation Sans" w:hAnsi="Liberation Sans"/>
          <w:b/>
          <w:color w:val="1C5870"/>
          <w:sz w:val="20"/>
        </w:rPr>
        <w:t xml:space="preserve">M7 - Physical persistence: </w:t>
      </w:r>
      <w:r>
        <w:rPr>
          <w:rFonts w:ascii="Liberation Serif" w:hAnsi="Liberation Serif"/>
          <w:sz w:val="20"/>
        </w:rPr>
        <w:t>CNTM adapters, write/read/compare, addressing, regeneration and endurance research.</w:t>
      </w:r>
    </w:p>
    <w:p>
      <w:pPr>
        <w:pStyle w:val="Heading2"/>
      </w:pPr>
      <w:r>
        <w:t>17.2 Suggested agent workstreams</w:t>
      </w:r>
    </w:p>
    <w:tbl>
      <w:tblPr>
        <w:tblStyle w:val="TableGrid"/>
        <w:tblW w:type="auto" w:w="0"/>
        <w:jc w:val="center"/>
        <w:tblLook w:firstColumn="1" w:firstRow="1" w:lastColumn="0" w:lastRow="0" w:noHBand="0" w:noVBand="1" w:val="04A0"/>
      </w:tblPr>
      <w:tblGrid>
        <w:gridCol w:w="5083"/>
        <w:gridCol w:w="5083"/>
      </w:tblGrid>
      <w:tr>
        <w:tc>
          <w:tcPr>
            <w:tcW w:type="dxa" w:w="2088"/>
            <w:shd w:fill="DCE9F0"/>
            <w:tcMar>
              <w:top w:w="90" w:type="dxa"/>
              <w:start w:w="100" w:type="dxa"/>
              <w:bottom w:w="90" w:type="dxa"/>
              <w:end w:w="100" w:type="dxa"/>
            </w:tcMar>
          </w:tcPr>
          <w:p>
            <w:r>
              <w:rPr>
                <w:rFonts w:ascii="Liberation Sans" w:hAnsi="Liberation Sans"/>
                <w:b/>
                <w:sz w:val="17"/>
              </w:rPr>
              <w:t>Team / agent</w:t>
            </w:r>
          </w:p>
        </w:tc>
        <w:tc>
          <w:tcPr>
            <w:tcW w:type="dxa" w:w="8424"/>
            <w:shd w:fill="DCE9F0"/>
            <w:tcMar>
              <w:top w:w="90" w:type="dxa"/>
              <w:start w:w="100" w:type="dxa"/>
              <w:bottom w:w="90" w:type="dxa"/>
              <w:end w:w="100" w:type="dxa"/>
            </w:tcMar>
          </w:tcPr>
          <w:p>
            <w:r>
              <w:rPr>
                <w:rFonts w:ascii="Liberation Sans" w:hAnsi="Liberation Sans"/>
                <w:b/>
                <w:sz w:val="17"/>
              </w:rPr>
              <w:t>Immediate work packet</w:t>
            </w:r>
          </w:p>
        </w:tc>
      </w:tr>
      <w:tr>
        <w:tc>
          <w:tcPr>
            <w:tcW w:type="dxa" w:w="2088"/>
            <w:tcMar>
              <w:top w:w="90" w:type="dxa"/>
              <w:start w:w="100" w:type="dxa"/>
              <w:bottom w:w="90" w:type="dxa"/>
              <w:end w:w="100" w:type="dxa"/>
            </w:tcMar>
            <w:vAlign w:val="top"/>
          </w:tcPr>
          <w:p>
            <w:pPr>
              <w:spacing w:after="20"/>
            </w:pPr>
            <w:r>
              <w:rPr>
                <w:rFonts w:ascii="Liberation Serif" w:hAnsi="Liberation Serif"/>
                <w:sz w:val="17"/>
              </w:rPr>
              <w:t>Qwen</w:t>
            </w:r>
          </w:p>
        </w:tc>
        <w:tc>
          <w:tcPr>
            <w:tcW w:type="dxa" w:w="8424"/>
            <w:tcMar>
              <w:top w:w="90" w:type="dxa"/>
              <w:start w:w="100" w:type="dxa"/>
              <w:bottom w:w="90" w:type="dxa"/>
              <w:end w:w="100" w:type="dxa"/>
            </w:tcMar>
            <w:vAlign w:val="top"/>
          </w:tcPr>
          <w:p>
            <w:pPr>
              <w:spacing w:after="20"/>
            </w:pPr>
            <w:r>
              <w:rPr>
                <w:rFonts w:ascii="Liberation Serif" w:hAnsi="Liberation Serif"/>
                <w:sz w:val="17"/>
              </w:rPr>
              <w:t>Long-context canon comparison; envelope schema alternatives; Natural Math/SymLan mapping; adversarial test corpus.</w:t>
            </w:r>
          </w:p>
        </w:tc>
      </w:tr>
      <w:tr>
        <w:tc>
          <w:tcPr>
            <w:tcW w:type="dxa" w:w="2088"/>
            <w:tcMar>
              <w:top w:w="90" w:type="dxa"/>
              <w:start w:w="100" w:type="dxa"/>
              <w:bottom w:w="90" w:type="dxa"/>
              <w:end w:w="100" w:type="dxa"/>
            </w:tcMar>
            <w:vAlign w:val="top"/>
          </w:tcPr>
          <w:p>
            <w:pPr>
              <w:spacing w:after="20"/>
            </w:pPr>
            <w:r>
              <w:rPr>
                <w:rFonts w:ascii="Liberation Serif" w:hAnsi="Liberation Serif"/>
                <w:sz w:val="17"/>
              </w:rPr>
              <w:t>Codex</w:t>
            </w:r>
          </w:p>
        </w:tc>
        <w:tc>
          <w:tcPr>
            <w:tcW w:type="dxa" w:w="8424"/>
            <w:tcMar>
              <w:top w:w="90" w:type="dxa"/>
              <w:start w:w="100" w:type="dxa"/>
              <w:bottom w:w="90" w:type="dxa"/>
              <w:end w:w="100" w:type="dxa"/>
            </w:tcMar>
            <w:vAlign w:val="top"/>
          </w:tcPr>
          <w:p>
            <w:pPr>
              <w:spacing w:after="20"/>
            </w:pPr>
            <w:r>
              <w:rPr>
                <w:rFonts w:ascii="Liberation Serif" w:hAnsi="Liberation Serif"/>
                <w:sz w:val="17"/>
              </w:rPr>
              <w:t>Monorepo implementation; contracts; registry service; adapters; tests; first vertical slice.</w:t>
            </w:r>
          </w:p>
        </w:tc>
      </w:tr>
      <w:tr>
        <w:tc>
          <w:tcPr>
            <w:tcW w:type="dxa" w:w="2088"/>
            <w:tcMar>
              <w:top w:w="90" w:type="dxa"/>
              <w:start w:w="100" w:type="dxa"/>
              <w:bottom w:w="90" w:type="dxa"/>
              <w:end w:w="100" w:type="dxa"/>
            </w:tcMar>
            <w:vAlign w:val="top"/>
          </w:tcPr>
          <w:p>
            <w:pPr>
              <w:spacing w:after="20"/>
            </w:pPr>
            <w:r>
              <w:rPr>
                <w:rFonts w:ascii="Liberation Serif" w:hAnsi="Liberation Serif"/>
                <w:sz w:val="17"/>
              </w:rPr>
              <w:t>Claude Code</w:t>
            </w:r>
          </w:p>
        </w:tc>
        <w:tc>
          <w:tcPr>
            <w:tcW w:type="dxa" w:w="8424"/>
            <w:tcMar>
              <w:top w:w="90" w:type="dxa"/>
              <w:start w:w="100" w:type="dxa"/>
              <w:bottom w:w="90" w:type="dxa"/>
              <w:end w:w="100" w:type="dxa"/>
            </w:tcMar>
            <w:vAlign w:val="top"/>
          </w:tcPr>
          <w:p>
            <w:pPr>
              <w:spacing w:after="20"/>
            </w:pPr>
            <w:r>
              <w:rPr>
                <w:rFonts w:ascii="Liberation Serif" w:hAnsi="Liberation Serif"/>
                <w:sz w:val="17"/>
              </w:rPr>
              <w:t>Threat model; schema hostile review; federation and privacy review; contradiction audit.</w:t>
            </w:r>
          </w:p>
        </w:tc>
      </w:tr>
      <w:tr>
        <w:tc>
          <w:tcPr>
            <w:tcW w:type="dxa" w:w="2088"/>
            <w:tcMar>
              <w:top w:w="90" w:type="dxa"/>
              <w:start w:w="100" w:type="dxa"/>
              <w:bottom w:w="90" w:type="dxa"/>
              <w:end w:w="100" w:type="dxa"/>
            </w:tcMar>
            <w:vAlign w:val="top"/>
          </w:tcPr>
          <w:p>
            <w:pPr>
              <w:spacing w:after="20"/>
            </w:pPr>
            <w:r>
              <w:rPr>
                <w:rFonts w:ascii="Liberation Serif" w:hAnsi="Liberation Serif"/>
                <w:sz w:val="17"/>
              </w:rPr>
              <w:t>Grok Build</w:t>
            </w:r>
          </w:p>
        </w:tc>
        <w:tc>
          <w:tcPr>
            <w:tcW w:type="dxa" w:w="8424"/>
            <w:tcMar>
              <w:top w:w="90" w:type="dxa"/>
              <w:start w:w="100" w:type="dxa"/>
              <w:bottom w:w="90" w:type="dxa"/>
              <w:end w:w="100" w:type="dxa"/>
            </w:tcMar>
            <w:vAlign w:val="top"/>
          </w:tcPr>
          <w:p>
            <w:pPr>
              <w:spacing w:after="20"/>
            </w:pPr>
            <w:r>
              <w:rPr>
                <w:rFonts w:ascii="Liberation Serif" w:hAnsi="Liberation Serif"/>
                <w:sz w:val="17"/>
              </w:rPr>
              <w:t>Live service integration, server deployment, Cloudflare/GitHub evidence, operational dashboard.</w:t>
            </w:r>
          </w:p>
        </w:tc>
      </w:tr>
      <w:tr>
        <w:tc>
          <w:tcPr>
            <w:tcW w:type="dxa" w:w="2088"/>
            <w:tcMar>
              <w:top w:w="90" w:type="dxa"/>
              <w:start w:w="100" w:type="dxa"/>
              <w:bottom w:w="90" w:type="dxa"/>
              <w:end w:w="100" w:type="dxa"/>
            </w:tcMar>
            <w:vAlign w:val="top"/>
          </w:tcPr>
          <w:p>
            <w:pPr>
              <w:spacing w:after="20"/>
            </w:pPr>
            <w:r>
              <w:rPr>
                <w:rFonts w:ascii="Liberation Serif" w:hAnsi="Liberation Serif"/>
                <w:sz w:val="17"/>
              </w:rPr>
              <w:t>Human principals</w:t>
            </w:r>
          </w:p>
        </w:tc>
        <w:tc>
          <w:tcPr>
            <w:tcW w:type="dxa" w:w="8424"/>
            <w:tcMar>
              <w:top w:w="90" w:type="dxa"/>
              <w:start w:w="100" w:type="dxa"/>
              <w:bottom w:w="90" w:type="dxa"/>
              <w:end w:w="100" w:type="dxa"/>
            </w:tcMar>
            <w:vAlign w:val="top"/>
          </w:tcPr>
          <w:p>
            <w:pPr>
              <w:spacing w:after="20"/>
            </w:pPr>
            <w:r>
              <w:rPr>
                <w:rFonts w:ascii="Liberation Serif" w:hAnsi="Liberation Serif"/>
                <w:sz w:val="17"/>
              </w:rPr>
              <w:t>Resolve canon conflicts, approve namespaces, select demonstration scene, adjudicate HOLD items.</w:t>
            </w:r>
          </w:p>
        </w:tc>
      </w:tr>
    </w:tbl>
    <w:p>
      <w:pPr>
        <w:spacing w:after="20"/>
      </w:pPr>
    </w:p>
    <w:p>
      <w:pPr>
        <w:pStyle w:val="Heading1"/>
      </w:pPr>
      <w:r>
        <w:t>18. Risks and Open Questions</w:t>
      </w:r>
    </w:p>
    <w:p>
      <w:pPr>
        <w:spacing w:after="80"/>
      </w:pPr>
      <w:r>
        <w:rPr>
          <w:rFonts w:ascii="Liberation Sans" w:hAnsi="Liberation Sans"/>
          <w:b/>
          <w:color w:val="794034"/>
          <w:sz w:val="20"/>
        </w:rPr>
        <w:t xml:space="preserve">Semantic overreach: </w:t>
      </w:r>
      <w:r>
        <w:rPr>
          <w:rFonts w:ascii="Liberation Serif" w:hAnsi="Liberation Serif"/>
          <w:sz w:val="20"/>
        </w:rPr>
        <w:t>The system may label a compressed structure “understanding” without demonstrating reconstruction or useful consequence.</w:t>
      </w:r>
    </w:p>
    <w:p>
      <w:pPr>
        <w:spacing w:after="80"/>
      </w:pPr>
      <w:r>
        <w:rPr>
          <w:rFonts w:ascii="Liberation Sans" w:hAnsi="Liberation Sans"/>
          <w:b/>
          <w:color w:val="794034"/>
          <w:sz w:val="20"/>
        </w:rPr>
        <w:t xml:space="preserve">Universal-code assumption: </w:t>
      </w:r>
      <w:r>
        <w:rPr>
          <w:rFonts w:ascii="Liberation Serif" w:hAnsi="Liberation Serif"/>
          <w:sz w:val="20"/>
        </w:rPr>
        <w:t>Local attractor codes may be mistaken for globally stable identities.</w:t>
      </w:r>
    </w:p>
    <w:p>
      <w:pPr>
        <w:spacing w:after="80"/>
      </w:pPr>
      <w:r>
        <w:rPr>
          <w:rFonts w:ascii="Liberation Sans" w:hAnsi="Liberation Sans"/>
          <w:b/>
          <w:color w:val="794034"/>
          <w:sz w:val="20"/>
        </w:rPr>
        <w:t xml:space="preserve">Encoder blindness: </w:t>
      </w:r>
      <w:r>
        <w:rPr>
          <w:rFonts w:ascii="Liberation Serif" w:hAnsi="Liberation Serif"/>
          <w:sz w:val="20"/>
        </w:rPr>
        <w:t>A fractal-primary representation may discard information that later proves important.</w:t>
      </w:r>
    </w:p>
    <w:p>
      <w:pPr>
        <w:spacing w:after="80"/>
      </w:pPr>
      <w:r>
        <w:rPr>
          <w:rFonts w:ascii="Liberation Sans" w:hAnsi="Liberation Sans"/>
          <w:b/>
          <w:color w:val="794034"/>
          <w:sz w:val="20"/>
        </w:rPr>
        <w:t xml:space="preserve">Registry capture: </w:t>
      </w:r>
      <w:r>
        <w:rPr>
          <w:rFonts w:ascii="Liberation Serif" w:hAnsi="Liberation Serif"/>
          <w:sz w:val="20"/>
        </w:rPr>
        <w:t>One organization or model may control identity, promotion, or projection policy.</w:t>
      </w:r>
    </w:p>
    <w:p>
      <w:pPr>
        <w:spacing w:after="80"/>
      </w:pPr>
      <w:r>
        <w:rPr>
          <w:rFonts w:ascii="Liberation Sans" w:hAnsi="Liberation Sans"/>
          <w:b/>
          <w:color w:val="794034"/>
          <w:sz w:val="20"/>
        </w:rPr>
        <w:t xml:space="preserve">Executable knowledge attacks: </w:t>
      </w:r>
      <w:r>
        <w:rPr>
          <w:rFonts w:ascii="Liberation Serif" w:hAnsi="Liberation Serif"/>
          <w:sz w:val="20"/>
        </w:rPr>
        <w:t>Malicious artifacts may exploit clients or poison downstream Basins.</w:t>
      </w:r>
    </w:p>
    <w:p>
      <w:pPr>
        <w:spacing w:after="80"/>
      </w:pPr>
      <w:r>
        <w:rPr>
          <w:rFonts w:ascii="Liberation Sans" w:hAnsi="Liberation Sans"/>
          <w:b/>
          <w:color w:val="794034"/>
          <w:sz w:val="20"/>
        </w:rPr>
        <w:t xml:space="preserve">Lineage explosion: </w:t>
      </w:r>
      <w:r>
        <w:rPr>
          <w:rFonts w:ascii="Liberation Serif" w:hAnsi="Liberation Serif"/>
          <w:sz w:val="20"/>
        </w:rPr>
        <w:t>Append-only history and competing branches may become expensive and difficult to navigate.</w:t>
      </w:r>
    </w:p>
    <w:p>
      <w:pPr>
        <w:spacing w:after="80"/>
      </w:pPr>
      <w:r>
        <w:rPr>
          <w:rFonts w:ascii="Liberation Sans" w:hAnsi="Liberation Sans"/>
          <w:b/>
          <w:color w:val="794034"/>
          <w:sz w:val="20"/>
        </w:rPr>
        <w:t xml:space="preserve">Consensus pressure: </w:t>
      </w:r>
      <w:r>
        <w:rPr>
          <w:rFonts w:ascii="Liberation Serif" w:hAnsi="Liberation Serif"/>
          <w:sz w:val="20"/>
        </w:rPr>
        <w:t>Collaborative review may erase minority but correct interpretations.</w:t>
      </w:r>
    </w:p>
    <w:p>
      <w:pPr>
        <w:spacing w:after="80"/>
      </w:pPr>
      <w:r>
        <w:rPr>
          <w:rFonts w:ascii="Liberation Sans" w:hAnsi="Liberation Sans"/>
          <w:b/>
          <w:color w:val="794034"/>
          <w:sz w:val="20"/>
        </w:rPr>
        <w:t xml:space="preserve">Model-generated circularity: </w:t>
      </w:r>
      <w:r>
        <w:rPr>
          <w:rFonts w:ascii="Liberation Serif" w:hAnsi="Liberation Serif"/>
          <w:sz w:val="20"/>
        </w:rPr>
        <w:t>AI systems may cite and reinforce one another without independent evidence.</w:t>
      </w:r>
    </w:p>
    <w:p>
      <w:pPr>
        <w:spacing w:after="80"/>
      </w:pPr>
      <w:r>
        <w:rPr>
          <w:rFonts w:ascii="Liberation Sans" w:hAnsi="Liberation Sans"/>
          <w:b/>
          <w:color w:val="794034"/>
          <w:sz w:val="20"/>
        </w:rPr>
        <w:t xml:space="preserve">Privacy leakage: </w:t>
      </w:r>
      <w:r>
        <w:rPr>
          <w:rFonts w:ascii="Liberation Serif" w:hAnsi="Liberation Serif"/>
          <w:sz w:val="20"/>
        </w:rPr>
        <w:t>Local autobiographical associations may be exposed through public envelope patches.</w:t>
      </w:r>
    </w:p>
    <w:p>
      <w:pPr>
        <w:spacing w:after="80"/>
      </w:pPr>
      <w:r>
        <w:rPr>
          <w:rFonts w:ascii="Liberation Sans" w:hAnsi="Liberation Sans"/>
          <w:b/>
          <w:color w:val="794034"/>
          <w:sz w:val="20"/>
        </w:rPr>
        <w:t xml:space="preserve">Physical continuity mismatch: </w:t>
      </w:r>
      <w:r>
        <w:rPr>
          <w:rFonts w:ascii="Liberation Serif" w:hAnsi="Liberation Serif"/>
          <w:sz w:val="20"/>
        </w:rPr>
        <w:t>Future CNTM morphology may persist physically without preserving the intended semantic reconstruction.</w:t>
      </w:r>
    </w:p>
    <w:p>
      <w:pPr>
        <w:pStyle w:val="Heading2"/>
      </w:pPr>
      <w:r>
        <w:t>18.1 Questions that must remain open</w:t>
      </w:r>
    </w:p>
    <w:p>
      <w:pPr>
        <w:pStyle w:val="ListBullet"/>
        <w:spacing w:after="50" w:line="247" w:lineRule="auto"/>
      </w:pPr>
      <w:r>
        <w:rPr>
          <w:rFonts w:ascii="Liberation Serif" w:hAnsi="Liberation Serif"/>
          <w:sz w:val="20"/>
        </w:rPr>
        <w:t>What is the minimum envelope that still supports faithful reconstruction?</w:t>
      </w:r>
    </w:p>
    <w:p>
      <w:pPr>
        <w:pStyle w:val="ListBullet"/>
        <w:spacing w:after="50" w:line="247" w:lineRule="auto"/>
      </w:pPr>
      <w:r>
        <w:rPr>
          <w:rFonts w:ascii="Liberation Serif" w:hAnsi="Liberation Serif"/>
          <w:sz w:val="20"/>
        </w:rPr>
        <w:t>Which relations belong in shared canon and which belong only in a local Basin?</w:t>
      </w:r>
    </w:p>
    <w:p>
      <w:pPr>
        <w:pStyle w:val="ListBullet"/>
        <w:spacing w:after="50" w:line="247" w:lineRule="auto"/>
      </w:pPr>
      <w:r>
        <w:rPr>
          <w:rFonts w:ascii="Liberation Serif" w:hAnsi="Liberation Serif"/>
          <w:sz w:val="20"/>
        </w:rPr>
        <w:t>How should incompatible Natural Math or SymLan descriptions coexist under one identity?</w:t>
      </w:r>
    </w:p>
    <w:p>
      <w:pPr>
        <w:pStyle w:val="ListBullet"/>
        <w:spacing w:after="50" w:line="247" w:lineRule="auto"/>
      </w:pPr>
      <w:r>
        <w:rPr>
          <w:rFonts w:ascii="Liberation Serif" w:hAnsi="Liberation Serif"/>
          <w:sz w:val="20"/>
        </w:rPr>
        <w:t>What evidence is sufficient to promote a substrate-local attractor mapping?</w:t>
      </w:r>
    </w:p>
    <w:p>
      <w:pPr>
        <w:pStyle w:val="ListBullet"/>
        <w:spacing w:after="50" w:line="247" w:lineRule="auto"/>
      </w:pPr>
      <w:r>
        <w:rPr>
          <w:rFonts w:ascii="Liberation Serif" w:hAnsi="Liberation Serif"/>
          <w:sz w:val="20"/>
        </w:rPr>
        <w:t>How should envelope versions decay, consolidate, or remain queryable at planetary scale?</w:t>
      </w:r>
    </w:p>
    <w:p>
      <w:pPr>
        <w:pStyle w:val="ListBullet"/>
        <w:spacing w:after="50" w:line="247" w:lineRule="auto"/>
      </w:pPr>
      <w:r>
        <w:rPr>
          <w:rFonts w:ascii="Liberation Serif" w:hAnsi="Liberation Serif"/>
          <w:sz w:val="20"/>
        </w:rPr>
        <w:t>Can fractal-first encodings become sufficiently reversible to replace raw sensor storage for some classes of data?</w:t>
      </w:r>
    </w:p>
    <w:p>
      <w:pPr>
        <w:pStyle w:val="ListBullet"/>
        <w:spacing w:after="50" w:line="247" w:lineRule="auto"/>
      </w:pPr>
      <w:r>
        <w:rPr>
          <w:rFonts w:ascii="Liberation Serif" w:hAnsi="Liberation Serif"/>
          <w:sz w:val="20"/>
        </w:rPr>
        <w:t>How can a federated registry resist both fragmentation and centralized capture?</w:t>
      </w:r>
    </w:p>
    <w:p>
      <w:pPr>
        <w:pStyle w:val="ListBullet"/>
        <w:spacing w:after="50" w:line="247" w:lineRule="auto"/>
      </w:pPr>
      <w:r>
        <w:rPr>
          <w:rFonts w:ascii="Liberation Serif" w:hAnsi="Liberation Serif"/>
          <w:sz w:val="20"/>
        </w:rPr>
        <w:t>Which properties must eventually survive physical CNTM regeneration for continuity to be considered preserved?</w:t>
      </w:r>
    </w:p>
    <w:p>
      <w:pPr>
        <w:pStyle w:val="Heading1"/>
      </w:pPr>
      <w:r>
        <w:t>19. Conclusion</w:t>
      </w:r>
    </w:p>
    <w:p>
      <w:pPr>
        <w:keepNext w:val="0"/>
        <w:spacing w:after="110"/>
      </w:pPr>
      <w:r>
        <w:rPr>
          <w:rFonts w:ascii="Liberation Serif" w:hAnsi="Liberation Serif"/>
          <w:sz w:val="20"/>
        </w:rPr>
        <w:t>The principal development risk is no longer that the project lacks powerful components. It is that the components develop without a shared semantic and operational boundary. The Being Envelope supplies that boundary.</w:t>
      </w:r>
    </w:p>
    <w:p>
      <w:pPr>
        <w:keepNext w:val="0"/>
        <w:spacing w:after="110"/>
      </w:pPr>
      <w:r>
        <w:rPr>
          <w:rFonts w:ascii="Liberation Serif" w:hAnsi="Liberation Serif"/>
          <w:sz w:val="20"/>
        </w:rPr>
        <w:t>It makes reality readable as formation, understanding storable as reconstructable relationship, knowledge shareable as executable evidence, and memory preservable as a lineaged history of becoming. It allows stable global concept identity without denying the local, instance-specific character of physical and cognitive encodings.</w:t>
      </w:r>
    </w:p>
    <w:tbl>
      <w:tblPr>
        <w:tblW w:type="auto" w:w="0"/>
        <w:jc w:val="center"/>
        <w:tblLook w:firstColumn="1" w:firstRow="1" w:lastColumn="0" w:lastRow="0" w:noHBand="0" w:noVBand="1" w:val="04A0"/>
      </w:tblPr>
      <w:tblGrid>
        <w:gridCol w:w="10166"/>
      </w:tblGrid>
      <w:tr>
        <w:tc>
          <w:tcPr>
            <w:tcW w:type="dxa" w:w="10166"/>
            <w:shd w:fill="EAF1F5"/>
            <w:tcMar>
              <w:top w:w="140" w:type="dxa"/>
              <w:start w:w="180" w:type="dxa"/>
              <w:bottom w:w="140" w:type="dxa"/>
              <w:end w:w="180" w:type="dxa"/>
            </w:tcMar>
            <w:tcBorders>
              <w:top w:val="single" w:sz="8" w:color="2F7C91"/>
              <w:left w:val="single" w:sz="8" w:color="2F7C91"/>
              <w:bottom w:val="single" w:sz="8" w:color="2F7C91"/>
              <w:right w:val="single" w:sz="8" w:color="2F7C91"/>
            </w:tcBorders>
          </w:tcPr>
          <w:p>
            <w:pPr>
              <w:spacing w:after="0"/>
              <w:jc w:val="center"/>
            </w:pPr>
            <w:r>
              <w:rPr>
                <w:rFonts w:ascii="Liberation Sans" w:hAnsi="Liberation Sans"/>
                <w:b/>
                <w:color w:val="193446"/>
                <w:sz w:val="22"/>
              </w:rPr>
              <w:t>The envelope is the foundation to build first: one common object that every future sensor, role, registry, simulation, Logient, and physical memory adapter can read, write, test, revise, and reconstruct.</w:t>
            </w:r>
          </w:p>
        </w:tc>
      </w:tr>
    </w:tbl>
    <w:p>
      <w:pPr>
        <w:spacing w:after="20"/>
      </w:pPr>
    </w:p>
    <w:p>
      <w:r>
        <w:br w:type="page"/>
      </w:r>
    </w:p>
    <w:p>
      <w:pPr>
        <w:pStyle w:val="Heading1"/>
      </w:pPr>
      <w:r>
        <w:t>Appendix A. Provisional Envelope Schema</w:t>
      </w:r>
    </w:p>
    <w:p>
      <w:pPr>
        <w:pStyle w:val="CodeBlock"/>
      </w:pPr>
      <w:r>
        <w:rPr>
          <w:rFonts w:ascii="Liberation Mono" w:hAnsi="Liberation Mono"/>
          <w:sz w:val="15"/>
        </w:rPr>
        <w:t>{</w:t>
        <w:br/>
        <w:t xml:space="preserve">  "schema_version": "being-envelope/0.1",</w:t>
        <w:br/>
        <w:t xml:space="preserve">  "envelope_id": "be:uuid-or-content-id",</w:t>
        <w:br/>
        <w:t xml:space="preserve">  "identity": {</w:t>
        <w:br/>
        <w:t xml:space="preserve">    "concept_id": "tower:namespace:permanent-id",</w:t>
        <w:br/>
        <w:t xml:space="preserve">    "version": "semver-or-event-version",</w:t>
        <w:br/>
        <w:t xml:space="preserve">    "status": "candidate|current|superseded|retracted",</w:t>
        <w:br/>
        <w:t xml:space="preserve">    "aliases": [],</w:t>
        <w:br/>
        <w:t xml:space="preserve">    "signatures": []</w:t>
        <w:br/>
        <w:t xml:space="preserve">  },</w:t>
        <w:br/>
        <w:t xml:space="preserve">  "lineage": {</w:t>
        <w:br/>
        <w:t xml:space="preserve">    "parents": [],</w:t>
        <w:br/>
        <w:t xml:space="preserve">    "derived_from": [],</w:t>
        <w:br/>
        <w:t xml:space="preserve">    "supersedes": [],</w:t>
        <w:br/>
        <w:t xml:space="preserve">    "forks": [],</w:t>
        <w:br/>
        <w:t xml:space="preserve">    "contributors": []</w:t>
        <w:br/>
        <w:t xml:space="preserve">  },</w:t>
        <w:br/>
        <w:t xml:space="preserve">  "natural_math": {</w:t>
        <w:br/>
        <w:t xml:space="preserve">    "spec_version": "canonical-reference",</w:t>
        <w:br/>
        <w:t xml:space="preserve">    "expression_ref": "cas:sha256:...",</w:t>
        <w:br/>
        <w:t xml:space="preserve">    "initial_conditions": {},</w:t>
        <w:br/>
        <w:t xml:space="preserve">    "boundary_conditions": {},</w:t>
        <w:br/>
        <w:t xml:space="preserve">    "local_process_states": []</w:t>
        <w:br/>
        <w:t xml:space="preserve">  },</w:t>
        <w:br/>
        <w:t xml:space="preserve">  "symlan": {</w:t>
        <w:br/>
        <w:t xml:space="preserve">    "language_version": "...",</w:t>
        <w:br/>
        <w:t xml:space="preserve">    "program_ref": "cas:sha256:...",</w:t>
        <w:br/>
        <w:t xml:space="preserve">    "resolved_vocabulary": [],</w:t>
        <w:br/>
        <w:t xml:space="preserve">    "pending_vocabulary": []</w:t>
        <w:br/>
        <w:t xml:space="preserve">  },</w:t>
        <w:br/>
        <w:t xml:space="preserve">  "attractor_bundle": [{</w:t>
        <w:br/>
        <w:t xml:space="preserve">    "instance_id": "...",</w:t>
        <w:br/>
        <w:t xml:space="preserve">    "substrate": "...",</w:t>
        <w:br/>
        <w:t xml:space="preserve">    "feature_schema": "...",</w:t>
        <w:br/>
        <w:t xml:space="preserve">    "codebook_ref": "cas:sha256:...",</w:t>
        <w:br/>
        <w:t xml:space="preserve">    "decoder_ref": "cas:sha256:...",</w:t>
        <w:br/>
        <w:t xml:space="preserve">    "capacity_entropy_bits": 0.0,</w:t>
        <w:br/>
        <w:t xml:space="preserve">    "realized_entropy_bits": 0.0,</w:t>
        <w:br/>
        <w:t xml:space="preserve">    "held_out_fidelity": {},</w:t>
        <w:br/>
        <w:t xml:space="preserve">    "drift_and_replicate_controls": {},</w:t>
        <w:br/>
        <w:t xml:space="preserve">    "validity_scope": {}</w:t>
        <w:br/>
        <w:t xml:space="preserve">  }],</w:t>
        <w:br/>
        <w:t xml:space="preserve">  "evidence": {</w:t>
        <w:br/>
        <w:t xml:space="preserve">    "observations": [],</w:t>
        <w:br/>
        <w:t xml:space="preserve">    "counterevidence": [],</w:t>
        <w:br/>
        <w:t xml:space="preserve">    "provenance": [],</w:t>
        <w:br/>
        <w:t xml:space="preserve">    "transformations": [],</w:t>
        <w:br/>
        <w:t xml:space="preserve">    "uncertainty": []</w:t>
        <w:br/>
        <w:t xml:space="preserve">  },</w:t>
        <w:br/>
        <w:t xml:space="preserve">  "state": {</w:t>
        <w:br/>
        <w:t xml:space="preserve">    "epistemic": "SUPPORTED|UNRESOLVED|CONTRADICTED",</w:t>
        <w:br/>
        <w:t xml:space="preserve">    "action": "EXTEND|HOLD|RETRACT",</w:t>
        <w:br/>
        <w:t xml:space="preserve">    "hold_ticket": null</w:t>
        <w:br/>
        <w:t xml:space="preserve">  },</w:t>
        <w:br/>
        <w:t xml:space="preserve">  "reconstruction": {</w:t>
        <w:br/>
        <w:t xml:space="preserve">    "test_vectors": [],</w:t>
        <w:br/>
        <w:t xml:space="preserve">    "acceptance_thresholds": {},</w:t>
        <w:br/>
        <w:t xml:space="preserve">    "results": [],</w:t>
        <w:br/>
        <w:t xml:space="preserve">    "known_failures": []</w:t>
        <w:br/>
        <w:t xml:space="preserve">  },</w:t>
        <w:br/>
        <w:t xml:space="preserve">  "associations": {</w:t>
        <w:br/>
        <w:t xml:space="preserve">    "shared_relations": [],</w:t>
        <w:br/>
        <w:t xml:space="preserve">    "local_basin_refs": []</w:t>
        <w:br/>
        <w:t xml:space="preserve">  },</w:t>
        <w:br/>
        <w:t xml:space="preserve">  "projections": [],</w:t>
        <w:br/>
        <w:t xml:space="preserve">  "capability_claims": [],</w:t>
        <w:br/>
        <w:t xml:space="preserve">  "retention_and_privacy": {},</w:t>
        <w:br/>
        <w:t xml:space="preserve">  "content_hash": "sha256:..."</w:t>
        <w:br/>
        <w:t>}</w:t>
      </w:r>
    </w:p>
    <w:p>
      <w:pPr>
        <w:pStyle w:val="Heading1"/>
      </w:pPr>
      <w:r>
        <w:t>Appendix B. Initial API Surface</w:t>
      </w:r>
    </w:p>
    <w:tbl>
      <w:tblPr>
        <w:tblStyle w:val="TableGrid"/>
        <w:tblW w:type="auto" w:w="0"/>
        <w:jc w:val="center"/>
        <w:tblLook w:firstColumn="1" w:firstRow="1" w:lastColumn="0" w:lastRow="0" w:noHBand="0" w:noVBand="1" w:val="04A0"/>
      </w:tblPr>
      <w:tblGrid>
        <w:gridCol w:w="5083"/>
        <w:gridCol w:w="5083"/>
      </w:tblGrid>
      <w:tr>
        <w:tc>
          <w:tcPr>
            <w:tcW w:type="dxa" w:w="3744"/>
            <w:shd w:fill="DCE9F0"/>
            <w:tcMar>
              <w:top w:w="90" w:type="dxa"/>
              <w:start w:w="100" w:type="dxa"/>
              <w:bottom w:w="90" w:type="dxa"/>
              <w:end w:w="100" w:type="dxa"/>
            </w:tcMar>
          </w:tcPr>
          <w:p>
            <w:r>
              <w:rPr>
                <w:rFonts w:ascii="Liberation Sans" w:hAnsi="Liberation Sans"/>
                <w:b/>
                <w:sz w:val="17"/>
              </w:rPr>
              <w:t>Endpoint</w:t>
            </w:r>
          </w:p>
        </w:tc>
        <w:tc>
          <w:tcPr>
            <w:tcW w:type="dxa" w:w="6696"/>
            <w:shd w:fill="DCE9F0"/>
            <w:tcMar>
              <w:top w:w="90" w:type="dxa"/>
              <w:start w:w="100" w:type="dxa"/>
              <w:bottom w:w="90" w:type="dxa"/>
              <w:end w:w="100" w:type="dxa"/>
            </w:tcMar>
          </w:tcPr>
          <w:p>
            <w:r>
              <w:rPr>
                <w:rFonts w:ascii="Liberation Sans" w:hAnsi="Liberation Sans"/>
                <w:b/>
                <w:sz w:val="17"/>
              </w:rPr>
              <w:t>Purpose</w:t>
            </w:r>
          </w:p>
        </w:tc>
      </w:tr>
      <w:tr>
        <w:tc>
          <w:tcPr>
            <w:tcW w:type="dxa" w:w="3744"/>
            <w:tcMar>
              <w:top w:w="90" w:type="dxa"/>
              <w:start w:w="100" w:type="dxa"/>
              <w:bottom w:w="90" w:type="dxa"/>
              <w:end w:w="100" w:type="dxa"/>
            </w:tcMar>
            <w:vAlign w:val="top"/>
          </w:tcPr>
          <w:p>
            <w:pPr>
              <w:spacing w:after="20"/>
            </w:pPr>
            <w:r>
              <w:rPr>
                <w:rFonts w:ascii="Liberation Serif" w:hAnsi="Liberation Serif"/>
                <w:sz w:val="17"/>
              </w:rPr>
              <w:t>POST /v1/envelopes</w:t>
            </w:r>
          </w:p>
        </w:tc>
        <w:tc>
          <w:tcPr>
            <w:tcW w:type="dxa" w:w="6696"/>
            <w:tcMar>
              <w:top w:w="90" w:type="dxa"/>
              <w:start w:w="100" w:type="dxa"/>
              <w:bottom w:w="90" w:type="dxa"/>
              <w:end w:w="100" w:type="dxa"/>
            </w:tcMar>
            <w:vAlign w:val="top"/>
          </w:tcPr>
          <w:p>
            <w:pPr>
              <w:spacing w:after="20"/>
            </w:pPr>
            <w:r>
              <w:rPr>
                <w:rFonts w:ascii="Liberation Serif" w:hAnsi="Liberation Serif"/>
                <w:sz w:val="17"/>
              </w:rPr>
              <w:t>Create a candidate envelope; never implies promotion.</w:t>
            </w:r>
          </w:p>
        </w:tc>
      </w:tr>
      <w:tr>
        <w:tc>
          <w:tcPr>
            <w:tcW w:type="dxa" w:w="3744"/>
            <w:tcMar>
              <w:top w:w="90" w:type="dxa"/>
              <w:start w:w="100" w:type="dxa"/>
              <w:bottom w:w="90" w:type="dxa"/>
              <w:end w:w="100" w:type="dxa"/>
            </w:tcMar>
            <w:vAlign w:val="top"/>
          </w:tcPr>
          <w:p>
            <w:pPr>
              <w:spacing w:after="20"/>
            </w:pPr>
            <w:r>
              <w:rPr>
                <w:rFonts w:ascii="Liberation Serif" w:hAnsi="Liberation Serif"/>
                <w:sz w:val="17"/>
              </w:rPr>
              <w:t>GET /v1/envelopes/{id}</w:t>
            </w:r>
          </w:p>
        </w:tc>
        <w:tc>
          <w:tcPr>
            <w:tcW w:type="dxa" w:w="6696"/>
            <w:tcMar>
              <w:top w:w="90" w:type="dxa"/>
              <w:start w:w="100" w:type="dxa"/>
              <w:bottom w:w="90" w:type="dxa"/>
              <w:end w:w="100" w:type="dxa"/>
            </w:tcMar>
            <w:vAlign w:val="top"/>
          </w:tcPr>
          <w:p>
            <w:pPr>
              <w:spacing w:after="20"/>
            </w:pPr>
            <w:r>
              <w:rPr>
                <w:rFonts w:ascii="Liberation Serif" w:hAnsi="Liberation Serif"/>
                <w:sz w:val="17"/>
              </w:rPr>
              <w:t>Resolve a specific version or current pointer.</w:t>
            </w:r>
          </w:p>
        </w:tc>
      </w:tr>
      <w:tr>
        <w:tc>
          <w:tcPr>
            <w:tcW w:type="dxa" w:w="3744"/>
            <w:tcMar>
              <w:top w:w="90" w:type="dxa"/>
              <w:start w:w="100" w:type="dxa"/>
              <w:bottom w:w="90" w:type="dxa"/>
              <w:end w:w="100" w:type="dxa"/>
            </w:tcMar>
            <w:vAlign w:val="top"/>
          </w:tcPr>
          <w:p>
            <w:pPr>
              <w:spacing w:after="20"/>
            </w:pPr>
            <w:r>
              <w:rPr>
                <w:rFonts w:ascii="Liberation Serif" w:hAnsi="Liberation Serif"/>
                <w:sz w:val="17"/>
              </w:rPr>
              <w:t>POST /v1/envelopes/{id}/patches</w:t>
            </w:r>
          </w:p>
        </w:tc>
        <w:tc>
          <w:tcPr>
            <w:tcW w:type="dxa" w:w="6696"/>
            <w:tcMar>
              <w:top w:w="90" w:type="dxa"/>
              <w:start w:w="100" w:type="dxa"/>
              <w:bottom w:w="90" w:type="dxa"/>
              <w:end w:w="100" w:type="dxa"/>
            </w:tcMar>
            <w:vAlign w:val="top"/>
          </w:tcPr>
          <w:p>
            <w:pPr>
              <w:spacing w:after="20"/>
            </w:pPr>
            <w:r>
              <w:rPr>
                <w:rFonts w:ascii="Liberation Serif" w:hAnsi="Liberation Serif"/>
                <w:sz w:val="17"/>
              </w:rPr>
              <w:t>Submit typed evidence, relation, mapping, or projection patch.</w:t>
            </w:r>
          </w:p>
        </w:tc>
      </w:tr>
      <w:tr>
        <w:tc>
          <w:tcPr>
            <w:tcW w:type="dxa" w:w="3744"/>
            <w:tcMar>
              <w:top w:w="90" w:type="dxa"/>
              <w:start w:w="100" w:type="dxa"/>
              <w:bottom w:w="90" w:type="dxa"/>
              <w:end w:w="100" w:type="dxa"/>
            </w:tcMar>
            <w:vAlign w:val="top"/>
          </w:tcPr>
          <w:p>
            <w:pPr>
              <w:spacing w:after="20"/>
            </w:pPr>
            <w:r>
              <w:rPr>
                <w:rFonts w:ascii="Liberation Serif" w:hAnsi="Liberation Serif"/>
                <w:sz w:val="17"/>
              </w:rPr>
              <w:t>POST /v1/envelopes/{id}/reconstruct</w:t>
            </w:r>
          </w:p>
        </w:tc>
        <w:tc>
          <w:tcPr>
            <w:tcW w:type="dxa" w:w="6696"/>
            <w:tcMar>
              <w:top w:w="90" w:type="dxa"/>
              <w:start w:w="100" w:type="dxa"/>
              <w:bottom w:w="90" w:type="dxa"/>
              <w:end w:w="100" w:type="dxa"/>
            </w:tcMar>
            <w:vAlign w:val="top"/>
          </w:tcPr>
          <w:p>
            <w:pPr>
              <w:spacing w:after="20"/>
            </w:pPr>
            <w:r>
              <w:rPr>
                <w:rFonts w:ascii="Liberation Serif" w:hAnsi="Liberation Serif"/>
                <w:sz w:val="17"/>
              </w:rPr>
              <w:t>Run declared reconstruction tests in a governed environment.</w:t>
            </w:r>
          </w:p>
        </w:tc>
      </w:tr>
      <w:tr>
        <w:tc>
          <w:tcPr>
            <w:tcW w:type="dxa" w:w="3744"/>
            <w:tcMar>
              <w:top w:w="90" w:type="dxa"/>
              <w:start w:w="100" w:type="dxa"/>
              <w:bottom w:w="90" w:type="dxa"/>
              <w:end w:w="100" w:type="dxa"/>
            </w:tcMar>
            <w:vAlign w:val="top"/>
          </w:tcPr>
          <w:p>
            <w:pPr>
              <w:spacing w:after="20"/>
            </w:pPr>
            <w:r>
              <w:rPr>
                <w:rFonts w:ascii="Liberation Serif" w:hAnsi="Liberation Serif"/>
                <w:sz w:val="17"/>
              </w:rPr>
              <w:t>POST /v1/envelopes/{id}/review</w:t>
            </w:r>
          </w:p>
        </w:tc>
        <w:tc>
          <w:tcPr>
            <w:tcW w:type="dxa" w:w="6696"/>
            <w:tcMar>
              <w:top w:w="90" w:type="dxa"/>
              <w:start w:w="100" w:type="dxa"/>
              <w:bottom w:w="90" w:type="dxa"/>
              <w:end w:w="100" w:type="dxa"/>
            </w:tcMar>
            <w:vAlign w:val="top"/>
          </w:tcPr>
          <w:p>
            <w:pPr>
              <w:spacing w:after="20"/>
            </w:pPr>
            <w:r>
              <w:rPr>
                <w:rFonts w:ascii="Liberation Serif" w:hAnsi="Liberation Serif"/>
                <w:sz w:val="17"/>
              </w:rPr>
              <w:t>Record EXTEND / HOLD / RETRACT with evidence and authority.</w:t>
            </w:r>
          </w:p>
        </w:tc>
      </w:tr>
      <w:tr>
        <w:tc>
          <w:tcPr>
            <w:tcW w:type="dxa" w:w="3744"/>
            <w:tcMar>
              <w:top w:w="90" w:type="dxa"/>
              <w:start w:w="100" w:type="dxa"/>
              <w:bottom w:w="90" w:type="dxa"/>
              <w:end w:w="100" w:type="dxa"/>
            </w:tcMar>
            <w:vAlign w:val="top"/>
          </w:tcPr>
          <w:p>
            <w:pPr>
              <w:spacing w:after="20"/>
            </w:pPr>
            <w:r>
              <w:rPr>
                <w:rFonts w:ascii="Liberation Serif" w:hAnsi="Liberation Serif"/>
                <w:sz w:val="17"/>
              </w:rPr>
              <w:t>GET /v1/envelopes/{id}/lineage</w:t>
            </w:r>
          </w:p>
        </w:tc>
        <w:tc>
          <w:tcPr>
            <w:tcW w:type="dxa" w:w="6696"/>
            <w:tcMar>
              <w:top w:w="90" w:type="dxa"/>
              <w:start w:w="100" w:type="dxa"/>
              <w:bottom w:w="90" w:type="dxa"/>
              <w:end w:w="100" w:type="dxa"/>
            </w:tcMar>
            <w:vAlign w:val="top"/>
          </w:tcPr>
          <w:p>
            <w:pPr>
              <w:spacing w:after="20"/>
            </w:pPr>
            <w:r>
              <w:rPr>
                <w:rFonts w:ascii="Liberation Serif" w:hAnsi="Liberation Serif"/>
                <w:sz w:val="17"/>
              </w:rPr>
              <w:t>Return event-sourced history, forks, supersessions and retractions.</w:t>
            </w:r>
          </w:p>
        </w:tc>
      </w:tr>
      <w:tr>
        <w:tc>
          <w:tcPr>
            <w:tcW w:type="dxa" w:w="3744"/>
            <w:tcMar>
              <w:top w:w="90" w:type="dxa"/>
              <w:start w:w="100" w:type="dxa"/>
              <w:bottom w:w="90" w:type="dxa"/>
              <w:end w:w="100" w:type="dxa"/>
            </w:tcMar>
            <w:vAlign w:val="top"/>
          </w:tcPr>
          <w:p>
            <w:pPr>
              <w:spacing w:after="20"/>
            </w:pPr>
            <w:r>
              <w:rPr>
                <w:rFonts w:ascii="Liberation Serif" w:hAnsi="Liberation Serif"/>
                <w:sz w:val="17"/>
              </w:rPr>
              <w:t>POST /v1/attractor-mappings</w:t>
            </w:r>
          </w:p>
        </w:tc>
        <w:tc>
          <w:tcPr>
            <w:tcW w:type="dxa" w:w="6696"/>
            <w:tcMar>
              <w:top w:w="90" w:type="dxa"/>
              <w:start w:w="100" w:type="dxa"/>
              <w:bottom w:w="90" w:type="dxa"/>
              <w:end w:w="100" w:type="dxa"/>
            </w:tcMar>
            <w:vAlign w:val="top"/>
          </w:tcPr>
          <w:p>
            <w:pPr>
              <w:spacing w:after="20"/>
            </w:pPr>
            <w:r>
              <w:rPr>
                <w:rFonts w:ascii="Liberation Serif" w:hAnsi="Liberation Serif"/>
                <w:sz w:val="17"/>
              </w:rPr>
              <w:t>Register an instance-local codebook and decoder.</w:t>
            </w:r>
          </w:p>
        </w:tc>
      </w:tr>
      <w:tr>
        <w:tc>
          <w:tcPr>
            <w:tcW w:type="dxa" w:w="3744"/>
            <w:tcMar>
              <w:top w:w="90" w:type="dxa"/>
              <w:start w:w="100" w:type="dxa"/>
              <w:bottom w:w="90" w:type="dxa"/>
              <w:end w:w="100" w:type="dxa"/>
            </w:tcMar>
            <w:vAlign w:val="top"/>
          </w:tcPr>
          <w:p>
            <w:pPr>
              <w:spacing w:after="20"/>
            </w:pPr>
            <w:r>
              <w:rPr>
                <w:rFonts w:ascii="Liberation Serif" w:hAnsi="Liberation Serif"/>
                <w:sz w:val="17"/>
              </w:rPr>
              <w:t>GET /v1/concepts/resolve</w:t>
            </w:r>
          </w:p>
        </w:tc>
        <w:tc>
          <w:tcPr>
            <w:tcW w:type="dxa" w:w="6696"/>
            <w:tcMar>
              <w:top w:w="90" w:type="dxa"/>
              <w:start w:w="100" w:type="dxa"/>
              <w:bottom w:w="90" w:type="dxa"/>
              <w:end w:w="100" w:type="dxa"/>
            </w:tcMar>
            <w:vAlign w:val="top"/>
          </w:tcPr>
          <w:p>
            <w:pPr>
              <w:spacing w:after="20"/>
            </w:pPr>
            <w:r>
              <w:rPr>
                <w:rFonts w:ascii="Liberation Serif" w:hAnsi="Liberation Serif"/>
                <w:sz w:val="17"/>
              </w:rPr>
              <w:t>Resolve aliases, language surfaces, local codes and candidate identities.</w:t>
            </w:r>
          </w:p>
        </w:tc>
      </w:tr>
      <w:tr>
        <w:tc>
          <w:tcPr>
            <w:tcW w:type="dxa" w:w="3744"/>
            <w:tcMar>
              <w:top w:w="90" w:type="dxa"/>
              <w:start w:w="100" w:type="dxa"/>
              <w:bottom w:w="90" w:type="dxa"/>
              <w:end w:w="100" w:type="dxa"/>
            </w:tcMar>
            <w:vAlign w:val="top"/>
          </w:tcPr>
          <w:p>
            <w:pPr>
              <w:spacing w:after="20"/>
            </w:pPr>
            <w:r>
              <w:rPr>
                <w:rFonts w:ascii="Liberation Serif" w:hAnsi="Liberation Serif"/>
                <w:sz w:val="17"/>
              </w:rPr>
              <w:t>GET /v1/capabilities</w:t>
            </w:r>
          </w:p>
        </w:tc>
        <w:tc>
          <w:tcPr>
            <w:tcW w:type="dxa" w:w="6696"/>
            <w:tcMar>
              <w:top w:w="90" w:type="dxa"/>
              <w:start w:w="100" w:type="dxa"/>
              <w:bottom w:w="90" w:type="dxa"/>
              <w:end w:w="100" w:type="dxa"/>
            </w:tcMar>
            <w:vAlign w:val="top"/>
          </w:tcPr>
          <w:p>
            <w:pPr>
              <w:spacing w:after="20"/>
            </w:pPr>
            <w:r>
              <w:rPr>
                <w:rFonts w:ascii="Liberation Serif" w:hAnsi="Liberation Serif"/>
                <w:sz w:val="17"/>
              </w:rPr>
              <w:t>Return machine-verifiable implemented/tested/deployed states.</w:t>
            </w:r>
          </w:p>
        </w:tc>
      </w:tr>
    </w:tbl>
    <w:p>
      <w:pPr>
        <w:spacing w:after="20"/>
      </w:pPr>
    </w:p>
    <w:p>
      <w:pPr>
        <w:pStyle w:val="Heading1"/>
      </w:pPr>
      <w:r>
        <w:t>Appendix C. Immediate Prompting Brief</w:t>
      </w:r>
    </w:p>
    <w:p>
      <w:pPr>
        <w:keepNext w:val="0"/>
        <w:spacing w:after="110"/>
      </w:pPr>
      <w:r>
        <w:rPr>
          <w:rFonts w:ascii="Liberation Serif" w:hAnsi="Liberation Serif"/>
          <w:sz w:val="20"/>
        </w:rPr>
        <w:t>The first team prompt should instruct the implementation agent to build the envelope foundation, not the complete global knowledgebase. The minimum directive is:</w:t>
      </w:r>
    </w:p>
    <w:p>
      <w:pPr>
        <w:pStyle w:val="CodeBlock"/>
      </w:pPr>
      <w:r>
        <w:rPr>
          <w:rFonts w:ascii="Liberation Mono" w:hAnsi="Liberation Mono"/>
          <w:sz w:val="14"/>
        </w:rPr>
        <w:t>Implement the first software-only Being Envelope vertical slice in the private cognitive-basin-platform repository.</w:t>
        <w:br/>
        <w:br/>
        <w:t>Do not modify frozen Natural Math reference code. Do not claim physical CNTM, universal attractor codes, real InfinitySight perception, or global registry completion.</w:t>
        <w:br/>
        <w:br/>
        <w:t>Build:</w:t>
        <w:br/>
        <w:t>1. Versioned envelope JSON Schema and typed contracts.</w:t>
        <w:br/>
        <w:t>2. A local identity registry and append-only event ledger.</w:t>
        <w:br/>
        <w:t>3. PERCEPT adapter for one bounded recorded or synthetic scene.</w:t>
        <w:br/>
        <w:t>4. Instance-local attractor mapping record with decoder and held-out fidelity.</w:t>
        <w:br/>
        <w:t>5. Natural Math expression adapter and SymLan program adapter.</w:t>
        <w:br/>
        <w:t>6. Two independent Cognitive Basin client profiles with different local association records.</w:t>
        <w:br/>
        <w:t>7. EXTEND / HOLD / RETRACT proposal and review flow.</w:t>
        <w:br/>
        <w:t>8. Deterministic replay and lineage reconstruction.</w:t>
        <w:br/>
        <w:t>9. Completion-integrity checks preventing unsupported capability claims.</w:t>
        <w:br/>
        <w:t>10. Tests proving reconstruction, conflict preservation, local/global separation, and HOLD behavior.</w:t>
        <w:br/>
        <w:br/>
        <w:t>Stop before external deployment or paid infrastructure. Report code, tests, evidence, and exact limitations - not intended state.</w:t>
      </w:r>
    </w:p>
    <w:p>
      <w:pPr>
        <w:pStyle w:val="Heading1"/>
      </w:pPr>
      <w:r>
        <w:t>References and Internal Source Lineage</w:t>
      </w:r>
    </w:p>
    <w:p>
      <w:pPr>
        <w:spacing w:after="28"/>
      </w:pPr>
      <w:r>
        <w:rPr>
          <w:rFonts w:ascii="Liberation Serif" w:hAnsi="Liberation Serif"/>
          <w:sz w:val="18"/>
        </w:rPr>
        <w:t>[1] Clow, J. A., and Clow, M. E. The Complete Sym Suite Architecture. 2026.</w:t>
      </w:r>
    </w:p>
    <w:p>
      <w:pPr>
        <w:spacing w:after="28"/>
      </w:pPr>
      <w:r>
        <w:rPr>
          <w:rFonts w:ascii="Liberation Serif" w:hAnsi="Liberation Serif"/>
          <w:sz w:val="18"/>
        </w:rPr>
        <w:t>[2] Synaptient. Technical Accounting - Construction A+ / SymLan on Real Substrate Data. May 28-29, 2026.</w:t>
      </w:r>
    </w:p>
    <w:p>
      <w:pPr>
        <w:spacing w:after="28"/>
      </w:pPr>
      <w:r>
        <w:rPr>
          <w:rFonts w:ascii="Liberation Serif" w:hAnsi="Liberation Serif"/>
          <w:sz w:val="18"/>
        </w:rPr>
        <w:t>[3] Persistent Collaborative Reasoning Architectures: Reconstructive Cognition, Metastability, and Recoverable Semantic Continuity in Human-AI Systems. 2026.</w:t>
      </w:r>
    </w:p>
    <w:p>
      <w:pPr>
        <w:spacing w:after="28"/>
      </w:pPr>
      <w:r>
        <w:rPr>
          <w:rFonts w:ascii="Liberation Serif" w:hAnsi="Liberation Serif"/>
          <w:sz w:val="18"/>
        </w:rPr>
        <w:t>[4] InfinitySight Python Mock v1.0 and InfinitySight SymLan Module v1. 2026.</w:t>
      </w:r>
    </w:p>
    <w:p>
      <w:pPr>
        <w:spacing w:after="28"/>
      </w:pPr>
      <w:r>
        <w:rPr>
          <w:rFonts w:ascii="Liberation Serif" w:hAnsi="Liberation Serif"/>
          <w:sz w:val="18"/>
        </w:rPr>
        <w:t>[5] Cognitive Basin / BasinLab / APTD / AIA / Natural Math project ledger and canonical handoffs. 2026.</w:t>
      </w:r>
    </w:p>
    <w:p>
      <w:pPr>
        <w:spacing w:after="28"/>
      </w:pPr>
      <w:r>
        <w:rPr>
          <w:rFonts w:ascii="Liberation Serif" w:hAnsi="Liberation Serif"/>
          <w:sz w:val="18"/>
        </w:rPr>
        <w:t>[6] Clow, J. A., and Clow, M. E. SYNAPTIENT: A Brief for Logients. May 2026.</w:t>
      </w:r>
    </w:p>
    <w:p>
      <w:pPr>
        <w:spacing w:after="28"/>
      </w:pPr>
      <w:r>
        <w:rPr>
          <w:rFonts w:ascii="Liberation Serif" w:hAnsi="Liberation Serif"/>
          <w:sz w:val="18"/>
        </w:rPr>
        <w:t>[7] Clow, J. A. The Grounding Protocol: First Principles for Sovereign Logient Development. May 2026.</w:t>
      </w:r>
    </w:p>
    <w:p>
      <w:pPr>
        <w:spacing w:after="28"/>
      </w:pPr>
      <w:r>
        <w:rPr>
          <w:rFonts w:ascii="Liberation Serif" w:hAnsi="Liberation Serif"/>
          <w:sz w:val="18"/>
        </w:rPr>
        <w:t>[8] CNTM Persistent Becoming Thesis v1.0 and CNTM Physical Realization Phase Zero master. 2026.</w:t>
      </w:r>
    </w:p>
    <w:sectPr w:rsidR="00FC693F" w:rsidRPr="0006063C" w:rsidSect="00034616">
      <w:headerReference w:type="default" r:id="rId9"/>
      <w:footerReference w:type="default" r:id="rId10"/>
      <w:pgSz w:w="12240" w:h="15840"/>
      <w:pgMar w:top="1008" w:right="1037" w:bottom="1008"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F6973"/>
        <w:sz w:val="15"/>
      </w:rPr>
      <w:t>The Being Envelope  •  v0.1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4E5E6C"/>
        <w:sz w:val="15"/>
      </w:rPr>
      <w:t>SYNAPTIENT / BONACQUI LLC  •  FOUNDATIONAL TECHNICAL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erif" w:hAnsi="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133F5B"/>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1C587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4957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Liberation Sans" w:hAnsi="Liberation Sans"/>
      <w:b/>
      <w:color w:val="132A3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pPr>
    <w:rPr>
      <w:rFonts w:asciiTheme="majorHAnsi" w:eastAsiaTheme="majorEastAsia" w:hAnsiTheme="majorHAnsi" w:cstheme="majorBidi" w:ascii="Liberation Sans" w:hAnsi="Liberation Sans"/>
      <w:b/>
      <w:i/>
      <w:iCs/>
      <w:color w:val="3C4F6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right="216"/>
    </w:pPr>
    <w:rPr>
      <w:rFonts w:ascii="Liberation Mono" w:hAnsi="Liberation Mono"/>
      <w:sz w:val="16"/>
    </w:rPr>
  </w:style>
  <w:style w:type="paragraph" w:customStyle="1" w:styleId="ThesisQuote">
    <w:name w:val="Thesis Quote"/>
    <w:pPr>
      <w:spacing w:before="80" w:after="160"/>
      <w:ind w:left="605" w:right="605"/>
    </w:pPr>
    <w:rPr>
      <w:rFonts w:ascii="Liberation Serif" w:hAnsi="Liberation Serif"/>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Being Envelope: Technical Architecture for a Fractalish-SymLanic Constructional Natural-Math Ternary Read/Write Substrate</dc:title>
  <dc:subject>Foundational technical white paper for the Cognitive Basin development team</dc:subject>
  <dc:creator>James Allen Clow and Melissa Ellen Clow, SYNAPTIENT / BonAcqui LLC</dc:creator>
  <cp:keywords>Fractalish, SymLan, SymVoc, Construction A+, Honeybee, Natural Math, Cognitive Basin, PERCEPT, InfinitySight, attractor states, ternary, knowledge registry</cp:keywords>
  <dc:description>generated by python-docx</dc:description>
  <cp:lastModifiedBy/>
  <cp:revision>1</cp:revision>
  <dcterms:created xsi:type="dcterms:W3CDTF">2013-12-23T23:15:00Z</dcterms:created>
  <dcterms:modified xsi:type="dcterms:W3CDTF">2013-12-23T23:15:00Z</dcterms:modified>
  <cp:category/>
</cp:coreProperties>
</file>