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cntm-phase-zero-precision-addendum"/>
    <w:p>
      <w:pPr>
        <w:pStyle w:val="Heading1"/>
      </w:pPr>
      <w:r>
        <w:t xml:space="preserve">CNTM Phase Zero Precision Addendum</w:t>
      </w:r>
    </w:p>
    <w:bookmarkStart w:id="21" w:name="scope"/>
    <w:p>
      <w:pPr>
        <w:pStyle w:val="Heading2"/>
      </w:pPr>
      <w:r>
        <w:t xml:space="preserve">Scope</w:t>
      </w:r>
    </w:p>
    <w:p>
      <w:pPr>
        <w:pStyle w:val="FirstParagraph"/>
      </w:pPr>
      <w:r>
        <w:t xml:space="preserve">This addendum tightens only the three areas you identified: the reduced-order twin’s local propensity and branching logic, the shadow retrain and promotion workflow, and the status of the numerical thresholds already appearing elsewhere in the Phase Zero plan. It does</w:t>
      </w:r>
      <w:r>
        <w:t xml:space="preserve"> </w:t>
      </w:r>
      <w:r>
        <w:rPr>
          <w:b/>
          <w:bCs/>
        </w:rPr>
        <w:t xml:space="preserve">not</w:t>
      </w:r>
      <w:r>
        <w:t xml:space="preserve"> </w:t>
      </w:r>
      <w:r>
        <w:t xml:space="preserve">expand scope. CNTM remains a software morphology simulator, Phase Zero remains a surrogate electrochemical validation platform, and uncertain or contradictory evidence should still be preserved under HOLD rather than silently promoted into priors. fileciteturn0file0</w:t>
      </w:r>
    </w:p>
    <w:bookmarkEnd w:id="21"/>
    <w:bookmarkStart w:id="27" w:name="Xa5d74a02391c44542a3dcbe17c02bc3b0feb90b"/>
    <w:p>
      <w:pPr>
        <w:pStyle w:val="Heading2"/>
      </w:pPr>
      <w:r>
        <w:t xml:space="preserve">Reduced-order twin propensity and branching</w:t>
      </w:r>
    </w:p>
    <w:p>
      <w:pPr>
        <w:pStyle w:val="FirstParagraph"/>
      </w:pPr>
      <w:r>
        <w:t xml:space="preserve">The reduced-order twin should stay in the middle ground between the current Natural Math graph simulator and a full phase-field or sharp-interface electrochemistry solver. For Phase Zero, the right compromise is a</w:t>
      </w:r>
      <w:r>
        <w:t xml:space="preserve"> </w:t>
      </w:r>
      <w:r>
        <w:rPr>
          <w:b/>
          <w:bCs/>
        </w:rPr>
        <w:t xml:space="preserve">gap-averaged quasi-steady field solve</w:t>
      </w:r>
      <w:r>
        <w:t xml:space="preserve"> </w:t>
      </w:r>
      <w:r>
        <w:t xml:space="preserve">for electric potential, a</w:t>
      </w:r>
      <w:r>
        <w:t xml:space="preserve"> </w:t>
      </w:r>
      <w:r>
        <w:rPr>
          <w:b/>
          <w:bCs/>
        </w:rPr>
        <w:t xml:space="preserve">reduced transport/depletion field</w:t>
      </w:r>
      <w:r>
        <w:t xml:space="preserve"> </w:t>
      </w:r>
      <w:r>
        <w:t xml:space="preserve">for ionic supply, and a</w:t>
      </w:r>
      <w:r>
        <w:t xml:space="preserve"> </w:t>
      </w:r>
      <w:r>
        <w:rPr>
          <w:b/>
          <w:bCs/>
        </w:rPr>
        <w:t xml:space="preserve">history field</w:t>
      </w:r>
      <w:r>
        <w:t xml:space="preserve"> </w:t>
      </w:r>
      <w:r>
        <w:t xml:space="preserve">that carries cumulative local charge-throughput. That recommendation is grounded in three recurring findings from the electrodeposition literature: interface advance is tied to local current or reaction flux, morphology depends on the coupled evolution of concentration and overpotential, and depletion or over-limiting conditions can sharply change stability and branching behavior.</w:t>
      </w:r>
      <w:r>
        <w:t xml:space="preserve"> </w:t>
      </w:r>
      <w:hyperlink r:id="rId22">
        <w:r>
          <w:rPr>
            <w:rStyle w:val="Hyperlink"/>
          </w:rPr>
          <w:t xml:space="preserve">[1]</w:t>
        </w:r>
      </w:hyperlink>
    </w:p>
    <w:bookmarkStart w:id="24" w:name="propensity-definition"/>
    <w:p>
      <w:pPr>
        <w:pStyle w:val="Heading3"/>
      </w:pPr>
      <w:r>
        <w:t xml:space="preserve">Propensity definition</w:t>
      </w:r>
    </w:p>
    <w:p>
      <w:pPr>
        <w:pStyle w:val="FirstParagraph"/>
      </w:pPr>
      <w:r>
        <w:t xml:space="preserve">Use three lattice fields in the reduced twin:</w:t>
      </w:r>
    </w:p>
    <w:p>
      <w:pPr>
        <w:pStyle w:val="BodyText"/>
      </w:pPr>
      <m:oMathPara>
        <m:oMathParaPr>
          <m:jc m:val="center"/>
        </m:oMathParaPr>
        <m:oMath>
          <m:r>
            <m:rPr>
              <m:sty m:val="p"/>
            </m:rPr>
            <m:t>∇</m:t>
          </m:r>
          <m:r>
            <m:rPr>
              <m:sty m:val="p"/>
            </m:rPr>
            <m:t>⋅</m:t>
          </m:r>
          <m:d>
            <m:dPr>
              <m:begChr m:val="("/>
              <m:sepChr m:val=""/>
              <m:endChr m:val=")"/>
              <m:grow/>
            </m:dPr>
            <m:e>
              <m:r>
                <m:t>κ</m:t>
              </m:r>
              <m:d>
                <m:dPr>
                  <m:begChr m:val="("/>
                  <m:sepChr m:val=""/>
                  <m:endChr m:val=")"/>
                  <m:grow/>
                </m:dPr>
                <m:e>
                  <m:r>
                    <m:t>c</m:t>
                  </m:r>
                </m:e>
              </m:d>
              <m:r>
                <m:rPr>
                  <m:sty m:val="p"/>
                </m:rPr>
                <m:t>∇</m:t>
              </m:r>
              <m:r>
                <m:t>ϕ</m:t>
              </m:r>
            </m:e>
          </m:d>
          <m:r>
            <m:rPr>
              <m:sty m:val="p"/>
            </m:rPr>
            <m:t>=</m:t>
          </m:r>
          <m:r>
            <m:t>0</m:t>
          </m:r>
        </m:oMath>
      </m:oMathPara>
    </w:p>
    <w:p>
      <w:pPr>
        <w:pStyle w:val="FirstParagraph"/>
      </w:pPr>
      <w:r>
        <w:t xml:space="preserve">for the gap-averaged electrolyte potential in the electrolyte domain, with Dirichlet values at the driven electrodes and the existing metal deposit, and insulating Neumann boundaries at walls; then update concentration with a reduced transport step,</w:t>
      </w:r>
    </w:p>
    <w:p>
      <w:pPr>
        <w:pStyle w:val="BodyText"/>
      </w:pPr>
      <m:oMathPara>
        <m:oMathParaPr>
          <m:jc m:val="center"/>
        </m:oMathParaPr>
        <m:oMath>
          <m:sSup>
            <m:e>
              <m:r>
                <m:t>c</m:t>
              </m:r>
            </m:e>
            <m:sup>
              <m:r>
                <m:t>t</m:t>
              </m:r>
              <m:r>
                <m:rPr>
                  <m:sty m:val="p"/>
                </m:rPr>
                <m:t>+</m:t>
              </m:r>
              <m:r>
                <m:t>Δ</m:t>
              </m:r>
              <m:r>
                <m:t>t</m:t>
              </m:r>
            </m:sup>
          </m:sSup>
          <m:r>
            <m:rPr>
              <m:sty m:val="p"/>
            </m:rPr>
            <m:t>=</m:t>
          </m:r>
          <m:sSup>
            <m:e>
              <m:r>
                <m:t>c</m:t>
              </m:r>
            </m:e>
            <m:sup>
              <m:r>
                <m:t>t</m:t>
              </m:r>
            </m:sup>
          </m:sSup>
          <m:r>
            <m:rPr>
              <m:sty m:val="p"/>
            </m:rPr>
            <m:t>+</m:t>
          </m:r>
          <m:r>
            <m:t>Δ</m:t>
          </m:r>
          <m:r>
            <m:t>t</m:t>
          </m:r>
          <m:d>
            <m:dPr>
              <m:begChr m:val="["/>
              <m:sepChr m:val=""/>
              <m:endChr m:val="]"/>
              <m:grow/>
            </m:dPr>
            <m:e>
              <m:sSub>
                <m:e>
                  <m:r>
                    <m:t>D</m:t>
                  </m:r>
                </m:e>
                <m:sub>
                  <m:r>
                    <m:rPr>
                      <m:nor/>
                      <m:sty m:val="p"/>
                    </m:rPr>
                    <m:t>eff</m:t>
                  </m:r>
                </m:sub>
              </m:sSub>
              <m:sSup>
                <m:e>
                  <m:r>
                    <m:rPr>
                      <m:sty m:val="p"/>
                    </m:rPr>
                    <m:t>∇</m:t>
                  </m:r>
                </m:e>
                <m:sup>
                  <m:r>
                    <m:t>2</m:t>
                  </m:r>
                </m:sup>
              </m:sSup>
              <m:r>
                <m:t>c</m:t>
              </m:r>
              <m:r>
                <m:rPr>
                  <m:sty m:val="p"/>
                </m:rPr>
                <m:t>−</m:t>
              </m:r>
              <m:sSub>
                <m:e>
                  <m:r>
                    <m:t>μ</m:t>
                  </m:r>
                </m:e>
                <m:sub>
                  <m:r>
                    <m:rPr>
                      <m:nor/>
                      <m:sty m:val="p"/>
                    </m:rPr>
                    <m:t>eff</m:t>
                  </m:r>
                </m:sub>
              </m:sSub>
              <m:r>
                <m:rPr>
                  <m:sty m:val="p"/>
                </m:rPr>
                <m:t>∇</m:t>
              </m:r>
              <m:r>
                <m:rPr>
                  <m:sty m:val="p"/>
                </m:rPr>
                <m:t>⋅</m:t>
              </m:r>
              <m:d>
                <m:dPr>
                  <m:begChr m:val="("/>
                  <m:sepChr m:val=""/>
                  <m:endChr m:val=")"/>
                  <m:grow/>
                </m:dPr>
                <m:e>
                  <m:r>
                    <m:t>c</m:t>
                  </m:r>
                  <m:r>
                    <m:rPr>
                      <m:sty m:val="p"/>
                    </m:rPr>
                    <m:t>∇</m:t>
                  </m:r>
                  <m:r>
                    <m:t>ϕ</m:t>
                  </m:r>
                </m:e>
              </m:d>
            </m:e>
          </m:d>
          <m:r>
            <m:rPr>
              <m:sty m:val="p"/>
            </m:rPr>
            <m:t>−</m:t>
          </m:r>
          <m:sSub>
            <m:e>
              <m:r>
                <m:t>ν</m:t>
              </m:r>
            </m:e>
            <m:sub>
              <m:r>
                <m:rPr>
                  <m:nor/>
                  <m:sty m:val="p"/>
                </m:rPr>
                <m:t>dep</m:t>
              </m:r>
            </m:sub>
          </m:sSub>
          <m:sSub>
            <m:e>
              <m:r>
                <m:t>R</m:t>
              </m:r>
            </m:e>
            <m:sub>
              <m:r>
                <m:rPr>
                  <m:nor/>
                  <m:sty m:val="p"/>
                </m:rPr>
                <m:t>dep</m:t>
              </m:r>
            </m:sub>
          </m:sSub>
          <m:sSub>
            <m:e>
              <m:r>
                <m:t>χ</m:t>
              </m:r>
            </m:e>
            <m:sub>
              <m:r>
                <m:t>I</m:t>
              </m:r>
            </m:sub>
          </m:sSub>
        </m:oMath>
      </m:oMathPara>
    </w:p>
    <w:p>
      <w:pPr>
        <w:pStyle w:val="FirstParagraph"/>
      </w:pPr>
      <w:r>
        <w:t xml:space="preserve">where</w:t>
      </w:r>
      <w:r>
        <w:t xml:space="preserve"> </w:t>
      </w:r>
      <m:oMath>
        <m:sSub>
          <m:e>
            <m:r>
              <m:t>χ</m:t>
            </m:r>
          </m:e>
          <m:sub>
            <m:r>
              <m:t>I</m:t>
            </m:r>
          </m:sub>
        </m:sSub>
      </m:oMath>
      <w:r>
        <w:t xml:space="preserve"> </w:t>
      </w:r>
      <w:r>
        <w:t xml:space="preserve">marks the active interface; and update the history field</w:t>
      </w:r>
      <w:r>
        <w:t xml:space="preserve"> </w:t>
      </w:r>
      <m:oMath>
        <m:r>
          <m:t>q</m:t>
        </m:r>
      </m:oMath>
      <w:r>
        <w:t xml:space="preserve"> </w:t>
      </w:r>
      <w:r>
        <w:t xml:space="preserve">as a normalized local charge-throughput proxy,</w:t>
      </w:r>
    </w:p>
    <w:p>
      <w:pPr>
        <w:pStyle w:val="BodyText"/>
      </w:pPr>
      <m:oMathPara>
        <m:oMathParaPr>
          <m:jc m:val="center"/>
        </m:oMathParaPr>
        <m:oMath>
          <m:sSup>
            <m:e>
              <m:r>
                <m:t>q</m:t>
              </m:r>
            </m:e>
            <m:sup>
              <m:r>
                <m:t>t</m:t>
              </m:r>
              <m:r>
                <m:rPr>
                  <m:sty m:val="p"/>
                </m:rPr>
                <m:t>+</m:t>
              </m:r>
              <m:r>
                <m:t>Δ</m:t>
              </m:r>
              <m:r>
                <m:t>t</m:t>
              </m:r>
            </m:sup>
          </m:sSup>
          <m:d>
            <m:dPr>
              <m:begChr m:val="("/>
              <m:sepChr m:val=""/>
              <m:endChr m:val=")"/>
              <m:grow/>
            </m:dPr>
            <m:e>
              <m:r>
                <m:t>x</m:t>
              </m:r>
            </m:e>
          </m:d>
          <m:r>
            <m:rPr>
              <m:sty m:val="p"/>
            </m:rPr>
            <m:t>=</m:t>
          </m:r>
          <m:r>
            <m:rPr>
              <m:sty m:val="p"/>
            </m:rPr>
            <m:t>c</m:t>
          </m:r>
          <m:r>
            <m:rPr>
              <m:sty m:val="p"/>
            </m:rPr>
            <m:t>l</m:t>
          </m:r>
          <m:r>
            <m:rPr>
              <m:sty m:val="p"/>
            </m:rPr>
            <m:t>i</m:t>
          </m:r>
          <m:r>
            <m:rPr>
              <m:sty m:val="p"/>
            </m:rPr>
            <m:t>p</m:t>
          </m:r>
          <m:d>
            <m:dPr>
              <m:begChr m:val="("/>
              <m:sepChr m:val=""/>
              <m:endChr m:val=")"/>
              <m:grow/>
            </m:dPr>
            <m:e>
              <m:d>
                <m:dPr>
                  <m:begChr m:val="("/>
                  <m:sepChr m:val=""/>
                  <m:endChr m:val=")"/>
                  <m:grow/>
                </m:dPr>
                <m:e>
                  <m:r>
                    <m:t>1</m:t>
                  </m:r>
                  <m:r>
                    <m:rPr>
                      <m:sty m:val="p"/>
                    </m:rPr>
                    <m:t>−</m:t>
                  </m:r>
                  <m:sSub>
                    <m:e>
                      <m:r>
                        <m:t>λ</m:t>
                      </m:r>
                    </m:e>
                    <m:sub>
                      <m:r>
                        <m:t>q</m:t>
                      </m:r>
                    </m:sub>
                  </m:sSub>
                </m:e>
              </m:d>
              <m:sSup>
                <m:e>
                  <m:r>
                    <m:t>q</m:t>
                  </m:r>
                </m:e>
                <m:sup>
                  <m:r>
                    <m:t>t</m:t>
                  </m:r>
                </m:sup>
              </m:sSup>
              <m:d>
                <m:dPr>
                  <m:begChr m:val="("/>
                  <m:sepChr m:val=""/>
                  <m:endChr m:val=")"/>
                  <m:grow/>
                </m:dPr>
                <m:e>
                  <m:r>
                    <m:t>x</m:t>
                  </m:r>
                </m:e>
              </m:d>
              <m:r>
                <m:rPr>
                  <m:sty m:val="p"/>
                </m:rPr>
                <m:t>+</m:t>
              </m:r>
              <m:sSub>
                <m:e>
                  <m:r>
                    <m:t>λ</m:t>
                  </m:r>
                </m:e>
                <m:sub>
                  <m:r>
                    <m:t>q</m:t>
                  </m:r>
                </m:sub>
              </m:sSub>
              <m:f>
                <m:fPr>
                  <m:type m:val="bar"/>
                </m:fPr>
                <m:num>
                  <m:d>
                    <m:dPr>
                      <m:begChr m:val="|"/>
                      <m:sepChr m:val=""/>
                      <m:endChr m:val="|"/>
                      <m:grow/>
                    </m:dPr>
                    <m:e>
                      <m:sSub>
                        <m:e>
                          <m:r>
                            <m:t>j</m:t>
                          </m:r>
                        </m:e>
                        <m:sub>
                          <m:r>
                            <m:t>n</m:t>
                          </m:r>
                        </m:sub>
                      </m:sSub>
                      <m:d>
                        <m:dPr>
                          <m:begChr m:val="("/>
                          <m:sepChr m:val=""/>
                          <m:endChr m:val=")"/>
                          <m:grow/>
                        </m:dPr>
                        <m:e>
                          <m:r>
                            <m:t>x</m:t>
                          </m:r>
                        </m:e>
                      </m:d>
                    </m:e>
                  </m:d>
                  <m:r>
                    <m:t>Δ</m:t>
                  </m:r>
                  <m:r>
                    <m:t>t</m:t>
                  </m:r>
                </m:num>
                <m:den>
                  <m:sSub>
                    <m:e>
                      <m:r>
                        <m:t>Q</m:t>
                      </m:r>
                    </m:e>
                    <m:sub>
                      <m:r>
                        <m:rPr>
                          <m:nor/>
                          <m:sty m:val="p"/>
                        </m:rPr>
                        <m:t>ref</m:t>
                      </m:r>
                    </m:sub>
                  </m:sSub>
                </m:den>
              </m:f>
              <m:r>
                <m:rPr>
                  <m:sty m:val="p"/>
                </m:rPr>
                <m:t>,</m:t>
              </m:r>
              <m:r>
                <m:t> </m:t>
              </m:r>
              <m:r>
                <m:t>0</m:t>
              </m:r>
              <m:r>
                <m:rPr>
                  <m:sty m:val="p"/>
                </m:rPr>
                <m:t>,</m:t>
              </m:r>
              <m:r>
                <m:t> </m:t>
              </m:r>
              <m:r>
                <m:t>1</m:t>
              </m:r>
            </m:e>
          </m:d>
          <m:r>
            <m:rPr>
              <m:sty m:val="p"/>
            </m:rPr>
            <m:t>,</m:t>
          </m:r>
        </m:oMath>
      </m:oMathPara>
    </w:p>
    <w:p>
      <w:pPr>
        <w:pStyle w:val="FirstParagraph"/>
      </w:pPr>
      <w:r>
        <w:t xml:space="preserve">with</w:t>
      </w:r>
      <w:r>
        <w:t xml:space="preserve"> </w:t>
      </w:r>
      <m:oMath>
        <m:sSub>
          <m:e>
            <m:r>
              <m:t>j</m:t>
            </m:r>
          </m:e>
          <m:sub>
            <m:r>
              <m:t>n</m:t>
            </m:r>
          </m:sub>
        </m:sSub>
        <m:r>
          <m:rPr>
            <m:sty m:val="p"/>
          </m:rPr>
          <m:t>=</m:t>
        </m:r>
        <m:r>
          <m:rPr>
            <m:sty m:val="p"/>
          </m:rPr>
          <m:t>−</m:t>
        </m:r>
        <m:r>
          <m:t>κ</m:t>
        </m:r>
        <m:d>
          <m:dPr>
            <m:begChr m:val="("/>
            <m:sepChr m:val=""/>
            <m:endChr m:val=")"/>
            <m:grow/>
          </m:dPr>
          <m:e>
            <m:r>
              <m:t>c</m:t>
            </m:r>
          </m:e>
        </m:d>
        <m:r>
          <m:t> </m:t>
        </m:r>
        <m:r>
          <m:rPr>
            <m:sty m:val="b"/>
          </m:rPr>
          <m:t>n</m:t>
        </m:r>
        <m:r>
          <m:rPr>
            <m:sty m:val="p"/>
          </m:rPr>
          <m:t>⋅</m:t>
        </m:r>
        <m:r>
          <m:rPr>
            <m:sty m:val="p"/>
          </m:rPr>
          <m:t>∇</m:t>
        </m:r>
        <m:r>
          <m:t>ϕ</m:t>
        </m:r>
      </m:oMath>
      <w:r>
        <w:t xml:space="preserve">. In this formulation,</w:t>
      </w:r>
      <w:r>
        <w:t xml:space="preserve"> </w:t>
      </w:r>
      <m:oMath>
        <m:r>
          <m:t>q</m:t>
        </m:r>
      </m:oMath>
      <w:r>
        <w:t xml:space="preserve"> </w:t>
      </w:r>
      <w:r>
        <w:t xml:space="preserve">is</w:t>
      </w:r>
      <w:r>
        <w:t xml:space="preserve"> </w:t>
      </w:r>
      <w:r>
        <w:rPr>
          <w:b/>
          <w:bCs/>
        </w:rPr>
        <w:t xml:space="preserve">not</w:t>
      </w:r>
      <w:r>
        <w:t xml:space="preserve"> </w:t>
      </w:r>
      <w:r>
        <w:t xml:space="preserve">a microscopic charge-density claim; it is a reduced-order “path reinforcement” field that preserves where sustained local current has previously favored advance. That keeps the twin causal enough for control work without pretending to be a full electrochemical free-boundary solver.</w:t>
      </w:r>
      <w:r>
        <w:t xml:space="preserve"> </w:t>
      </w:r>
      <w:hyperlink r:id="rId22">
        <w:r>
          <w:rPr>
            <w:rStyle w:val="Hyperlink"/>
          </w:rPr>
          <w:t xml:space="preserve">[2]</w:t>
        </w:r>
      </w:hyperlink>
    </w:p>
    <w:p>
      <w:pPr>
        <w:pStyle w:val="BodyText"/>
      </w:pPr>
      <w:r>
        <w:t xml:space="preserve">For an active tip</w:t>
      </w:r>
      <w:r>
        <w:t xml:space="preserve"> </w:t>
      </w:r>
      <m:oMath>
        <m:r>
          <m:t>τ</m:t>
        </m:r>
      </m:oMath>
      <w:r>
        <w:t xml:space="preserve">, evaluate a</w:t>
      </w:r>
      <w:r>
        <w:t xml:space="preserve"> </w:t>
      </w:r>
      <w:r>
        <w:rPr>
          <w:b/>
          <w:bCs/>
        </w:rPr>
        <w:t xml:space="preserve">16-direction stencil</w:t>
      </w:r>
      <w:r>
        <w:t xml:space="preserve"> </w:t>
      </w:r>
      <m:oMath>
        <m:r>
          <m:rPr>
            <m:sty m:val="p"/>
          </m:rPr>
          <m:t>{</m:t>
        </m:r>
        <m:sSub>
          <m:e>
            <m:r>
              <m:t>e</m:t>
            </m:r>
          </m:e>
          <m:sub>
            <m:r>
              <m:t>k</m:t>
            </m:r>
          </m:sub>
        </m:sSub>
        <m:sSubSup>
          <m:e>
            <m:r>
              <m:rPr>
                <m:sty m:val="p"/>
              </m:rPr>
              <m:t>}</m:t>
            </m:r>
          </m:e>
          <m:sub>
            <m:r>
              <m:t>k</m:t>
            </m:r>
            <m:r>
              <m:rPr>
                <m:sty m:val="p"/>
              </m:rPr>
              <m:t>=</m:t>
            </m:r>
            <m:r>
              <m:t>1</m:t>
            </m:r>
          </m:sub>
          <m:sup>
            <m:r>
              <m:t>16</m:t>
            </m:r>
          </m:sup>
        </m:sSubSup>
      </m:oMath>
      <w:r>
        <w:t xml:space="preserve"> </w:t>
      </w:r>
      <w:r>
        <w:t xml:space="preserve">centered on the current tip heading so the model has 22.5° angular resolution instead of being locked to an 8-neighbor lattice. For each admissible candidate direction</w:t>
      </w:r>
      <w:r>
        <w:t xml:space="preserve"> </w:t>
      </w:r>
      <m:oMath>
        <m:sSub>
          <m:e>
            <m:r>
              <m:t>e</m:t>
            </m:r>
          </m:e>
          <m:sub>
            <m:r>
              <m:t>k</m:t>
            </m:r>
          </m:sub>
        </m:sSub>
      </m:oMath>
      <w:r>
        <w:t xml:space="preserve">, define the trial cell</w:t>
      </w:r>
      <w:r>
        <w:t xml:space="preserve"> </w:t>
      </w:r>
      <m:oMath>
        <m:sSub>
          <m:e>
            <m:r>
              <m:t>x</m:t>
            </m:r>
          </m:e>
          <m:sub>
            <m:r>
              <m:t>k</m:t>
            </m:r>
          </m:sub>
        </m:sSub>
      </m:oMath>
      <w:r>
        <w:t xml:space="preserve"> </w:t>
      </w:r>
      <w:r>
        <w:t xml:space="preserve">and compute:</w:t>
      </w:r>
    </w:p>
    <w:p>
      <w:pPr>
        <w:pStyle w:val="BodyText"/>
      </w:pPr>
      <m:oMathPara>
        <m:oMathParaPr>
          <m:jc m:val="center"/>
        </m:oMathParaPr>
        <m:oMath>
          <m:sSubSup>
            <m:e>
              <m:r>
                <m:t>η</m:t>
              </m:r>
            </m:e>
            <m:sub>
              <m:r>
                <m:t>k</m:t>
              </m:r>
            </m:sub>
            <m:sup>
              <m:r>
                <m:rPr>
                  <m:sty m:val="p"/>
                </m:rPr>
                <m:t>+</m:t>
              </m:r>
            </m:sup>
          </m:sSubSup>
          <m:r>
            <m:rPr>
              <m:sty m:val="p"/>
            </m:rPr>
            <m:t>=</m:t>
          </m:r>
          <m:r>
            <m:rPr>
              <m:sty m:val="p"/>
            </m:rPr>
            <m:t>max</m:t>
          </m:r>
          <m:d>
            <m:dPr>
              <m:begChr m:val="("/>
              <m:sepChr m:val=""/>
              <m:endChr m:val=")"/>
              <m:grow/>
            </m:dPr>
            <m:e>
              <m:r>
                <m:t>0</m:t>
              </m:r>
              <m:r>
                <m:rPr>
                  <m:sty m:val="p"/>
                </m:rPr>
                <m:t>,</m:t>
              </m:r>
              <m:sSub>
                <m:e>
                  <m:r>
                    <m:t>ϕ</m:t>
                  </m:r>
                </m:e>
                <m:sub>
                  <m:r>
                    <m:t>m</m:t>
                  </m:r>
                </m:sub>
              </m:sSub>
              <m:d>
                <m:dPr>
                  <m:begChr m:val="("/>
                  <m:sepChr m:val=""/>
                  <m:endChr m:val=")"/>
                  <m:grow/>
                </m:dPr>
                <m:e>
                  <m:r>
                    <m:t>τ</m:t>
                  </m:r>
                </m:e>
              </m:d>
              <m:r>
                <m:rPr>
                  <m:sty m:val="p"/>
                </m:rPr>
                <m:t>−</m:t>
              </m:r>
              <m:r>
                <m:t>ϕ</m:t>
              </m:r>
              <m:d>
                <m:dPr>
                  <m:begChr m:val="("/>
                  <m:sepChr m:val=""/>
                  <m:endChr m:val=")"/>
                  <m:grow/>
                </m:dPr>
                <m:e>
                  <m:sSub>
                    <m:e>
                      <m:r>
                        <m:t>x</m:t>
                      </m:r>
                    </m:e>
                    <m:sub>
                      <m:r>
                        <m:t>k</m:t>
                      </m:r>
                    </m:sub>
                  </m:sSub>
                </m:e>
              </m:d>
              <m:r>
                <m:rPr>
                  <m:sty m:val="p"/>
                </m:rPr>
                <m:t>−</m:t>
              </m:r>
              <m:sSub>
                <m:e>
                  <m:r>
                    <m:t>U</m:t>
                  </m:r>
                </m:e>
                <m:sub>
                  <m:r>
                    <m:rPr>
                      <m:nor/>
                      <m:sty m:val="p"/>
                    </m:rPr>
                    <m:t>eq</m:t>
                  </m:r>
                </m:sub>
              </m:sSub>
              <m:d>
                <m:dPr>
                  <m:begChr m:val="("/>
                  <m:sepChr m:val=""/>
                  <m:endChr m:val=")"/>
                  <m:grow/>
                </m:dPr>
                <m:e>
                  <m:r>
                    <m:t>c</m:t>
                  </m:r>
                  <m:d>
                    <m:dPr>
                      <m:begChr m:val="("/>
                      <m:sepChr m:val=""/>
                      <m:endChr m:val=")"/>
                      <m:grow/>
                    </m:dPr>
                    <m:e>
                      <m:sSub>
                        <m:e>
                          <m:r>
                            <m:t>x</m:t>
                          </m:r>
                        </m:e>
                        <m:sub>
                          <m:r>
                            <m:t>k</m:t>
                          </m:r>
                        </m:sub>
                      </m:sSub>
                    </m:e>
                  </m:d>
                </m:e>
              </m:d>
            </m:e>
          </m:d>
        </m:oMath>
      </m:oMathPara>
    </w:p>
    <w:p>
      <w:pPr>
        <w:pStyle w:val="FirstParagraph"/>
      </w:pPr>
      <m:oMathPara>
        <m:oMathParaPr>
          <m:jc m:val="center"/>
        </m:oMathParaPr>
        <m:oMath>
          <m:sSub>
            <m:e>
              <m:r>
                <m:t>a</m:t>
              </m:r>
            </m:e>
            <m:sub>
              <m:r>
                <m:t>k</m:t>
              </m:r>
            </m:sub>
          </m:sSub>
          <m:r>
            <m:rPr>
              <m:sty m:val="p"/>
            </m:rPr>
            <m:t>=</m:t>
          </m:r>
          <m:r>
            <m:rPr>
              <m:sty m:val="p"/>
            </m:rPr>
            <m:t>max</m:t>
          </m:r>
          <m:d>
            <m:dPr>
              <m:begChr m:val="("/>
              <m:sepChr m:val=""/>
              <m:endChr m:val=")"/>
              <m:grow/>
            </m:dPr>
            <m:e>
              <m:r>
                <m:t>0</m:t>
              </m:r>
              <m:r>
                <m:rPr>
                  <m:sty m:val="p"/>
                </m:rPr>
                <m:t>,</m:t>
              </m:r>
              <m:sSub>
                <m:e>
                  <m:r>
                    <m:t>e</m:t>
                  </m:r>
                </m:e>
                <m:sub>
                  <m:r>
                    <m:t>k</m:t>
                  </m:r>
                </m:sub>
              </m:sSub>
              <m:r>
                <m:rPr>
                  <m:sty m:val="p"/>
                </m:rPr>
                <m:t>⋅</m:t>
              </m:r>
              <m:f>
                <m:fPr>
                  <m:type m:val="bar"/>
                </m:fPr>
                <m:num>
                  <m:r>
                    <m:rPr>
                      <m:sty m:val="p"/>
                    </m:rPr>
                    <m:t>−</m:t>
                  </m:r>
                  <m:r>
                    <m:rPr>
                      <m:sty m:val="p"/>
                    </m:rPr>
                    <m:t>∇</m:t>
                  </m:r>
                  <m:r>
                    <m:t>ϕ</m:t>
                  </m:r>
                  <m:d>
                    <m:dPr>
                      <m:begChr m:val="("/>
                      <m:sepChr m:val=""/>
                      <m:endChr m:val=")"/>
                      <m:grow/>
                    </m:dPr>
                    <m:e>
                      <m:sSub>
                        <m:e>
                          <m:r>
                            <m:t>x</m:t>
                          </m:r>
                        </m:e>
                        <m:sub>
                          <m:r>
                            <m:t>k</m:t>
                          </m:r>
                        </m:sub>
                      </m:sSub>
                    </m:e>
                  </m:d>
                </m:num>
                <m:den>
                  <m:r>
                    <m:rPr>
                      <m:sty m:val="p"/>
                    </m:rPr>
                    <m:t>∥</m:t>
                  </m:r>
                  <m:r>
                    <m:rPr>
                      <m:sty m:val="p"/>
                    </m:rPr>
                    <m:t>∇</m:t>
                  </m:r>
                  <m:r>
                    <m:t>ϕ</m:t>
                  </m:r>
                  <m:d>
                    <m:dPr>
                      <m:begChr m:val="("/>
                      <m:sepChr m:val=""/>
                      <m:endChr m:val=")"/>
                      <m:grow/>
                    </m:dPr>
                    <m:e>
                      <m:sSub>
                        <m:e>
                          <m:r>
                            <m:t>x</m:t>
                          </m:r>
                        </m:e>
                        <m:sub>
                          <m:r>
                            <m:t>k</m:t>
                          </m:r>
                        </m:sub>
                      </m:sSub>
                    </m:e>
                  </m:d>
                  <m:r>
                    <m:rPr>
                      <m:sty m:val="p"/>
                    </m:rPr>
                    <m:t>∥</m:t>
                  </m:r>
                  <m:r>
                    <m:rPr>
                      <m:sty m:val="p"/>
                    </m:rPr>
                    <m:t>+</m:t>
                  </m:r>
                  <m:r>
                    <m:t>ϵ</m:t>
                  </m:r>
                </m:den>
              </m:f>
            </m:e>
          </m:d>
        </m:oMath>
      </m:oMathPara>
    </w:p>
    <w:p>
      <w:pPr>
        <w:pStyle w:val="FirstParagraph"/>
      </w:pPr>
      <m:oMathPara>
        <m:oMathParaPr>
          <m:jc m:val="center"/>
        </m:oMathParaPr>
        <m:oMath>
          <m:sSub>
            <m:e>
              <m:r>
                <m:t>d</m:t>
              </m:r>
            </m:e>
            <m:sub>
              <m:r>
                <m:t>k</m:t>
              </m:r>
            </m:sub>
          </m:sSub>
          <m:r>
            <m:rPr>
              <m:sty m:val="p"/>
            </m:rPr>
            <m:t>=</m:t>
          </m:r>
          <m:f>
            <m:fPr>
              <m:type m:val="bar"/>
            </m:fPr>
            <m:num>
              <m:r>
                <m:t>c</m:t>
              </m:r>
              <m:d>
                <m:dPr>
                  <m:begChr m:val="("/>
                  <m:sepChr m:val=""/>
                  <m:endChr m:val=")"/>
                  <m:grow/>
                </m:dPr>
                <m:e>
                  <m:sSub>
                    <m:e>
                      <m:r>
                        <m:t>x</m:t>
                      </m:r>
                    </m:e>
                    <m:sub>
                      <m:r>
                        <m:t>k</m:t>
                      </m:r>
                    </m:sub>
                  </m:sSub>
                </m:e>
              </m:d>
            </m:num>
            <m:den>
              <m:sSub>
                <m:e>
                  <m:r>
                    <m:t>K</m:t>
                  </m:r>
                </m:e>
                <m:sub>
                  <m:r>
                    <m:t>c</m:t>
                  </m:r>
                </m:sub>
              </m:sSub>
              <m:r>
                <m:rPr>
                  <m:sty m:val="p"/>
                </m:rPr>
                <m:t>+</m:t>
              </m:r>
              <m:r>
                <m:t>c</m:t>
              </m:r>
              <m:d>
                <m:dPr>
                  <m:begChr m:val="("/>
                  <m:sepChr m:val=""/>
                  <m:endChr m:val=")"/>
                  <m:grow/>
                </m:dPr>
                <m:e>
                  <m:sSub>
                    <m:e>
                      <m:r>
                        <m:t>x</m:t>
                      </m:r>
                    </m:e>
                    <m:sub>
                      <m:r>
                        <m:t>k</m:t>
                      </m:r>
                    </m:sub>
                  </m:sSub>
                </m:e>
              </m:d>
            </m:den>
          </m:f>
        </m:oMath>
      </m:oMathPara>
    </w:p>
    <w:p>
      <w:pPr>
        <w:pStyle w:val="FirstParagraph"/>
      </w:pPr>
      <m:oMathPara>
        <m:oMathParaPr>
          <m:jc m:val="center"/>
        </m:oMathParaPr>
        <m:oMath>
          <m:sSub>
            <m:e>
              <m:r>
                <m:t>m</m:t>
              </m:r>
            </m:e>
            <m:sub>
              <m:r>
                <m:t>k</m:t>
              </m:r>
            </m:sub>
          </m:sSub>
          <m:r>
            <m:rPr>
              <m:sty m:val="p"/>
            </m:rPr>
            <m:t>=</m:t>
          </m:r>
          <m:r>
            <m:t>q</m:t>
          </m:r>
          <m:d>
            <m:dPr>
              <m:begChr m:val="("/>
              <m:sepChr m:val=""/>
              <m:endChr m:val=")"/>
              <m:grow/>
            </m:dPr>
            <m:e>
              <m:sSub>
                <m:e>
                  <m:r>
                    <m:t>x</m:t>
                  </m:r>
                </m:e>
                <m:sub>
                  <m:r>
                    <m:t>k</m:t>
                  </m:r>
                </m:sub>
              </m:sSub>
            </m:e>
          </m:d>
        </m:oMath>
      </m:oMathPara>
    </w:p>
    <w:p>
      <w:pPr>
        <w:pStyle w:val="FirstParagraph"/>
      </w:pPr>
      <w:r>
        <w:t xml:space="preserve">and then the local score</w:t>
      </w:r>
    </w:p>
    <w:p>
      <w:pPr>
        <w:pStyle w:val="BodyText"/>
      </w:pPr>
      <m:oMathPara>
        <m:oMathParaPr>
          <m:jc m:val="center"/>
        </m:oMathParaPr>
        <m:oMath>
          <m:sSub>
            <m:e>
              <m:r>
                <m:t>S</m:t>
              </m:r>
            </m:e>
            <m:sub>
              <m:r>
                <m:t>k</m:t>
              </m:r>
            </m:sub>
          </m:sSub>
          <m:r>
            <m:rPr>
              <m:sty m:val="p"/>
            </m:rPr>
            <m:t>=</m:t>
          </m:r>
          <m:sSub>
            <m:e>
              <m:r>
                <m:t>β</m:t>
              </m:r>
            </m:e>
            <m:sub>
              <m:r>
                <m:t>0</m:t>
              </m:r>
            </m:sub>
          </m:sSub>
          <m:r>
            <m:rPr>
              <m:sty m:val="p"/>
            </m:rPr>
            <m:t>+</m:t>
          </m:r>
          <m:sSub>
            <m:e>
              <m:r>
                <m:t>β</m:t>
              </m:r>
            </m:e>
            <m:sub>
              <m:r>
                <m:t>η</m:t>
              </m:r>
            </m:sub>
          </m:sSub>
          <m:f>
            <m:fPr>
              <m:type m:val="bar"/>
            </m:fPr>
            <m:num>
              <m:sSubSup>
                <m:e>
                  <m:r>
                    <m:t>η</m:t>
                  </m:r>
                </m:e>
                <m:sub>
                  <m:r>
                    <m:t>k</m:t>
                  </m:r>
                </m:sub>
                <m:sup>
                  <m:r>
                    <m:rPr>
                      <m:sty m:val="p"/>
                    </m:rPr>
                    <m:t>+</m:t>
                  </m:r>
                </m:sup>
              </m:sSubSup>
            </m:num>
            <m:den>
              <m:sSub>
                <m:e>
                  <m:r>
                    <m:t>η</m:t>
                  </m:r>
                </m:e>
                <m:sub>
                  <m:r>
                    <m:rPr>
                      <m:nor/>
                      <m:sty m:val="p"/>
                    </m:rPr>
                    <m:t>ref</m:t>
                  </m:r>
                </m:sub>
              </m:sSub>
            </m:den>
          </m:f>
          <m:r>
            <m:rPr>
              <m:sty m:val="p"/>
            </m:rPr>
            <m:t>+</m:t>
          </m:r>
          <m:sSub>
            <m:e>
              <m:r>
                <m:t>β</m:t>
              </m:r>
            </m:e>
            <m:sub>
              <m:r>
                <m:t>c</m:t>
              </m:r>
            </m:sub>
          </m:sSub>
          <m:r>
            <m:rPr>
              <m:sty m:val="p"/>
            </m:rPr>
            <m:t>ln</m:t>
          </m:r>
          <m:d>
            <m:dPr>
              <m:begChr m:val="("/>
              <m:sepChr m:val=""/>
              <m:endChr m:val=")"/>
              <m:grow/>
            </m:dPr>
            <m:e>
              <m:sSub>
                <m:e>
                  <m:r>
                    <m:t>d</m:t>
                  </m:r>
                </m:e>
                <m:sub>
                  <m:r>
                    <m:t>k</m:t>
                  </m:r>
                </m:sub>
              </m:sSub>
              <m:r>
                <m:rPr>
                  <m:sty m:val="p"/>
                </m:rPr>
                <m:t>+</m:t>
              </m:r>
              <m:r>
                <m:t>ϵ</m:t>
              </m:r>
            </m:e>
          </m:d>
          <m:r>
            <m:rPr>
              <m:sty m:val="p"/>
            </m:rPr>
            <m:t>+</m:t>
          </m:r>
          <m:sSub>
            <m:e>
              <m:r>
                <m:t>β</m:t>
              </m:r>
            </m:e>
            <m:sub>
              <m:r>
                <m:t>a</m:t>
              </m:r>
            </m:sub>
          </m:sSub>
          <m:sSub>
            <m:e>
              <m:r>
                <m:t>a</m:t>
              </m:r>
            </m:e>
            <m:sub>
              <m:r>
                <m:t>k</m:t>
              </m:r>
            </m:sub>
          </m:sSub>
          <m:r>
            <m:rPr>
              <m:sty m:val="p"/>
            </m:rPr>
            <m:t>+</m:t>
          </m:r>
          <m:sSub>
            <m:e>
              <m:r>
                <m:t>β</m:t>
              </m:r>
            </m:e>
            <m:sub>
              <m:r>
                <m:t>q</m:t>
              </m:r>
            </m:sub>
          </m:sSub>
          <m:sSub>
            <m:e>
              <m:r>
                <m:t>m</m:t>
              </m:r>
            </m:e>
            <m:sub>
              <m:r>
                <m:t>k</m:t>
              </m:r>
            </m:sub>
          </m:sSub>
          <m:r>
            <m:rPr>
              <m:sty m:val="p"/>
            </m:rPr>
            <m:t>−</m:t>
          </m:r>
          <m:sSub>
            <m:e>
              <m:r>
                <m:t>β</m:t>
              </m:r>
            </m:e>
            <m:sub>
              <m:r>
                <m:rPr>
                  <m:nor/>
                  <m:sty m:val="p"/>
                </m:rPr>
                <m:t>occ</m:t>
              </m:r>
            </m:sub>
          </m:sSub>
          <m:sSub>
            <m:e>
              <m:r>
                <m:t>n</m:t>
              </m:r>
            </m:e>
            <m:sub>
              <m:r>
                <m:rPr>
                  <m:nor/>
                  <m:sty m:val="p"/>
                </m:rPr>
                <m:t>occ</m:t>
              </m:r>
            </m:sub>
          </m:sSub>
          <m:d>
            <m:dPr>
              <m:begChr m:val="("/>
              <m:sepChr m:val=""/>
              <m:endChr m:val=")"/>
              <m:grow/>
            </m:dPr>
            <m:e>
              <m:sSub>
                <m:e>
                  <m:r>
                    <m:t>x</m:t>
                  </m:r>
                </m:e>
                <m:sub>
                  <m:r>
                    <m:t>k</m:t>
                  </m:r>
                </m:sub>
              </m:sSub>
            </m:e>
          </m:d>
          <m:r>
            <m:rPr>
              <m:sty m:val="p"/>
            </m:rPr>
            <m:t>−</m:t>
          </m:r>
          <m:sSub>
            <m:e>
              <m:r>
                <m:t>β</m:t>
              </m:r>
            </m:e>
            <m:sub>
              <m:r>
                <m:rPr>
                  <m:nor/>
                  <m:sty m:val="p"/>
                </m:rPr>
                <m:t>halo</m:t>
              </m:r>
            </m:sub>
          </m:sSub>
          <m:sSub>
            <m:e>
              <m:r>
                <m:t>h</m:t>
              </m:r>
            </m:e>
            <m:sub>
              <m:r>
                <m:rPr>
                  <m:nor/>
                  <m:sty m:val="p"/>
                </m:rPr>
                <m:t>near</m:t>
              </m:r>
            </m:sub>
          </m:sSub>
          <m:d>
            <m:dPr>
              <m:begChr m:val="("/>
              <m:sepChr m:val=""/>
              <m:endChr m:val=")"/>
              <m:grow/>
            </m:dPr>
            <m:e>
              <m:sSub>
                <m:e>
                  <m:r>
                    <m:t>x</m:t>
                  </m:r>
                </m:e>
                <m:sub>
                  <m:r>
                    <m:t>k</m:t>
                  </m:r>
                </m:sub>
              </m:sSub>
            </m:e>
          </m:d>
          <m:r>
            <m:rPr>
              <m:sty m:val="p"/>
            </m:rPr>
            <m:t>.</m:t>
          </m:r>
        </m:oMath>
      </m:oMathPara>
    </w:p>
    <w:p>
      <w:pPr>
        <w:pStyle w:val="FirstParagraph"/>
      </w:pPr>
      <w:r>
        <w:t xml:space="preserve">Normalize with a softmax,</w:t>
      </w:r>
    </w:p>
    <w:p>
      <w:pPr>
        <w:pStyle w:val="BodyText"/>
      </w:pPr>
      <m:oMathPara>
        <m:oMathParaPr>
          <m:jc m:val="center"/>
        </m:oMathParaPr>
        <m:oMath>
          <m:sSub>
            <m:e>
              <m:r>
                <m:t>P</m:t>
              </m:r>
            </m:e>
            <m:sub>
              <m:r>
                <m:t>k</m:t>
              </m:r>
            </m:sub>
          </m:sSub>
          <m:r>
            <m:rPr>
              <m:sty m:val="p"/>
            </m:rPr>
            <m:t>=</m:t>
          </m:r>
          <m:f>
            <m:fPr>
              <m:type m:val="bar"/>
            </m:fPr>
            <m:num>
              <m:r>
                <m:rPr>
                  <m:sty m:val="p"/>
                </m:rPr>
                <m:t>exp</m:t>
              </m:r>
              <m:d>
                <m:dPr>
                  <m:begChr m:val="("/>
                  <m:sepChr m:val=""/>
                  <m:endChr m:val=")"/>
                  <m:grow/>
                </m:dPr>
                <m:e>
                  <m:sSub>
                    <m:e>
                      <m:r>
                        <m:t>S</m:t>
                      </m:r>
                    </m:e>
                    <m:sub>
                      <m:r>
                        <m:t>k</m:t>
                      </m:r>
                    </m:sub>
                  </m:sSub>
                  <m:r>
                    <m:rPr>
                      <m:sty m:val="p"/>
                    </m:rPr>
                    <m:t>/</m:t>
                  </m:r>
                  <m:sSub>
                    <m:e>
                      <m:r>
                        <m:t>T</m:t>
                      </m:r>
                    </m:e>
                    <m:sub>
                      <m:r>
                        <m:t>s</m:t>
                      </m:r>
                    </m:sub>
                  </m:sSub>
                </m:e>
              </m:d>
            </m:num>
            <m:den>
              <m:nary>
                <m:naryPr>
                  <m:chr m:val="∑"/>
                  <m:limLoc m:val="undOvr"/>
                  <m:subHide m:val="off"/>
                  <m:supHide m:val="on"/>
                </m:naryPr>
                <m:sub>
                  <m:r>
                    <m:t>j</m:t>
                  </m:r>
                </m:sub>
                <m:sup>
                  <m:r>
                    <m:t>​</m:t>
                  </m:r>
                </m:sup>
                <m:e>
                  <m:r>
                    <m:rPr>
                      <m:sty m:val="p"/>
                    </m:rPr>
                    <m:t>exp</m:t>
                  </m:r>
                </m:e>
              </m:nary>
              <m:d>
                <m:dPr>
                  <m:begChr m:val="("/>
                  <m:sepChr m:val=""/>
                  <m:endChr m:val=")"/>
                  <m:grow/>
                </m:dPr>
                <m:e>
                  <m:sSub>
                    <m:e>
                      <m:r>
                        <m:t>S</m:t>
                      </m:r>
                    </m:e>
                    <m:sub>
                      <m:r>
                        <m:t>j</m:t>
                      </m:r>
                    </m:sub>
                  </m:sSub>
                  <m:r>
                    <m:rPr>
                      <m:sty m:val="p"/>
                    </m:rPr>
                    <m:t>/</m:t>
                  </m:r>
                  <m:sSub>
                    <m:e>
                      <m:r>
                        <m:t>T</m:t>
                      </m:r>
                    </m:e>
                    <m:sub>
                      <m:r>
                        <m:t>s</m:t>
                      </m:r>
                    </m:sub>
                  </m:sSub>
                </m:e>
              </m:d>
            </m:den>
          </m:f>
          <m:r>
            <m:rPr>
              <m:sty m:val="p"/>
            </m:rPr>
            <m:t>,</m:t>
          </m:r>
        </m:oMath>
      </m:oMathPara>
    </w:p>
    <w:p>
      <w:pPr>
        <w:pStyle w:val="FirstParagraph"/>
      </w:pPr>
      <w:r>
        <w:t xml:space="preserve">and define the tip’s growth-fire probability as</w:t>
      </w:r>
    </w:p>
    <w:p>
      <w:pPr>
        <w:pStyle w:val="BodyText"/>
      </w:pPr>
      <m:oMathPara>
        <m:oMathParaPr>
          <m:jc m:val="center"/>
        </m:oMathParaPr>
        <m:oMath>
          <m:sSub>
            <m:e>
              <m:r>
                <m:t>p</m:t>
              </m:r>
            </m:e>
            <m:sub>
              <m:r>
                <m:rPr>
                  <m:nor/>
                  <m:sty m:val="p"/>
                </m:rPr>
                <m:t>grow</m:t>
              </m:r>
            </m:sub>
          </m:sSub>
          <m:d>
            <m:dPr>
              <m:begChr m:val="("/>
              <m:sepChr m:val=""/>
              <m:endChr m:val=")"/>
              <m:grow/>
            </m:dPr>
            <m:e>
              <m:r>
                <m:t>τ</m:t>
              </m:r>
            </m:e>
          </m:d>
          <m:r>
            <m:rPr>
              <m:sty m:val="p"/>
            </m:rPr>
            <m:t>=</m:t>
          </m:r>
          <m:r>
            <m:t>1</m:t>
          </m:r>
          <m:r>
            <m:rPr>
              <m:sty m:val="p"/>
            </m:rPr>
            <m:t>−</m:t>
          </m:r>
          <m:r>
            <m:rPr>
              <m:sty m:val="p"/>
            </m:rPr>
            <m:t>exp</m:t>
          </m:r>
          <m:d>
            <m:dPr>
              <m:begChr m:val="("/>
              <m:sepChr m:val=""/>
              <m:endChr m:val=")"/>
              <m:grow/>
            </m:dPr>
            <m:e>
              <m:r>
                <m:rPr>
                  <m:sty m:val="p"/>
                </m:rPr>
                <m:t>−</m:t>
              </m:r>
              <m:sSub>
                <m:e>
                  <m:r>
                    <m:t>k</m:t>
                  </m:r>
                </m:e>
                <m:sub>
                  <m:r>
                    <m:t>g</m:t>
                  </m:r>
                </m:sub>
              </m:sSub>
              <m:r>
                <m:t>Δ</m:t>
              </m:r>
              <m:r>
                <m:t>t</m:t>
              </m:r>
              <m:r>
                <m:t> </m:t>
              </m:r>
              <m:limLow>
                <m:e>
                  <m:r>
                    <m:rPr>
                      <m:sty m:val="p"/>
                    </m:rPr>
                    <m:t>max</m:t>
                  </m:r>
                </m:e>
                <m:lim>
                  <m:r>
                    <m:t>k</m:t>
                  </m:r>
                </m:lim>
              </m:limLow>
              <m:sSub>
                <m:e>
                  <m:r>
                    <m:t>P</m:t>
                  </m:r>
                </m:e>
                <m:sub>
                  <m:r>
                    <m:t>k</m:t>
                  </m:r>
                </m:sub>
              </m:sSub>
            </m:e>
          </m:d>
          <m:r>
            <m:rPr>
              <m:sty m:val="p"/>
            </m:rPr>
            <m:t>.</m:t>
          </m:r>
        </m:oMath>
      </m:oMathPara>
    </w:p>
    <w:p>
      <w:pPr>
        <w:pStyle w:val="FirstParagraph"/>
      </w:pPr>
      <w:r>
        <w:t xml:space="preserve">Operationally, this means the tip becomes more likely to advance when local ionic supply is not depleted, cathodic overpotential is favorable, the local field points along that direction, and the region already lies on a previously fed path; it becomes less likely when the candidate cell is crowded or would graze an existing non-parent branch. That is the shortest explicit reduced-order bridge from</w:t>
      </w:r>
      <w:r>
        <w:t xml:space="preserve"> </w:t>
      </w:r>
      <m:oMath>
        <m:d>
          <m:dPr>
            <m:begChr m:val="("/>
            <m:sepChr m:val=""/>
            <m:endChr m:val=")"/>
            <m:grow/>
          </m:dPr>
          <m:e>
            <m:r>
              <m:t>c</m:t>
            </m:r>
            <m:r>
              <m:rPr>
                <m:sty m:val="p"/>
              </m:rPr>
              <m:t>,</m:t>
            </m:r>
            <m:r>
              <m:t>ϕ</m:t>
            </m:r>
            <m:r>
              <m:rPr>
                <m:sty m:val="p"/>
              </m:rPr>
              <m:t>,</m:t>
            </m:r>
            <m:r>
              <m:t>q</m:t>
            </m:r>
          </m:e>
        </m:d>
      </m:oMath>
      <w:r>
        <w:t xml:space="preserve"> </w:t>
      </w:r>
      <w:r>
        <w:t xml:space="preserve">into deposition propensity that still respects what the phase-field and sharp-interface literature says actually drives dendritic advance.</w:t>
      </w:r>
      <w:r>
        <w:t xml:space="preserve"> </w:t>
      </w:r>
      <w:hyperlink r:id="rId23">
        <w:r>
          <w:rPr>
            <w:rStyle w:val="Hyperlink"/>
          </w:rPr>
          <w:t xml:space="preserve">[3]</w:t>
        </w:r>
      </w:hyperlink>
    </w:p>
    <w:p>
      <w:pPr>
        <w:pStyle w:val="BodyText"/>
      </w:pPr>
      <w:r>
        <w:t xml:space="preserve">A concise implementation outline is:</w:t>
      </w:r>
    </w:p>
    <w:p>
      <w:pPr>
        <w:pStyle w:val="SourceCode"/>
      </w:pPr>
      <w:r>
        <w:rPr>
          <w:rStyle w:val="VerbatimChar"/>
        </w:rPr>
        <w:t xml:space="preserve">for each time step:</w:t>
      </w:r>
      <w:r>
        <w:br/>
      </w:r>
      <w:r>
        <w:rPr>
          <w:rStyle w:val="VerbatimChar"/>
        </w:rPr>
        <w:t xml:space="preserve">    solve_phi(deposit_mask, c_field, electrode_bc)</w:t>
      </w:r>
      <w:r>
        <w:br/>
      </w:r>
      <w:r>
        <w:rPr>
          <w:rStyle w:val="VerbatimChar"/>
        </w:rPr>
        <w:t xml:space="preserve">    c_field = update_concentration(c_field, phi_field, interface_mask, dt)</w:t>
      </w:r>
      <w:r>
        <w:br/>
      </w:r>
      <w:r>
        <w:rPr>
          <w:rStyle w:val="VerbatimChar"/>
        </w:rPr>
        <w:t xml:space="preserve">    q_field = update_charge_history(q_field, phi_field, c_field, interface_mask, dt)</w:t>
      </w:r>
      <w:r>
        <w:br/>
      </w:r>
      <w:r>
        <w:br/>
      </w:r>
      <w:r>
        <w:rPr>
          <w:rStyle w:val="VerbatimChar"/>
        </w:rPr>
        <w:t xml:space="preserve">    for tip in active_tips:</w:t>
      </w:r>
      <w:r>
        <w:br/>
      </w:r>
      <w:r>
        <w:rPr>
          <w:rStyle w:val="VerbatimChar"/>
        </w:rPr>
        <w:t xml:space="preserve">        scores = []</w:t>
      </w:r>
      <w:r>
        <w:br/>
      </w:r>
      <w:r>
        <w:rPr>
          <w:rStyle w:val="VerbatimChar"/>
        </w:rPr>
        <w:t xml:space="preserve">        for direction in sixteen_direction_stencil(tip.heading):</w:t>
      </w:r>
      <w:r>
        <w:br/>
      </w:r>
      <w:r>
        <w:rPr>
          <w:rStyle w:val="VerbatimChar"/>
        </w:rPr>
        <w:t xml:space="preserve">            x = first_admissible_cell_along_ray(tip.pos, direction)</w:t>
      </w:r>
      <w:r>
        <w:br/>
      </w:r>
      <w:r>
        <w:rPr>
          <w:rStyle w:val="VerbatimChar"/>
        </w:rPr>
        <w:t xml:space="preserve">            if violates_nonparent_halo(x):</w:t>
      </w:r>
      <w:r>
        <w:br/>
      </w:r>
      <w:r>
        <w:rPr>
          <w:rStyle w:val="VerbatimChar"/>
        </w:rPr>
        <w:t xml:space="preserve">                continue</w:t>
      </w:r>
      <w:r>
        <w:br/>
      </w:r>
      <w:r>
        <w:br/>
      </w:r>
      <w:r>
        <w:rPr>
          <w:rStyle w:val="VerbatimChar"/>
        </w:rPr>
        <w:t xml:space="preserve">            eta = max(0.0, phi_metal(tip) - phi_field[x] - U_eq(c_field[x]))</w:t>
      </w:r>
      <w:r>
        <w:br/>
      </w:r>
      <w:r>
        <w:rPr>
          <w:rStyle w:val="VerbatimChar"/>
        </w:rPr>
        <w:t xml:space="preserve">            align = max(0.0, dot(direction, unit(-grad(phi_field)[x])))</w:t>
      </w:r>
      <w:r>
        <w:br/>
      </w:r>
      <w:r>
        <w:rPr>
          <w:rStyle w:val="VerbatimChar"/>
        </w:rPr>
        <w:t xml:space="preserve">            dep = c_field[x] / (Kc + c_field[x])</w:t>
      </w:r>
      <w:r>
        <w:br/>
      </w:r>
      <w:r>
        <w:rPr>
          <w:rStyle w:val="VerbatimChar"/>
        </w:rPr>
        <w:t xml:space="preserve">            mem = q_field[x]</w:t>
      </w:r>
      <w:r>
        <w:br/>
      </w:r>
      <w:r>
        <w:br/>
      </w:r>
      <w:r>
        <w:rPr>
          <w:rStyle w:val="VerbatimChar"/>
        </w:rPr>
        <w:t xml:space="preserve">            S = (b0</w:t>
      </w:r>
      <w:r>
        <w:br/>
      </w:r>
      <w:r>
        <w:rPr>
          <w:rStyle w:val="VerbatimChar"/>
        </w:rPr>
        <w:t xml:space="preserve">                 + b_eta * eta / eta_ref</w:t>
      </w:r>
      <w:r>
        <w:br/>
      </w:r>
      <w:r>
        <w:rPr>
          <w:rStyle w:val="VerbatimChar"/>
        </w:rPr>
        <w:t xml:space="preserve">                 + b_c * log(dep + eps)</w:t>
      </w:r>
      <w:r>
        <w:br/>
      </w:r>
      <w:r>
        <w:rPr>
          <w:rStyle w:val="VerbatimChar"/>
        </w:rPr>
        <w:t xml:space="preserve">                 + b_a * align</w:t>
      </w:r>
      <w:r>
        <w:br/>
      </w:r>
      <w:r>
        <w:rPr>
          <w:rStyle w:val="VerbatimChar"/>
        </w:rPr>
        <w:t xml:space="preserve">                 + b_q * mem</w:t>
      </w:r>
      <w:r>
        <w:br/>
      </w:r>
      <w:r>
        <w:rPr>
          <w:rStyle w:val="VerbatimChar"/>
        </w:rPr>
        <w:t xml:space="preserve">                 - b_occ * occupied_neighbors(x)</w:t>
      </w:r>
      <w:r>
        <w:br/>
      </w:r>
      <w:r>
        <w:rPr>
          <w:rStyle w:val="VerbatimChar"/>
        </w:rPr>
        <w:t xml:space="preserve">                 - b_halo * nonparent_halo_penalty(x))</w:t>
      </w:r>
      <w:r>
        <w:br/>
      </w:r>
      <w:r>
        <w:rPr>
          <w:rStyle w:val="VerbatimChar"/>
        </w:rPr>
        <w:t xml:space="preserve">            scores.append((direction, x, S))</w:t>
      </w:r>
      <w:r>
        <w:br/>
      </w:r>
      <w:r>
        <w:br/>
      </w:r>
      <w:r>
        <w:rPr>
          <w:rStyle w:val="VerbatimChar"/>
        </w:rPr>
        <w:t xml:space="preserve">        P = softmax(scores, temperature=T_s)</w:t>
      </w:r>
      <w:r>
        <w:br/>
      </w:r>
      <w:r>
        <w:rPr>
          <w:rStyle w:val="VerbatimChar"/>
        </w:rPr>
        <w:t xml:space="preserve">        if rand() &lt; 1 - exp(-k_g * dt * max_prob(P)):</w:t>
      </w:r>
      <w:r>
        <w:br/>
      </w:r>
      <w:r>
        <w:rPr>
          <w:rStyle w:val="VerbatimChar"/>
        </w:rPr>
        <w:t xml:space="preserve">            advance_or_branch(tip, P)</w:t>
      </w:r>
    </w:p>
    <w:bookmarkEnd w:id="24"/>
    <w:bookmarkStart w:id="26" w:name="branch-separation-rule"/>
    <w:p>
      <w:pPr>
        <w:pStyle w:val="Heading3"/>
      </w:pPr>
      <w:r>
        <w:t xml:space="preserve">Branch separation rule</w:t>
      </w:r>
    </w:p>
    <w:p>
      <w:pPr>
        <w:pStyle w:val="FirstParagraph"/>
      </w:pPr>
      <w:r>
        <w:t xml:space="preserve">Use the top two</w:t>
      </w:r>
      <w:r>
        <w:t xml:space="preserve"> </w:t>
      </w:r>
      <w:r>
        <w:rPr>
          <w:b/>
          <w:bCs/>
        </w:rPr>
        <w:t xml:space="preserve">non-adjacent local maxima</w:t>
      </w:r>
      <w:r>
        <w:t xml:space="preserve"> </w:t>
      </w:r>
      <w:r>
        <w:t xml:space="preserve">of</w:t>
      </w:r>
      <w:r>
        <w:t xml:space="preserve"> </w:t>
      </w:r>
      <m:oMath>
        <m:sSub>
          <m:e>
            <m:r>
              <m:t>P</m:t>
            </m:r>
          </m:e>
          <m:sub>
            <m:r>
              <m:t>k</m:t>
            </m:r>
          </m:sub>
        </m:sSub>
      </m:oMath>
      <w:r>
        <w:t xml:space="preserve">, call them</w:t>
      </w:r>
      <w:r>
        <w:t xml:space="preserve"> </w:t>
      </w:r>
      <m:oMath>
        <m:d>
          <m:dPr>
            <m:begChr m:val="("/>
            <m:sepChr m:val=""/>
            <m:endChr m:val=")"/>
            <m:grow/>
          </m:dPr>
          <m:e>
            <m:sSub>
              <m:e>
                <m:r>
                  <m:t>e</m:t>
                </m:r>
              </m:e>
              <m:sub>
                <m:r>
                  <m:t>1</m:t>
                </m:r>
              </m:sub>
            </m:sSub>
            <m:r>
              <m:rPr>
                <m:sty m:val="p"/>
              </m:rPr>
              <m:t>,</m:t>
            </m:r>
            <m:sSub>
              <m:e>
                <m:r>
                  <m:t>P</m:t>
                </m:r>
              </m:e>
              <m:sub>
                <m:r>
                  <m:t>1</m:t>
                </m:r>
              </m:sub>
            </m:sSub>
          </m:e>
        </m:d>
      </m:oMath>
      <w:r>
        <w:t xml:space="preserve"> </w:t>
      </w:r>
      <w:r>
        <w:t xml:space="preserve">and</w:t>
      </w:r>
      <w:r>
        <w:t xml:space="preserve"> </w:t>
      </w:r>
      <m:oMath>
        <m:d>
          <m:dPr>
            <m:begChr m:val="("/>
            <m:sepChr m:val=""/>
            <m:endChr m:val=")"/>
            <m:grow/>
          </m:dPr>
          <m:e>
            <m:sSub>
              <m:e>
                <m:r>
                  <m:t>e</m:t>
                </m:r>
              </m:e>
              <m:sub>
                <m:r>
                  <m:t>2</m:t>
                </m:r>
              </m:sub>
            </m:sSub>
            <m:r>
              <m:rPr>
                <m:sty m:val="p"/>
              </m:rPr>
              <m:t>,</m:t>
            </m:r>
            <m:sSub>
              <m:e>
                <m:r>
                  <m:t>P</m:t>
                </m:r>
              </m:e>
              <m:sub>
                <m:r>
                  <m:t>2</m:t>
                </m:r>
              </m:sub>
            </m:sSub>
          </m:e>
        </m:d>
      </m:oMath>
      <w:r>
        <w:t xml:space="preserve">. A branch event is permitted only if all of the following are true:</w:t>
      </w:r>
    </w:p>
    <w:p>
      <w:pPr>
        <w:pStyle w:val="BodyText"/>
      </w:pPr>
      <m:oMathPara>
        <m:oMathParaPr>
          <m:jc m:val="center"/>
        </m:oMathParaPr>
        <m:oMath>
          <m:sSub>
            <m:e>
              <m:r>
                <m:t>P</m:t>
              </m:r>
            </m:e>
            <m:sub>
              <m:r>
                <m:t>2</m:t>
              </m:r>
            </m:sub>
          </m:sSub>
          <m:r>
            <m:rPr>
              <m:sty m:val="p"/>
            </m:rPr>
            <m:t>≥</m:t>
          </m:r>
          <m:sSub>
            <m:e>
              <m:r>
                <m:t>r</m:t>
              </m:r>
            </m:e>
            <m:sub>
              <m:r>
                <m:rPr>
                  <m:nor/>
                  <m:sty m:val="p"/>
                </m:rPr>
                <m:t>split</m:t>
              </m:r>
            </m:sub>
          </m:sSub>
          <m:sSub>
            <m:e>
              <m:r>
                <m:t>P</m:t>
              </m:r>
            </m:e>
            <m:sub>
              <m:r>
                <m:t>1</m:t>
              </m:r>
            </m:sub>
          </m:sSub>
        </m:oMath>
      </m:oMathPara>
    </w:p>
    <w:p>
      <w:pPr>
        <w:pStyle w:val="FirstParagraph"/>
      </w:pPr>
      <m:oMathPara>
        <m:oMathParaPr>
          <m:jc m:val="center"/>
        </m:oMathParaPr>
        <m:oMath>
          <m:sSubSup>
            <m:e>
              <m:r>
                <m:t>η</m:t>
              </m:r>
            </m:e>
            <m:sub>
              <m:r>
                <m:t>2</m:t>
              </m:r>
            </m:sub>
            <m:sup>
              <m:r>
                <m:rPr>
                  <m:sty m:val="p"/>
                </m:rPr>
                <m:t>+</m:t>
              </m:r>
            </m:sup>
          </m:sSubSup>
          <m:r>
            <m:rPr>
              <m:sty m:val="p"/>
            </m:rPr>
            <m:t>≥</m:t>
          </m:r>
          <m:sSub>
            <m:e>
              <m:r>
                <m:t>η</m:t>
              </m:r>
            </m:e>
            <m:sub>
              <m:r>
                <m:rPr>
                  <m:nor/>
                  <m:sty m:val="p"/>
                </m:rPr>
                <m:t>split</m:t>
              </m:r>
            </m:sub>
          </m:sSub>
        </m:oMath>
      </m:oMathPara>
    </w:p>
    <w:p>
      <w:pPr>
        <w:pStyle w:val="FirstParagraph"/>
      </w:pPr>
      <m:oMathPara>
        <m:oMathParaPr>
          <m:jc m:val="center"/>
        </m:oMathParaPr>
        <m:oMath>
          <m:sSub>
            <m:e>
              <m:d>
                <m:dPr>
                  <m:begChr m:val="|"/>
                  <m:sepChr m:val=""/>
                  <m:endChr m:val="|"/>
                  <m:grow/>
                </m:dPr>
                <m:e>
                  <m:r>
                    <m:rPr>
                      <m:sty m:val="p"/>
                    </m:rPr>
                    <m:t>b</m:t>
                  </m:r>
                  <m:r>
                    <m:rPr>
                      <m:sty m:val="p"/>
                    </m:rPr>
                    <m:t>i</m:t>
                  </m:r>
                  <m:r>
                    <m:rPr>
                      <m:sty m:val="p"/>
                    </m:rPr>
                    <m:t>n</m:t>
                  </m:r>
                  <m:d>
                    <m:dPr>
                      <m:begChr m:val="("/>
                      <m:sepChr m:val=""/>
                      <m:endChr m:val=")"/>
                      <m:grow/>
                    </m:dPr>
                    <m:e>
                      <m:sSub>
                        <m:e>
                          <m:r>
                            <m:t>e</m:t>
                          </m:r>
                        </m:e>
                        <m:sub>
                          <m:r>
                            <m:t>1</m:t>
                          </m:r>
                        </m:sub>
                      </m:sSub>
                    </m:e>
                  </m:d>
                  <m:r>
                    <m:rPr>
                      <m:sty m:val="p"/>
                    </m:rPr>
                    <m:t>−</m:t>
                  </m:r>
                  <m:r>
                    <m:rPr>
                      <m:sty m:val="p"/>
                    </m:rPr>
                    <m:t>b</m:t>
                  </m:r>
                  <m:r>
                    <m:rPr>
                      <m:sty m:val="p"/>
                    </m:rPr>
                    <m:t>i</m:t>
                  </m:r>
                  <m:r>
                    <m:rPr>
                      <m:sty m:val="p"/>
                    </m:rPr>
                    <m:t>n</m:t>
                  </m:r>
                  <m:d>
                    <m:dPr>
                      <m:begChr m:val="("/>
                      <m:sepChr m:val=""/>
                      <m:endChr m:val=")"/>
                      <m:grow/>
                    </m:dPr>
                    <m:e>
                      <m:sSub>
                        <m:e>
                          <m:r>
                            <m:t>e</m:t>
                          </m:r>
                        </m:e>
                        <m:sub>
                          <m:r>
                            <m:t>2</m:t>
                          </m:r>
                        </m:sub>
                      </m:sSub>
                    </m:e>
                  </m:d>
                </m:e>
              </m:d>
            </m:e>
            <m:sub>
              <m:r>
                <m:rPr>
                  <m:nor/>
                  <m:sty m:val="p"/>
                </m:rPr>
                <m:t>circular</m:t>
              </m:r>
            </m:sub>
          </m:sSub>
          <m:r>
            <m:rPr>
              <m:sty m:val="p"/>
            </m:rPr>
            <m:t>≥</m:t>
          </m:r>
          <m:r>
            <m:t>2</m:t>
          </m:r>
        </m:oMath>
      </m:oMathPara>
    </w:p>
    <w:p>
      <w:pPr>
        <w:pStyle w:val="FirstParagraph"/>
      </w:pPr>
      <m:oMathPara>
        <m:oMathParaPr>
          <m:jc m:val="center"/>
        </m:oMathParaPr>
        <m:oMath>
          <m:d>
            <m:dPr>
              <m:begChr m:val="∥"/>
              <m:sepChr m:val=""/>
              <m:endChr m:val="∥"/>
              <m:grow/>
            </m:dPr>
            <m:e>
              <m:sSub>
                <m:e>
                  <m:r>
                    <m:t>x</m:t>
                  </m:r>
                </m:e>
                <m:sub>
                  <m:r>
                    <m:t>τ</m:t>
                  </m:r>
                </m:sub>
              </m:sSub>
              <m:r>
                <m:rPr>
                  <m:sty m:val="p"/>
                </m:rPr>
                <m:t>+</m:t>
              </m:r>
              <m:r>
                <m:t>4</m:t>
              </m:r>
              <m:r>
                <m:t>Δ</m:t>
              </m:r>
              <m:r>
                <m:t>x</m:t>
              </m:r>
              <m:r>
                <m:t> </m:t>
              </m:r>
              <m:sSub>
                <m:e>
                  <m:r>
                    <m:t>e</m:t>
                  </m:r>
                </m:e>
                <m:sub>
                  <m:r>
                    <m:t>1</m:t>
                  </m:r>
                </m:sub>
              </m:sSub>
              <m:r>
                <m:rPr>
                  <m:sty m:val="p"/>
                </m:rPr>
                <m:t>−</m:t>
              </m:r>
              <m:d>
                <m:dPr>
                  <m:begChr m:val="("/>
                  <m:sepChr m:val=""/>
                  <m:endChr m:val=")"/>
                  <m:grow/>
                </m:dPr>
                <m:e>
                  <m:sSub>
                    <m:e>
                      <m:r>
                        <m:t>x</m:t>
                      </m:r>
                    </m:e>
                    <m:sub>
                      <m:r>
                        <m:t>τ</m:t>
                      </m:r>
                    </m:sub>
                  </m:sSub>
                  <m:r>
                    <m:rPr>
                      <m:sty m:val="p"/>
                    </m:rPr>
                    <m:t>+</m:t>
                  </m:r>
                  <m:r>
                    <m:t>4</m:t>
                  </m:r>
                  <m:r>
                    <m:t>Δ</m:t>
                  </m:r>
                  <m:r>
                    <m:t>x</m:t>
                  </m:r>
                  <m:r>
                    <m:t> </m:t>
                  </m:r>
                  <m:sSub>
                    <m:e>
                      <m:r>
                        <m:t>e</m:t>
                      </m:r>
                    </m:e>
                    <m:sub>
                      <m:r>
                        <m:t>2</m:t>
                      </m:r>
                    </m:sub>
                  </m:sSub>
                </m:e>
              </m:d>
            </m:e>
          </m:d>
          <m:r>
            <m:rPr>
              <m:sty m:val="p"/>
            </m:rPr>
            <m:t>≥</m:t>
          </m:r>
          <m:r>
            <m:t>3</m:t>
          </m:r>
          <m:r>
            <m:t>Δ</m:t>
          </m:r>
          <m:r>
            <m:t>x</m:t>
          </m:r>
        </m:oMath>
      </m:oMathPara>
    </w:p>
    <w:p>
      <w:pPr>
        <w:pStyle w:val="FirstParagraph"/>
      </w:pPr>
      <w:r>
        <w:t xml:space="preserve">and both projected rays remain outside a one-cell exclusion halo around all</w:t>
      </w:r>
      <w:r>
        <w:t xml:space="preserve"> </w:t>
      </w:r>
      <w:r>
        <w:rPr>
          <w:b/>
          <w:bCs/>
        </w:rPr>
        <w:t xml:space="preserve">non-parent</w:t>
      </w:r>
      <w:r>
        <w:t xml:space="preserve"> </w:t>
      </w:r>
      <w:r>
        <w:t xml:space="preserve">deposit pixels. In plain language: on the 16-direction stencil, the two daughter directions must be at least</w:t>
      </w:r>
      <w:r>
        <w:t xml:space="preserve"> </w:t>
      </w:r>
      <w:r>
        <w:rPr>
          <w:b/>
          <w:bCs/>
        </w:rPr>
        <w:t xml:space="preserve">two bins apart</w:t>
      </w:r>
      <w:r>
        <w:t xml:space="preserve">, which gives a default minimum angular split of</w:t>
      </w:r>
      <w:r>
        <w:t xml:space="preserve"> </w:t>
      </w:r>
      <w:r>
        <w:rPr>
          <w:b/>
          <w:bCs/>
        </w:rPr>
        <w:t xml:space="preserve">45°</w:t>
      </w:r>
      <w:r>
        <w:t xml:space="preserve">, and when projected four cells forward they must still be at least</w:t>
      </w:r>
      <w:r>
        <w:t xml:space="preserve"> </w:t>
      </w:r>
      <w:r>
        <w:rPr>
          <w:b/>
          <w:bCs/>
        </w:rPr>
        <w:t xml:space="preserve">three lattice cells apart</w:t>
      </w:r>
      <w:r>
        <w:t xml:space="preserve">. If any one of those conditions fails, the weaker maximum is suppressed and the tip executes a single advance. This is a deliberate engineering regularizer: transport-limited branching models do exhibit characteristic split angles, and electrodeposition experiments show strong regime changes with current density and depletion, but the twin still needs a concrete image-resolvable separation rule so that “two branches” in the model are not merely one unresolved thickened tip in the apparatus.</w:t>
      </w:r>
      <w:r>
        <w:t xml:space="preserve"> </w:t>
      </w:r>
      <w:hyperlink r:id="rId25">
        <w:r>
          <w:rPr>
            <w:rStyle w:val="Hyperlink"/>
          </w:rPr>
          <w:t xml:space="preserve">[4]</w:t>
        </w:r>
      </w:hyperlink>
    </w:p>
    <w:p>
      <w:pPr>
        <w:pStyle w:val="BodyText"/>
      </w:pPr>
      <w:r>
        <w:t xml:space="preserve">This is also where uncontrolled bridging should be blocked by default. Unless the target morphology family explicitly includes a bridge, any candidate step that would enter the one-cell halo of a non-parent branch is marked inadmissible; the only exception is a</w:t>
      </w:r>
      <w:r>
        <w:t xml:space="preserve"> </w:t>
      </w:r>
      <w:r>
        <w:rPr>
          <w:b/>
          <w:bCs/>
        </w:rPr>
        <w:t xml:space="preserve">bridge-enabled</w:t>
      </w:r>
      <w:r>
        <w:t xml:space="preserve"> </w:t>
      </w:r>
      <w:r>
        <w:t xml:space="preserve">run in which the target signature expects closure and the conductance objective benefits from it. The defaults above—16-direction stencil, 45° minimum split, four-cell look-ahead, and three-cell projected separation—should be marked in the document as</w:t>
      </w:r>
      <w:r>
        <w:t xml:space="preserve"> </w:t>
      </w:r>
      <w:r>
        <w:rPr>
          <w:b/>
          <w:bCs/>
        </w:rPr>
        <w:t xml:space="preserve">initial engineering starting recommendations for Phase Zero</w:t>
      </w:r>
      <w:r>
        <w:t xml:space="preserve">, to be empirically adjusted after the first</w:t>
      </w:r>
      <w:r>
        <w:t xml:space="preserve"> </w:t>
      </w:r>
      <w:r>
        <w:rPr>
          <w:b/>
          <w:bCs/>
        </w:rPr>
        <w:t xml:space="preserve">50–100 accepted runs</w:t>
      </w:r>
      <w:r>
        <w:t xml:space="preserve"> </w:t>
      </w:r>
      <w:r>
        <w:t xml:space="preserve">rather than treated as fixed physical constants.</w:t>
      </w:r>
      <w:r>
        <w:t xml:space="preserve"> </w:t>
      </w:r>
      <w:hyperlink r:id="rId25">
        <w:r>
          <w:rPr>
            <w:rStyle w:val="Hyperlink"/>
          </w:rPr>
          <w:t xml:space="preserve">[5]</w:t>
        </w:r>
      </w:hyperlink>
    </w:p>
    <w:bookmarkEnd w:id="26"/>
    <w:bookmarkEnd w:id="27"/>
    <w:bookmarkStart w:id="31" w:name="shadow-retrain-and-promotion-workflow"/>
    <w:p>
      <w:pPr>
        <w:pStyle w:val="Heading2"/>
      </w:pPr>
      <w:r>
        <w:t xml:space="preserve">Shadow retrain and promotion workflow</w:t>
      </w:r>
    </w:p>
    <w:p>
      <w:pPr>
        <w:pStyle w:val="FirstParagraph"/>
      </w:pPr>
      <w:r>
        <w:t xml:space="preserve">The operational workflow should be a small governed state machine rather than an informal “retrain when it feels stale” rule:</w:t>
      </w:r>
    </w:p>
    <w:p>
      <w:pPr>
        <w:pStyle w:val="SourceCode"/>
      </w:pPr>
      <w:r>
        <w:rPr>
          <w:rStyle w:val="VerbatimChar"/>
        </w:rPr>
        <w:t xml:space="preserve">ACTIVE_k</w:t>
      </w:r>
      <w:r>
        <w:br/>
      </w:r>
      <w:r>
        <w:rPr>
          <w:rStyle w:val="VerbatimChar"/>
        </w:rPr>
        <w:t xml:space="preserve">  -&gt; TRAIN_SHADOW_{k+1}</w:t>
      </w:r>
      <w:r>
        <w:br/>
      </w:r>
      <w:r>
        <w:rPr>
          <w:rStyle w:val="VerbatimChar"/>
        </w:rPr>
        <w:t xml:space="preserve">  -&gt; SHADOW_EVAL_{k+1}</w:t>
      </w:r>
      <w:r>
        <w:br/>
      </w:r>
      <w:r>
        <w:rPr>
          <w:rStyle w:val="VerbatimChar"/>
        </w:rPr>
        <w:t xml:space="preserve">     -&gt; PROMOTE_{k+1} or REJECT_{k+1}</w:t>
      </w:r>
      <w:r>
        <w:br/>
      </w:r>
      <w:r>
        <w:rPr>
          <w:rStyle w:val="VerbatimChar"/>
        </w:rPr>
        <w:t xml:space="preserve">PROMOTE_{k+1}</w:t>
      </w:r>
      <w:r>
        <w:br/>
      </w:r>
      <w:r>
        <w:rPr>
          <w:rStyle w:val="VerbatimChar"/>
        </w:rPr>
        <w:t xml:space="preserve">  -&gt; PROBATION_{k+1}</w:t>
      </w:r>
      <w:r>
        <w:br/>
      </w:r>
      <w:r>
        <w:rPr>
          <w:rStyle w:val="VerbatimChar"/>
        </w:rPr>
        <w:t xml:space="preserve">     -&gt; CONFIRM_{k+1} or ROLLBACK_to_k</w:t>
      </w:r>
    </w:p>
    <w:p>
      <w:pPr>
        <w:pStyle w:val="FirstParagraph"/>
      </w:pPr>
      <w:r>
        <w:t xml:space="preserve">The trigger should come from a dedicated</w:t>
      </w:r>
      <w:r>
        <w:t xml:space="preserve"> </w:t>
      </w:r>
      <w:r>
        <w:rPr>
          <w:b/>
          <w:bCs/>
        </w:rPr>
        <w:t xml:space="preserve">Calibration Manager</w:t>
      </w:r>
      <w:r>
        <w:t xml:space="preserve"> </w:t>
      </w:r>
      <w:r>
        <w:t xml:space="preserve">service, with three allowed trigger sources: a</w:t>
      </w:r>
      <w:r>
        <w:t xml:space="preserve"> </w:t>
      </w:r>
      <w:r>
        <w:rPr>
          <w:b/>
          <w:bCs/>
        </w:rPr>
        <w:t xml:space="preserve">run-count trigger</w:t>
      </w:r>
      <w:r>
        <w:t xml:space="preserve"> </w:t>
      </w:r>
      <w:r>
        <w:t xml:space="preserve">when at least</w:t>
      </w:r>
      <w:r>
        <w:t xml:space="preserve"> </w:t>
      </w:r>
      <w:r>
        <w:rPr>
          <w:b/>
          <w:bCs/>
        </w:rPr>
        <w:t xml:space="preserve">20 new accepted runs</w:t>
      </w:r>
      <w:r>
        <w:t xml:space="preserve"> </w:t>
      </w:r>
      <w:r>
        <w:t xml:space="preserve">have accumulated since the last promotion; a</w:t>
      </w:r>
      <w:r>
        <w:t xml:space="preserve"> </w:t>
      </w:r>
      <w:r>
        <w:rPr>
          <w:b/>
          <w:bCs/>
        </w:rPr>
        <w:t xml:space="preserve">drift trigger</w:t>
      </w:r>
      <w:r>
        <w:t xml:space="preserve"> </w:t>
      </w:r>
      <w:r>
        <w:t xml:space="preserve">when the active model’s rolling median morphology error or conductance miss rate exceeds its own release baseline for a fixed window; and an</w:t>
      </w:r>
      <w:r>
        <w:t xml:space="preserve"> </w:t>
      </w:r>
      <w:r>
        <w:rPr>
          <w:b/>
          <w:bCs/>
        </w:rPr>
        <w:t xml:space="preserve">operator trigger</w:t>
      </w:r>
      <w:r>
        <w:t xml:space="preserve"> </w:t>
      </w:r>
      <w:r>
        <w:t xml:space="preserve">whenever chemistry class, electrode geometry class, camera calibration, or extraction-pipeline version changes. A shadow stage is worth enforcing because staged evaluation, shadow deployment, gated activation, online monitoring, and rollback reliably find regressions that sandbox-only checks miss.</w:t>
      </w:r>
      <w:r>
        <w:t xml:space="preserve"> </w:t>
      </w:r>
      <w:hyperlink r:id="rId28">
        <w:r>
          <w:rPr>
            <w:rStyle w:val="Hyperlink"/>
          </w:rPr>
          <w:t xml:space="preserve">[6]</w:t>
        </w:r>
      </w:hyperlink>
    </w:p>
    <w:bookmarkStart w:id="29" w:name="trigger-and-datasets"/>
    <w:p>
      <w:pPr>
        <w:pStyle w:val="Heading3"/>
      </w:pPr>
      <w:r>
        <w:t xml:space="preserve">Trigger and datasets</w:t>
      </w:r>
    </w:p>
    <w:p>
      <w:pPr>
        <w:pStyle w:val="FirstParagraph"/>
      </w:pPr>
      <w:r>
        <w:t xml:space="preserve">The active and shadow models should never train on the same definition of “current data.” Use four explicit datasets:</w:t>
      </w:r>
    </w:p>
    <w:p>
      <w:pPr>
        <w:pStyle w:val="BodyText"/>
      </w:pPr>
      <m:oMathPara>
        <m:oMathParaPr>
          <m:jc m:val="center"/>
        </m:oMathParaPr>
        <m:oMath>
          <m:sSubSup>
            <m:e>
              <m:r>
                <m:t>D</m:t>
              </m:r>
            </m:e>
            <m:sub>
              <m:r>
                <m:rPr>
                  <m:nor/>
                  <m:sty m:val="p"/>
                </m:rPr>
                <m:t>active</m:t>
              </m:r>
            </m:sub>
            <m:sup>
              <m:d>
                <m:dPr>
                  <m:begChr m:val="("/>
                  <m:sepChr m:val=""/>
                  <m:endChr m:val=")"/>
                  <m:grow/>
                </m:dPr>
                <m:e>
                  <m:r>
                    <m:t>k</m:t>
                  </m:r>
                </m:e>
              </m:d>
            </m:sup>
          </m:sSubSup>
        </m:oMath>
      </m:oMathPara>
    </w:p>
    <w:p>
      <w:pPr>
        <w:pStyle w:val="FirstParagraph"/>
      </w:pPr>
      <w:r>
        <w:t xml:space="preserve">for the frozen promoted training set behind the currently active model;</w:t>
      </w:r>
    </w:p>
    <w:p>
      <w:pPr>
        <w:pStyle w:val="BodyText"/>
      </w:pPr>
      <m:oMathPara>
        <m:oMathParaPr>
          <m:jc m:val="center"/>
        </m:oMathParaPr>
        <m:oMath>
          <m:r>
            <m:t>Δ</m:t>
          </m:r>
          <m:sSubSup>
            <m:e>
              <m:r>
                <m:t>D</m:t>
              </m:r>
            </m:e>
            <m:sub>
              <m:r>
                <m:rPr>
                  <m:nor/>
                  <m:sty m:val="p"/>
                </m:rPr>
                <m:t>new</m:t>
              </m:r>
            </m:sub>
            <m:sup>
              <m:d>
                <m:dPr>
                  <m:begChr m:val="("/>
                  <m:sepChr m:val=""/>
                  <m:endChr m:val=")"/>
                  <m:grow/>
                </m:dPr>
                <m:e>
                  <m:r>
                    <m:t>k</m:t>
                  </m:r>
                </m:e>
              </m:d>
            </m:sup>
          </m:sSubSup>
        </m:oMath>
      </m:oMathPara>
    </w:p>
    <w:p>
      <w:pPr>
        <w:pStyle w:val="FirstParagraph"/>
      </w:pPr>
      <w:r>
        <w:t xml:space="preserve">for newly accepted runs since the last promotion cutoff;</w:t>
      </w:r>
    </w:p>
    <w:p>
      <w:pPr>
        <w:pStyle w:val="BodyText"/>
      </w:pPr>
      <m:oMathPara>
        <m:oMathParaPr>
          <m:jc m:val="center"/>
        </m:oMathParaPr>
        <m:oMath>
          <m:sSub>
            <m:e>
              <m:r>
                <m:t>D</m:t>
              </m:r>
            </m:e>
            <m:sub>
              <m:r>
                <m:rPr>
                  <m:nor/>
                  <m:sty m:val="p"/>
                </m:rPr>
                <m:t>challenge</m:t>
              </m:r>
            </m:sub>
          </m:sSub>
        </m:oMath>
      </m:oMathPara>
    </w:p>
    <w:p>
      <w:pPr>
        <w:pStyle w:val="FirstParagraph"/>
      </w:pPr>
      <w:r>
        <w:t xml:space="preserve">for a frozen stratified audit set held out across operator families, morphology families, and risk regimes; and</w:t>
      </w:r>
    </w:p>
    <w:p>
      <w:pPr>
        <w:pStyle w:val="BodyText"/>
      </w:pPr>
      <m:oMathPara>
        <m:oMathParaPr>
          <m:jc m:val="center"/>
        </m:oMathParaPr>
        <m:oMath>
          <m:sSubSup>
            <m:e>
              <m:r>
                <m:t>D</m:t>
              </m:r>
            </m:e>
            <m:sub>
              <m:r>
                <m:rPr>
                  <m:nor/>
                  <m:sty m:val="p"/>
                </m:rPr>
                <m:t>shadow-eval</m:t>
              </m:r>
            </m:sub>
            <m:sup>
              <m:d>
                <m:dPr>
                  <m:begChr m:val="("/>
                  <m:sepChr m:val=""/>
                  <m:endChr m:val=")"/>
                  <m:grow/>
                </m:dPr>
                <m:e>
                  <m:r>
                    <m:t>k</m:t>
                  </m:r>
                  <m:r>
                    <m:rPr>
                      <m:sty m:val="p"/>
                    </m:rPr>
                    <m:t>+</m:t>
                  </m:r>
                  <m:r>
                    <m:t>1</m:t>
                  </m:r>
                </m:e>
              </m:d>
            </m:sup>
          </m:sSubSup>
        </m:oMath>
      </m:oMathPara>
    </w:p>
    <w:p>
      <w:pPr>
        <w:pStyle w:val="FirstParagraph"/>
      </w:pPr>
      <w:r>
        <w:t xml:space="preserve">for the</w:t>
      </w:r>
      <w:r>
        <w:t xml:space="preserve"> </w:t>
      </w:r>
      <w:r>
        <w:rPr>
          <w:b/>
          <w:bCs/>
        </w:rPr>
        <w:t xml:space="preserve">next</w:t>
      </w:r>
      <w:r>
        <w:t xml:space="preserve"> </w:t>
      </w:r>
      <w:r>
        <w:t xml:space="preserve">runs collected after the shadow is trained. The shadow model</w:t>
      </w:r>
      <w:r>
        <w:t xml:space="preserve"> </w:t>
      </w:r>
      <m:oMath>
        <m:sSubSup>
          <m:e>
            <m:r>
              <m:t>M</m:t>
            </m:r>
          </m:e>
          <m:sub>
            <m:r>
              <m:rPr>
                <m:nor/>
                <m:sty m:val="p"/>
              </m:rPr>
              <m:t>shadow</m:t>
            </m:r>
          </m:sub>
          <m:sup>
            <m:d>
              <m:dPr>
                <m:begChr m:val="("/>
                <m:sepChr m:val=""/>
                <m:endChr m:val=")"/>
                <m:grow/>
              </m:dPr>
              <m:e>
                <m:r>
                  <m:t>k</m:t>
                </m:r>
                <m:r>
                  <m:rPr>
                    <m:sty m:val="p"/>
                  </m:rPr>
                  <m:t>+</m:t>
                </m:r>
                <m:r>
                  <m:t>1</m:t>
                </m:r>
              </m:e>
            </m:d>
          </m:sup>
        </m:sSubSup>
      </m:oMath>
      <w:r>
        <w:t xml:space="preserve"> </w:t>
      </w:r>
      <w:r>
        <w:t xml:space="preserve">should train on</w:t>
      </w:r>
      <w:r>
        <w:t xml:space="preserve"> </w:t>
      </w:r>
      <m:oMath>
        <m:sSubSup>
          <m:e>
            <m:r>
              <m:t>D</m:t>
            </m:r>
          </m:e>
          <m:sub>
            <m:r>
              <m:rPr>
                <m:nor/>
                <m:sty m:val="p"/>
              </m:rPr>
              <m:t>active</m:t>
            </m:r>
          </m:sub>
          <m:sup>
            <m:d>
              <m:dPr>
                <m:begChr m:val="("/>
                <m:sepChr m:val=""/>
                <m:endChr m:val=")"/>
                <m:grow/>
              </m:dPr>
              <m:e>
                <m:r>
                  <m:t>k</m:t>
                </m:r>
              </m:e>
            </m:d>
          </m:sup>
        </m:sSubSup>
        <m:r>
          <m:rPr>
            <m:sty m:val="p"/>
          </m:rPr>
          <m:t>∪</m:t>
        </m:r>
        <m:r>
          <m:t>Δ</m:t>
        </m:r>
        <m:sSubSup>
          <m:e>
            <m:r>
              <m:t>D</m:t>
            </m:r>
          </m:e>
          <m:sub>
            <m:r>
              <m:rPr>
                <m:nor/>
                <m:sty m:val="p"/>
              </m:rPr>
              <m:t>new</m:t>
            </m:r>
          </m:sub>
          <m:sup>
            <m:d>
              <m:dPr>
                <m:begChr m:val="("/>
                <m:sepChr m:val=""/>
                <m:endChr m:val=")"/>
                <m:grow/>
              </m:dPr>
              <m:e>
                <m:r>
                  <m:t>k</m:t>
                </m:r>
              </m:e>
            </m:d>
          </m:sup>
        </m:sSubSup>
      </m:oMath>
      <w:r>
        <w:t xml:space="preserve">, but it should</w:t>
      </w:r>
      <w:r>
        <w:t xml:space="preserve"> </w:t>
      </w:r>
      <w:r>
        <w:rPr>
          <w:b/>
          <w:bCs/>
        </w:rPr>
        <w:t xml:space="preserve">not</w:t>
      </w:r>
      <w:r>
        <w:t xml:space="preserve"> </w:t>
      </w:r>
      <w:r>
        <w:t xml:space="preserve">train on either</w:t>
      </w:r>
      <w:r>
        <w:t xml:space="preserve"> </w:t>
      </w:r>
      <m:oMath>
        <m:sSub>
          <m:e>
            <m:r>
              <m:t>D</m:t>
            </m:r>
          </m:e>
          <m:sub>
            <m:r>
              <m:rPr>
                <m:nor/>
                <m:sty m:val="p"/>
              </m:rPr>
              <m:t>challenge</m:t>
            </m:r>
          </m:sub>
        </m:sSub>
      </m:oMath>
      <w:r>
        <w:t xml:space="preserve"> </w:t>
      </w:r>
      <w:r>
        <w:t xml:space="preserve">or</w:t>
      </w:r>
      <w:r>
        <w:t xml:space="preserve"> </w:t>
      </w:r>
      <m:oMath>
        <m:sSubSup>
          <m:e>
            <m:r>
              <m:t>D</m:t>
            </m:r>
          </m:e>
          <m:sub>
            <m:r>
              <m:rPr>
                <m:nor/>
                <m:sty m:val="p"/>
              </m:rPr>
              <m:t>shadow-eval</m:t>
            </m:r>
          </m:sub>
          <m:sup>
            <m:d>
              <m:dPr>
                <m:begChr m:val="("/>
                <m:sepChr m:val=""/>
                <m:endChr m:val=")"/>
                <m:grow/>
              </m:dPr>
              <m:e>
                <m:r>
                  <m:t>k</m:t>
                </m:r>
                <m:r>
                  <m:rPr>
                    <m:sty m:val="p"/>
                  </m:rPr>
                  <m:t>+</m:t>
                </m:r>
                <m:r>
                  <m:t>1</m:t>
                </m:r>
              </m:e>
            </m:d>
          </m:sup>
        </m:sSubSup>
      </m:oMath>
      <w:r>
        <w:t xml:space="preserve">. During shadow evaluation, the active model still drives live control; the shadow only predicts and scores. Low-confidence, provenance-incomplete, or extraction-failed brushes are written to a quarantine ledger and retained under HOLD rather than admitted into either training set.</w:t>
      </w:r>
      <w:r>
        <w:t xml:space="preserve"> </w:t>
      </w:r>
      <w:hyperlink r:id="rId28">
        <w:r>
          <w:rPr>
            <w:rStyle w:val="Hyperlink"/>
          </w:rPr>
          <w:t xml:space="preserve">[6]</w:t>
        </w:r>
      </w:hyperlink>
      <w:r>
        <w:t xml:space="preserve"> </w:t>
      </w:r>
      <w:r>
        <w:t xml:space="preserve">fileciteturn0file0</w:t>
      </w:r>
    </w:p>
    <w:p>
      <w:pPr>
        <w:pStyle w:val="BodyText"/>
      </w:pPr>
      <w:r>
        <w:t xml:space="preserve">Promotion should not even be considered until the shadow has seen at least</w:t>
      </w:r>
      <w:r>
        <w:t xml:space="preserve"> </w:t>
      </w:r>
      <w:r>
        <w:rPr>
          <w:b/>
          <w:bCs/>
        </w:rPr>
        <w:t xml:space="preserve">12 new accepted runs</w:t>
      </w:r>
      <w:r>
        <w:t xml:space="preserve"> </w:t>
      </w:r>
      <w:r>
        <w:t xml:space="preserve">in silent evaluation, with at least</w:t>
      </w:r>
      <w:r>
        <w:t xml:space="preserve"> </w:t>
      </w:r>
      <w:r>
        <w:rPr>
          <w:b/>
          <w:bCs/>
        </w:rPr>
        <w:t xml:space="preserve">three repeats in each operator family it materially changes</w:t>
      </w:r>
      <w:r>
        <w:t xml:space="preserve">. As a starting Phase Zero release rule, promote only if the shadow beats the active model on the preregistered primary metric set: at least</w:t>
      </w:r>
      <w:r>
        <w:t xml:space="preserve"> </w:t>
      </w:r>
      <w:r>
        <w:rPr>
          <w:b/>
          <w:bCs/>
        </w:rPr>
        <w:t xml:space="preserve">10% lower median morphology error</w:t>
      </w:r>
      <w:r>
        <w:t xml:space="preserve">, no worse than</w:t>
      </w:r>
      <w:r>
        <w:t xml:space="preserve"> </w:t>
      </w:r>
      <w:r>
        <w:rPr>
          <w:b/>
          <w:bCs/>
        </w:rPr>
        <w:t xml:space="preserve">2 percentage points</w:t>
      </w:r>
      <w:r>
        <w:t xml:space="preserve"> </w:t>
      </w:r>
      <w:r>
        <w:t xml:space="preserve">on conductance-band hit rate, no increase in safety-critical bridge misses, and no worse calibration on branch/no-branch decisions. All of those counts and margins should be labeled in the document as</w:t>
      </w:r>
      <w:r>
        <w:t xml:space="preserve"> </w:t>
      </w:r>
      <w:r>
        <w:rPr>
          <w:b/>
          <w:bCs/>
        </w:rPr>
        <w:t xml:space="preserve">initial engineering starting recommendations</w:t>
      </w:r>
      <w:r>
        <w:t xml:space="preserve"> </w:t>
      </w:r>
      <w:r>
        <w:t xml:space="preserve">to be re-tuned after the first</w:t>
      </w:r>
      <w:r>
        <w:t xml:space="preserve"> </w:t>
      </w:r>
      <w:r>
        <w:rPr>
          <w:b/>
          <w:bCs/>
        </w:rPr>
        <w:t xml:space="preserve">50–100 accepted runs</w:t>
      </w:r>
      <w:r>
        <w:t xml:space="preserve">; they are governance defaults, not permanent constants.</w:t>
      </w:r>
      <w:r>
        <w:t xml:space="preserve"> </w:t>
      </w:r>
      <w:hyperlink r:id="rId28">
        <w:r>
          <w:rPr>
            <w:rStyle w:val="Hyperlink"/>
          </w:rPr>
          <w:t xml:space="preserve">[6]</w:t>
        </w:r>
      </w:hyperlink>
    </w:p>
    <w:bookmarkEnd w:id="29"/>
    <w:bookmarkStart w:id="30" w:name="promotion-and-rollback"/>
    <w:p>
      <w:pPr>
        <w:pStyle w:val="Heading3"/>
      </w:pPr>
      <w:r>
        <w:t xml:space="preserve">Promotion and rollback</w:t>
      </w:r>
    </w:p>
    <w:p>
      <w:pPr>
        <w:pStyle w:val="FirstParagraph"/>
      </w:pPr>
      <w:r>
        <w:t xml:space="preserve">Once promoted, the new model enters</w:t>
      </w:r>
      <w:r>
        <w:t xml:space="preserve"> </w:t>
      </w:r>
      <w:r>
        <w:rPr>
          <w:b/>
          <w:bCs/>
        </w:rPr>
        <w:t xml:space="preserve">probation</w:t>
      </w:r>
      <w:r>
        <w:t xml:space="preserve">, not full trust. I recommend a probation window of the first</w:t>
      </w:r>
      <w:r>
        <w:t xml:space="preserve"> </w:t>
      </w:r>
      <w:r>
        <w:rPr>
          <w:b/>
          <w:bCs/>
        </w:rPr>
        <w:t xml:space="preserve">10 accepted runs</w:t>
      </w:r>
      <w:r>
        <w:t xml:space="preserve"> </w:t>
      </w:r>
      <w:r>
        <w:t xml:space="preserve">after promotion. During that window, log matched-run comparisons between the promoted model and the retired model. Roll back immediately if any of the following happens: the promoted model’s rolling median morphology error becomes more than</w:t>
      </w:r>
      <w:r>
        <w:t xml:space="preserve"> </w:t>
      </w:r>
      <w:r>
        <w:rPr>
          <w:b/>
          <w:bCs/>
        </w:rPr>
        <w:t xml:space="preserve">10% worse</w:t>
      </w:r>
      <w:r>
        <w:t xml:space="preserve"> </w:t>
      </w:r>
      <w:r>
        <w:t xml:space="preserve">than the predecessor on matched runs; conductance-band miss rate worsens by more than</w:t>
      </w:r>
      <w:r>
        <w:t xml:space="preserve"> </w:t>
      </w:r>
      <w:r>
        <w:rPr>
          <w:b/>
          <w:bCs/>
        </w:rPr>
        <w:t xml:space="preserve">5 percentage points</w:t>
      </w:r>
      <w:r>
        <w:t xml:space="preserve">; a safety-critical false negative appears in bridge-risk or segmentation-collapse warnings that the predecessor would have caught; or two consecutive FAIL outcomes are attributed in post-run diffing to bad control recommendations from the promoted surface rather than to apparatus faults. If rollback fires, restore</w:t>
      </w:r>
      <w:r>
        <w:t xml:space="preserve"> </w:t>
      </w:r>
      <m:oMath>
        <m:sSub>
          <m:e>
            <m:r>
              <m:t>M</m:t>
            </m:r>
          </m:e>
          <m:sub>
            <m:r>
              <m:t>k</m:t>
            </m:r>
          </m:sub>
        </m:sSub>
      </m:oMath>
      <w:r>
        <w:t xml:space="preserve">, mark</w:t>
      </w:r>
      <w:r>
        <w:t xml:space="preserve"> </w:t>
      </w:r>
      <m:oMath>
        <m:sSub>
          <m:e>
            <m:r>
              <m:t>M</m:t>
            </m:r>
          </m:e>
          <m:sub>
            <m:r>
              <m:t>k</m:t>
            </m:r>
            <m:r>
              <m:rPr>
                <m:sty m:val="p"/>
              </m:rPr>
              <m:t>+</m:t>
            </m:r>
            <m:r>
              <m:t>1</m:t>
            </m:r>
          </m:sub>
        </m:sSub>
      </m:oMath>
      <w:r>
        <w:t xml:space="preserve"> </w:t>
      </w:r>
      <w:r>
        <w:t xml:space="preserve">as quarantined, and require a postmortem before it may re-enter shadow. These numbers are again</w:t>
      </w:r>
      <w:r>
        <w:t xml:space="preserve"> </w:t>
      </w:r>
      <w:r>
        <w:rPr>
          <w:b/>
          <w:bCs/>
        </w:rPr>
        <w:t xml:space="preserve">starting recommendations only</w:t>
      </w:r>
      <w:r>
        <w:t xml:space="preserve">, to be empirically adjusted after the first</w:t>
      </w:r>
      <w:r>
        <w:t xml:space="preserve"> </w:t>
      </w:r>
      <w:r>
        <w:rPr>
          <w:b/>
          <w:bCs/>
        </w:rPr>
        <w:t xml:space="preserve">50–100 accepted runs</w:t>
      </w:r>
      <w:r>
        <w:t xml:space="preserve">.</w:t>
      </w:r>
      <w:r>
        <w:t xml:space="preserve"> </w:t>
      </w:r>
      <w:hyperlink r:id="rId28">
        <w:r>
          <w:rPr>
            <w:rStyle w:val="Hyperlink"/>
          </w:rPr>
          <w:t xml:space="preserve">[6]</w:t>
        </w:r>
      </w:hyperlink>
    </w:p>
    <w:bookmarkEnd w:id="30"/>
    <w:bookmarkEnd w:id="31"/>
    <w:bookmarkStart w:id="33" w:name="threshold-treatment"/>
    <w:p>
      <w:pPr>
        <w:pStyle w:val="Heading2"/>
      </w:pPr>
      <w:r>
        <w:t xml:space="preserve">Threshold treatment</w:t>
      </w:r>
    </w:p>
    <w:p>
      <w:pPr>
        <w:pStyle w:val="FirstParagraph"/>
      </w:pPr>
      <w:r>
        <w:t xml:space="preserve">The shortest correct note to add to the prior document is this:</w:t>
      </w:r>
      <w:r>
        <w:t xml:space="preserve"> </w:t>
      </w:r>
      <w:r>
        <w:rPr>
          <w:b/>
          <w:bCs/>
        </w:rPr>
        <w:t xml:space="preserve">every numerical threshold currently in the Phase Zero plan is provisional bench-governance logic, not a discovered law of the system</w:t>
      </w:r>
      <w:r>
        <w:t xml:space="preserve">. That includes reproducibility thresholds such as</w:t>
      </w:r>
      <w:r>
        <w:t xml:space="preserve"> </w:t>
      </w:r>
      <w:r>
        <w:rPr>
          <w:b/>
          <w:bCs/>
        </w:rPr>
        <w:t xml:space="preserve">15% coefficient of variation on tip velocity</w:t>
      </w:r>
      <w:r>
        <w:t xml:space="preserve">, branch-effect thresholds such as</w:t>
      </w:r>
      <w:r>
        <w:t xml:space="preserve"> </w:t>
      </w:r>
      <w:r>
        <w:rPr>
          <w:b/>
          <w:bCs/>
        </w:rPr>
        <w:t xml:space="preserve">0.25 absolute change in</w:t>
      </w:r>
      <w:r>
        <w:rPr>
          <w:b/>
          <w:bCs/>
        </w:rPr>
        <w:t xml:space="preserve"> </w:t>
      </w:r>
      <m:oMath>
        <m:r>
          <m:t>P</m:t>
        </m:r>
        <m:d>
          <m:dPr>
            <m:begChr m:val="("/>
            <m:sepChr m:val=""/>
            <m:endChr m:val=")"/>
            <m:grow/>
          </m:dPr>
          <m:e>
            <m:r>
              <m:rPr>
                <m:nor/>
                <m:sty m:val="p"/>
              </m:rPr>
              <m:t>branch</m:t>
            </m:r>
          </m:e>
        </m:d>
      </m:oMath>
      <w:r>
        <w:t xml:space="preserve">, risk diagnostics such as</w:t>
      </w:r>
      <w:r>
        <w:t xml:space="preserve"> </w:t>
      </w:r>
      <w:r>
        <w:rPr>
          <w:b/>
          <w:bCs/>
        </w:rPr>
        <w:t xml:space="preserve">10% bridge overshoot</w:t>
      </w:r>
      <w:r>
        <w:t xml:space="preserve">, and extraction-gate thresholds such as</w:t>
      </w:r>
      <w:r>
        <w:t xml:space="preserve"> </w:t>
      </w:r>
      <w:r>
        <w:rPr>
          <w:b/>
          <w:bCs/>
        </w:rPr>
        <w:t xml:space="preserve">segmentation confidence</w:t>
      </w:r>
      <w:r>
        <w:rPr>
          <w:b/>
          <w:bCs/>
        </w:rPr>
        <w:t xml:space="preserve"> </w:t>
      </w:r>
      <m:oMath>
        <m:r>
          <m:rPr>
            <m:sty m:val="p"/>
          </m:rPr>
          <m:t>≥</m:t>
        </m:r>
        <m:r>
          <m:t>0.90</m:t>
        </m:r>
      </m:oMath>
      <w:r>
        <w:t xml:space="preserve">. Electrodeposition morphology is known to shift with current density, concentration, depletion, surface effects, and even convection lag in quasi-2D cells, so it would be a mistake to freeze those values before the first real run distribution exists.</w:t>
      </w:r>
      <w:r>
        <w:t xml:space="preserve"> </w:t>
      </w:r>
      <w:hyperlink r:id="rId32">
        <w:r>
          <w:rPr>
            <w:rStyle w:val="Hyperlink"/>
          </w:rPr>
          <w:t xml:space="preserve">[7]</w:t>
        </w:r>
      </w:hyperlink>
    </w:p>
    <w:p>
      <w:pPr>
        <w:pStyle w:val="BodyText"/>
      </w:pPr>
      <w:r>
        <w:t xml:space="preserve">Operationally, the plan should define an</w:t>
      </w:r>
      <w:r>
        <w:t xml:space="preserve"> </w:t>
      </w:r>
      <w:r>
        <w:rPr>
          <w:b/>
          <w:bCs/>
        </w:rPr>
        <w:t xml:space="preserve">accepted run</w:t>
      </w:r>
      <w:r>
        <w:t xml:space="preserve"> </w:t>
      </w:r>
      <w:r>
        <w:t xml:space="preserve">as one that is provenance-complete, instrument-valid, and extraction-valid enough to enter statistics, regardless of whether its scientific outcome label is PASS, HOLD, or FAIL. Then apply a two-step threshold policy. After the first</w:t>
      </w:r>
      <w:r>
        <w:t xml:space="preserve"> </w:t>
      </w:r>
      <w:r>
        <w:rPr>
          <w:b/>
          <w:bCs/>
        </w:rPr>
        <w:t xml:space="preserve">50 accepted runs</w:t>
      </w:r>
      <w:r>
        <w:t xml:space="preserve">, produce only a descriptive threshold review: empirical distributions, false-positive and false-negative counts, and which defaults look clearly too tight or too loose. After the first</w:t>
      </w:r>
      <w:r>
        <w:t xml:space="preserve"> </w:t>
      </w:r>
      <w:r>
        <w:rPr>
          <w:b/>
          <w:bCs/>
        </w:rPr>
        <w:t xml:space="preserve">100 accepted runs</w:t>
      </w:r>
      <w:r>
        <w:t xml:space="preserve">, allow one versioned threshold update using empirical quantiles from accepted-good versus accepted-bad outcomes, but only after replaying the new thresholds on the frozen challenge set to confirm they improve discrimination rather than just fitting noise. That update policy is the right place to revise the current numerical defaults; until then, the existing numbers should be read as startup values for commissioning, not permanent settings.</w:t>
      </w:r>
      <w:r>
        <w:t xml:space="preserve"> </w:t>
      </w:r>
      <w:hyperlink r:id="rId32">
        <w:r>
          <w:rPr>
            <w:rStyle w:val="Hyperlink"/>
          </w:rPr>
          <w:t xml:space="preserve">[8]</w:t>
        </w:r>
      </w:hyperlink>
    </w:p>
    <w:p>
      <w:pPr>
        <w:pStyle w:val="BodyText"/>
      </w:pPr>
      <w:r>
        <w:t xml:space="preserve">If you want exact insertion text for the prior document, I would use the following sentence in each threshold-bearing section:</w:t>
      </w:r>
      <w:r>
        <w:t xml:space="preserve"> </w:t>
      </w:r>
      <w:r>
        <w:rPr>
          <w:i/>
          <w:iCs/>
        </w:rPr>
        <w:t xml:space="preserve">“All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r>
        <w:t xml:space="preserve"> </w:t>
      </w:r>
      <w:r>
        <w:t xml:space="preserve">That wording is especially appropriate in the reproducibility section, the risk diagnostics section, and the Stage B/C exit-criteria section because those are precisely the places where literature-backed variability is most likely to expose an overconfident constant.</w:t>
      </w:r>
      <w:r>
        <w:t xml:space="preserve"> </w:t>
      </w:r>
      <w:hyperlink r:id="rId32">
        <w:r>
          <w:rPr>
            <w:rStyle w:val="Hyperlink"/>
          </w:rPr>
          <w:t xml:space="preserve">[9]</w:t>
        </w:r>
      </w:hyperlink>
    </w:p>
    <w:bookmarkEnd w:id="33"/>
    <w:bookmarkEnd w:id="34"/>
    <w:bookmarkEnd w:id="35"/>
    <w:p>
      <w:r>
        <w:pict>
          <v:rect style="width:0;height:1.5pt" o:hralign="center" o:hrstd="t" o:hr="t"/>
        </w:pict>
      </w:r>
    </w:p>
    <w:bookmarkStart w:id="36"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r>
        <w:t xml:space="preserve">A sharp-interface model of electrodeposition and ramified growth</w:t>
      </w:r>
    </w:p>
    <w:p>
      <w:pPr>
        <w:pStyle w:val="BodyText"/>
      </w:pPr>
      <w:hyperlink r:id="rId22">
        <w:r>
          <w:rPr>
            <w:rStyle w:val="Hyperlink"/>
          </w:rPr>
          <w:t xml:space="preserve">https://arxiv.org/abs/1507.01040</w:t>
        </w:r>
      </w:hyperlink>
    </w:p>
    <w:p>
      <w:pPr>
        <w:pStyle w:val="BodyText"/>
      </w:pPr>
      <w:hyperlink r:id="rId23">
        <w:r>
          <w:rPr>
            <w:rStyle w:val="Hyperlink"/>
          </w:rPr>
          <w:t xml:space="preserve">[3]</w:t>
        </w:r>
      </w:hyperlink>
      <w:r>
        <w:t xml:space="preserve"> </w:t>
      </w:r>
      <w:r>
        <w:t xml:space="preserve">Toward Quantitative Phase-field Modeling of Dendritic Electrodeposition</w:t>
      </w:r>
    </w:p>
    <w:p>
      <w:pPr>
        <w:pStyle w:val="BodyText"/>
      </w:pPr>
      <w:hyperlink r:id="rId23">
        <w:r>
          <w:rPr>
            <w:rStyle w:val="Hyperlink"/>
          </w:rPr>
          <w:t xml:space="preserve">https://arxiv.org/abs/1411.6615</w:t>
        </w:r>
      </w:hyperlink>
    </w:p>
    <w:p>
      <w:pPr>
        <w:pStyle w:val="BodyText"/>
      </w:pPr>
      <w:hyperlink r:id="rId25">
        <w:r>
          <w:rPr>
            <w:rStyle w:val="Hyperlink"/>
          </w:rPr>
          <w:t xml:space="preserve">[4]</w:t>
        </w:r>
      </w:hyperlink>
      <w:r>
        <w:t xml:space="preserve"> </w:t>
      </w:r>
      <w:hyperlink r:id="rId25">
        <w:r>
          <w:rPr>
            <w:rStyle w:val="Hyperlink"/>
          </w:rPr>
          <w:t xml:space="preserve">[5]</w:t>
        </w:r>
      </w:hyperlink>
      <w:r>
        <w:t xml:space="preserve"> </w:t>
      </w:r>
      <w:r>
        <w:t xml:space="preserve">[cond-mat/0112218] Tip Splittings and Phase Transitions in the Dielectric Breakdown Model: Mapping to the DLA Model</w:t>
      </w:r>
    </w:p>
    <w:p>
      <w:pPr>
        <w:pStyle w:val="BodyText"/>
      </w:pPr>
      <w:hyperlink r:id="rId25">
        <w:r>
          <w:rPr>
            <w:rStyle w:val="Hyperlink"/>
          </w:rPr>
          <w:t xml:space="preserve">https://arxiv.org/abs/cond-mat/0112218</w:t>
        </w:r>
      </w:hyperlink>
    </w:p>
    <w:p>
      <w:pPr>
        <w:pStyle w:val="BodyText"/>
      </w:pPr>
      <w:hyperlink r:id="rId28">
        <w:r>
          <w:rPr>
            <w:rStyle w:val="Hyperlink"/>
          </w:rPr>
          <w:t xml:space="preserve">[6]</w:t>
        </w:r>
      </w:hyperlink>
      <w:r>
        <w:t xml:space="preserve"> </w:t>
      </w:r>
      <w:r>
        <w:t xml:space="preserve">Governed Capability Evolution for Embodied Agents: Safe Upgrade, Compatibility Checking, and Runtime Rollback for Embodied Capability Modules</w:t>
      </w:r>
    </w:p>
    <w:p>
      <w:pPr>
        <w:pStyle w:val="BodyText"/>
      </w:pPr>
      <w:hyperlink r:id="rId28">
        <w:r>
          <w:rPr>
            <w:rStyle w:val="Hyperlink"/>
          </w:rPr>
          <w:t xml:space="preserve">https://arxiv.org/abs/2604.08059?utm_source=chatgpt.com</w:t>
        </w:r>
      </w:hyperlink>
    </w:p>
    <w:p>
      <w:pPr>
        <w:pStyle w:val="BodyText"/>
      </w:pPr>
      <w:hyperlink r:id="rId32">
        <w:r>
          <w:rPr>
            <w:rStyle w:val="Hyperlink"/>
          </w:rPr>
          <w:t xml:space="preserve">[7]</w:t>
        </w:r>
      </w:hyperlink>
      <w:r>
        <w:t xml:space="preserve"> </w:t>
      </w:r>
      <w:hyperlink r:id="rId32">
        <w:r>
          <w:rPr>
            <w:rStyle w:val="Hyperlink"/>
          </w:rPr>
          <w:t xml:space="preserve">[8]</w:t>
        </w:r>
      </w:hyperlink>
      <w:r>
        <w:t xml:space="preserve"> </w:t>
      </w:r>
      <w:hyperlink r:id="rId32">
        <w:r>
          <w:rPr>
            <w:rStyle w:val="Hyperlink"/>
          </w:rPr>
          <w:t xml:space="preserve">[9]</w:t>
        </w:r>
      </w:hyperlink>
      <w:r>
        <w:t xml:space="preserve"> </w:t>
      </w:r>
      <w:r>
        <w:t xml:space="preserve">Crossover between re-nucleation and dendritic growth in electrodeposition without supporting electrolyte</w:t>
      </w:r>
    </w:p>
    <w:p>
      <w:pPr>
        <w:pStyle w:val="BodyText"/>
      </w:pPr>
      <w:hyperlink r:id="rId32">
        <w:r>
          <w:rPr>
            <w:rStyle w:val="Hyperlink"/>
          </w:rPr>
          <w:t xml:space="preserve">https://arxiv.org/abs/2011.13281?utm_source=chatgpt.com</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rxiv.org/abs/1411.6615" TargetMode="External" /><Relationship Type="http://schemas.openxmlformats.org/officeDocument/2006/relationships/hyperlink" Id="rId22" Target="https://arxiv.org/abs/1507.01040" TargetMode="External" /><Relationship Type="http://schemas.openxmlformats.org/officeDocument/2006/relationships/hyperlink" Id="rId32" Target="https://arxiv.org/abs/2011.13281?utm_source=chatgpt.com" TargetMode="External" /><Relationship Type="http://schemas.openxmlformats.org/officeDocument/2006/relationships/hyperlink" Id="rId28" Target="https://arxiv.org/abs/2604.08059?utm_source=chatgpt.com" TargetMode="External" /><Relationship Type="http://schemas.openxmlformats.org/officeDocument/2006/relationships/hyperlink" Id="rId25" Target="https://arxiv.org/abs/cond-mat/0112218" TargetMode="External" /></Relationships>
</file>

<file path=word/_rels/footnotes.xml.rels><?xml version="1.0" encoding="UTF-8"?><Relationships xmlns="http://schemas.openxmlformats.org/package/2006/relationships"><Relationship Type="http://schemas.openxmlformats.org/officeDocument/2006/relationships/hyperlink" Id="rId23" Target="https://arxiv.org/abs/1411.6615" TargetMode="External" /><Relationship Type="http://schemas.openxmlformats.org/officeDocument/2006/relationships/hyperlink" Id="rId22" Target="https://arxiv.org/abs/1507.01040" TargetMode="External" /><Relationship Type="http://schemas.openxmlformats.org/officeDocument/2006/relationships/hyperlink" Id="rId32" Target="https://arxiv.org/abs/2011.13281?utm_source=chatgpt.com" TargetMode="External" /><Relationship Type="http://schemas.openxmlformats.org/officeDocument/2006/relationships/hyperlink" Id="rId28" Target="https://arxiv.org/abs/2604.08059?utm_source=chatgpt.com" TargetMode="External" /><Relationship Type="http://schemas.openxmlformats.org/officeDocument/2006/relationships/hyperlink" Id="rId25" Target="https://arxiv.org/abs/cond-mat/01122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2026-06-13T19:13:18Z</dcterms:created>
  <dcterms:modified xsi:type="dcterms:W3CDTF">2026-06-13T19:13:18Z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