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4f9a398cf4a6bf71288fa3ed03ec31e2f46fc8f"/>
    <w:p>
      <w:pPr>
        <w:pStyle w:val="Heading1"/>
      </w:pPr>
      <w:r>
        <w:t xml:space="preserve">CNTM Physical Realization Phase Zero Engineering Plan</w:t>
      </w:r>
    </w:p>
    <w:p>
      <w:pPr>
        <w:pStyle w:val="FirstParagraph"/>
      </w:pPr>
      <w:r>
        <w:t xml:space="preserve">Using the Synaptient kernel surfaced in-session as the internal grounding document, this plan keeps four boundaries fixed from the start: CNTM remains a</w:t>
      </w:r>
      <w:r>
        <w:t xml:space="preserve"> </w:t>
      </w:r>
      <w:r>
        <w:rPr>
          <w:b/>
          <w:bCs/>
        </w:rPr>
        <w:t xml:space="preserve">software morphology simulator</w:t>
      </w:r>
      <w:r>
        <w:t xml:space="preserve">, Phase Zero is a</w:t>
      </w:r>
      <w:r>
        <w:t xml:space="preserve"> </w:t>
      </w:r>
      <w:r>
        <w:rPr>
          <w:b/>
          <w:bCs/>
        </w:rPr>
        <w:t xml:space="preserve">surrogate electrochemical control-and-readout platform</w:t>
      </w:r>
      <w:r>
        <w:t xml:space="preserve">,</w:t>
      </w:r>
      <w:r>
        <w:t xml:space="preserve"> </w:t>
      </w:r>
      <w:r>
        <w:rPr>
          <w:b/>
          <w:bCs/>
        </w:rPr>
        <w:t xml:space="preserve">HOLD</w:t>
      </w:r>
      <w:r>
        <w:t xml:space="preserve"> </w:t>
      </w:r>
      <w:r>
        <w:t xml:space="preserve">remains a first-class outcome instead of being smoothed away, and the work must stay</w:t>
      </w:r>
      <w:r>
        <w:t xml:space="preserve"> </w:t>
      </w:r>
      <w:r>
        <w:rPr>
          <w:b/>
          <w:bCs/>
        </w:rPr>
        <w:t xml:space="preserve">artifact-first</w:t>
      </w:r>
      <w:r>
        <w:t xml:space="preserve"> </w:t>
      </w:r>
      <w:r>
        <w:t xml:space="preserve">with no consciousness, CNT-production, or memory-device overclaims. fileciteturn0file0</w:t>
      </w:r>
    </w:p>
    <w:p>
      <w:pPr>
        <w:pStyle w:val="BodyText"/>
      </w:pPr>
      <w:r>
        <w:t xml:space="preserve">The lowest-risk, highest-signal first physical test is still a</w:t>
      </w:r>
      <w:r>
        <w:t xml:space="preserve"> </w:t>
      </w:r>
      <w:r>
        <w:rPr>
          <w:b/>
          <w:bCs/>
        </w:rPr>
        <w:t xml:space="preserve">transparent, low-voltage, quasi-two-dimensional electrodeposition cartridge</w:t>
      </w:r>
      <w:r>
        <w:t xml:space="preserve">, but the engineering target should now be more precise: not “grow something branchy,” but</w:t>
      </w:r>
      <w:r>
        <w:t xml:space="preserve"> </w:t>
      </w:r>
      <w:r>
        <w:rPr>
          <w:b/>
          <w:bCs/>
        </w:rPr>
        <w:t xml:space="preserve">close a falsifiable write–read–compare loop</w:t>
      </w:r>
      <w:r>
        <w:t xml:space="preserve"> </w:t>
      </w:r>
      <w:r>
        <w:t xml:space="preserve">in which software specifies a target morphology family and conductance band, an apparatus executes a bounded activation schedule, the run is imaged and electrically measured, a graph-plus-electrical signature is extracted, and the next run changes only through versioned evidence. Copper electrodeposition is the best first surrogate for apparatus commissioning and graph/electrical calibration, while conducting-polymer dendrites are the stronger second surrogate once the loop is stable because pulse frequency, duty cycle, voltage offset, concentration, and stochastic transport have already been shown to alter dendrite architecture and impedance in physically measurable ways.</w:t>
      </w:r>
      <w:r>
        <w:t xml:space="preserve"> </w:t>
      </w:r>
      <w:hyperlink r:id="rId21">
        <w:r>
          <w:rPr>
            <w:rStyle w:val="Hyperlink"/>
          </w:rPr>
          <w:t xml:space="preserve">[1]</w:t>
        </w:r>
      </w:hyperlink>
    </w:p>
    <w:bookmarkStart w:id="22" w:name="initial-determination"/>
    <w:p>
      <w:pPr>
        <w:pStyle w:val="Heading2"/>
      </w:pPr>
      <w:r>
        <w:t xml:space="preserve">Initial Determination</w:t>
      </w:r>
    </w:p>
    <w:p>
      <w:pPr>
        <w:pStyle w:val="FirstParagraph"/>
      </w:pPr>
      <w:r>
        <w:t xml:space="preserve">The current simulator already has several pieces a future twin will need: local growth operators, bounded state changes, morphology graphs, conductance readout, perturbation/replay logic, evidence freezing, and the broader basin vocabulary for HOLD, formation, and governed addressing. What it does</w:t>
      </w:r>
      <w:r>
        <w:t xml:space="preserve"> </w:t>
      </w:r>
      <w:r>
        <w:rPr>
          <w:b/>
          <w:bCs/>
        </w:rPr>
        <w:t xml:space="preserve">not</w:t>
      </w:r>
      <w:r>
        <w:t xml:space="preserve"> </w:t>
      </w:r>
      <w:r>
        <w:t xml:space="preserve">yet have is the central bridge layer that makes a physical twin credible: a calibrated mapping from each Natural Math operator to a real apparatus control variable, plus a calibrated mapping from each physical run back to a stable extracted state. That bridge is the real Phase Zero gap. fileciteturn0file0</w:t>
      </w:r>
    </w:p>
    <w:p>
      <w:pPr>
        <w:pStyle w:val="BodyText"/>
      </w:pPr>
      <w:r>
        <w:t xml:space="preserve">The physical surrogate therefore has to answer three questions before any CNT work is technically justified. First, can a software-defined excitation schedule reproducibly bias extension, branching, restriction, and bridge formation in a real material process? Second, can morphology and electrical state be read back with enough confidence to produce a stable “brush” rather than a one-off image? Third, can a twin predict held-out runs better than a trivial baseline such as straight-line growth or unguided DLA-style branching? Those are more important at this stage than density, endurance, or nanoscale realism. Studies on copper electrodeposition in Hele-Shaw cells, field-directed polymerization, and conducting-polymer dendrites all support the narrower claim that morphology depends measurably on current density, concentration, pulse structure, field distribution, and transport, which is exactly the controllability CNTM needs to validate first.</w:t>
      </w:r>
      <w:r>
        <w:t xml:space="preserve"> </w:t>
      </w:r>
      <w:hyperlink r:id="rId21">
        <w:r>
          <w:rPr>
            <w:rStyle w:val="Hyperlink"/>
          </w:rPr>
          <w:t xml:space="preserve">[2]</w:t>
        </w:r>
      </w:hyperlink>
    </w:p>
    <w:p>
      <w:pPr>
        <w:pStyle w:val="BodyText"/>
      </w:pPr>
      <w:r>
        <w:t xml:space="preserve">That is why the surrogate stack should be split deliberately into</w:t>
      </w:r>
      <w:r>
        <w:t xml:space="preserve"> </w:t>
      </w:r>
      <w:r>
        <w:rPr>
          <w:b/>
          <w:bCs/>
        </w:rPr>
        <w:t xml:space="preserve">Phase Zero A</w:t>
      </w:r>
      <w:r>
        <w:t xml:space="preserve"> </w:t>
      </w:r>
      <w:r>
        <w:t xml:space="preserve">and</w:t>
      </w:r>
      <w:r>
        <w:t xml:space="preserve"> </w:t>
      </w:r>
      <w:r>
        <w:rPr>
          <w:b/>
          <w:bCs/>
        </w:rPr>
        <w:t xml:space="preserve">Phase Zero B</w:t>
      </w:r>
      <w:r>
        <w:t xml:space="preserve">. Phase Zero A uses copper deposition in a transparent confined cell because it is accessible, visibly conductive, easy to image, and easy to probe electrically. Phase Zero B uses conducting-polymer dendrites because the literature already shows that pulse-programmable morphology and impedance can be co-tuned there, making it a better long-term analog for morphology-sensitive readout even though it is chemically less convenient. This staged approach reduces risk without falsely implying that copper dendrites are a CNT analog or that polymer dendrites are already a memory device.</w:t>
      </w:r>
      <w:r>
        <w:t xml:space="preserve"> </w:t>
      </w:r>
      <w:hyperlink r:id="rId21">
        <w:r>
          <w:rPr>
            <w:rStyle w:val="Hyperlink"/>
          </w:rPr>
          <w:t xml:space="preserve">[3]</w:t>
        </w:r>
      </w:hyperlink>
    </w:p>
    <w:bookmarkEnd w:id="22"/>
    <w:bookmarkStart w:id="31" w:name="surrogate-apparatus-specification"/>
    <w:p>
      <w:pPr>
        <w:pStyle w:val="Heading2"/>
      </w:pPr>
      <w:r>
        <w:t xml:space="preserve">Surrogate Apparatus Specification</w:t>
      </w:r>
    </w:p>
    <w:bookmarkStart w:id="24" w:name="cell-architecture"/>
    <w:p>
      <w:pPr>
        <w:pStyle w:val="Heading3"/>
      </w:pPr>
      <w:r>
        <w:t xml:space="preserve">Cell architecture</w:t>
      </w:r>
    </w:p>
    <w:p>
      <w:pPr>
        <w:pStyle w:val="FirstParagraph"/>
      </w:pPr>
      <w:r>
        <w:t xml:space="preserve">The recommended Stage A cartridge is a</w:t>
      </w:r>
      <w:r>
        <w:t xml:space="preserve"> </w:t>
      </w:r>
      <w:r>
        <w:rPr>
          <w:b/>
          <w:bCs/>
        </w:rPr>
        <w:t xml:space="preserve">Hele-Shaw-style transparent confinement cell</w:t>
      </w:r>
      <w:r>
        <w:t xml:space="preserve"> </w:t>
      </w:r>
      <w:r>
        <w:t xml:space="preserve">with a rectangular active field, a thin gasket-defined liquid gap, and replaceable electrode inserts. The engineering goal is to keep the growth front in an optically tractable, nearly planar volume while making electrode geometry and sealing reproducible from cartridge to cartridge. A narrow-gap cell is already the canonical geometry for controlled metallic branching experiments, and narrow transparent cells are also a practical basis for quantitative optical imaging because they suppress out-of-plane ambiguity and keep the active interface in a shallow focal depth.</w:t>
      </w:r>
      <w:r>
        <w:t xml:space="preserve"> </w:t>
      </w:r>
      <w:hyperlink r:id="rId21">
        <w:r>
          <w:rPr>
            <w:rStyle w:val="Hyperlink"/>
          </w:rPr>
          <w:t xml:space="preserve">[4]</w:t>
        </w:r>
      </w:hyperlink>
    </w:p>
    <w:p>
      <w:pPr>
        <w:pStyle w:val="BodyText"/>
      </w:pPr>
      <w:r>
        <w:t xml:space="preserve">I recommend three cartridge variants, each sharing the same external envelope so software and fixturing do not change between stages.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Cartridge mode</w:t>
            </w:r>
          </w:p>
        </w:tc>
        <w:tc>
          <w:tcPr/>
          <w:p>
            <w:pPr>
              <w:pStyle w:val="Compact"/>
            </w:pPr>
            <w:r>
              <w:t xml:space="preserve">Recommended use</w:t>
            </w:r>
          </w:p>
        </w:tc>
        <w:tc>
          <w:tcPr/>
          <w:p>
            <w:pPr>
              <w:pStyle w:val="Compact"/>
            </w:pPr>
            <w:r>
              <w:t xml:space="preserve">Recommended electrode layout</w:t>
            </w:r>
          </w:p>
        </w:tc>
        <w:tc>
          <w:tcPr/>
          <w:p>
            <w:pPr>
              <w:pStyle w:val="Compact"/>
            </w:pPr>
            <w:r>
              <w:t xml:space="preserve">Why it exists</w:t>
            </w:r>
          </w:p>
        </w:tc>
      </w:tr>
      <w:tr>
        <w:tc>
          <w:tcPr/>
          <w:p>
            <w:pPr>
              <w:pStyle w:val="Compact"/>
            </w:pPr>
            <w:r>
              <w:rPr>
                <w:b/>
                <w:bCs/>
              </w:rPr>
              <w:t xml:space="preserve">Calibration cartridge</w:t>
            </w:r>
          </w:p>
        </w:tc>
        <w:tc>
          <w:tcPr/>
          <w:p>
            <w:pPr>
              <w:pStyle w:val="Compact"/>
            </w:pPr>
            <w:r>
              <w:t xml:space="preserve">Commissioning of chemistry and safe operating window</w:t>
            </w:r>
          </w:p>
        </w:tc>
        <w:tc>
          <w:tcPr/>
          <w:p>
            <w:pPr>
              <w:pStyle w:val="Compact"/>
            </w:pPr>
            <w:r>
              <w:t xml:space="preserve">2 terminals across the long axis, with optional side-arm reference port</w:t>
            </w:r>
          </w:p>
        </w:tc>
        <w:tc>
          <w:tcPr/>
          <w:p>
            <w:pPr>
              <w:pStyle w:val="Compact"/>
            </w:pPr>
            <w:r>
              <w:t xml:space="preserve">Simplest geometry for monotonic extension, leak testing, and current/charge calibration</w:t>
            </w:r>
          </w:p>
        </w:tc>
      </w:tr>
      <w:tr>
        <w:tc>
          <w:tcPr/>
          <w:p>
            <w:pPr>
              <w:pStyle w:val="Compact"/>
            </w:pPr>
            <w:r>
              <w:rPr>
                <w:b/>
                <w:bCs/>
              </w:rPr>
              <w:t xml:space="preserve">Steering cartridge</w:t>
            </w:r>
          </w:p>
        </w:tc>
        <w:tc>
          <w:tcPr/>
          <w:p>
            <w:pPr>
              <w:pStyle w:val="Compact"/>
            </w:pPr>
            <w:r>
              <w:t xml:space="preserve">First branch-control experiments</w:t>
            </w:r>
          </w:p>
        </w:tc>
        <w:tc>
          <w:tcPr/>
          <w:p>
            <w:pPr>
              <w:pStyle w:val="Compact"/>
            </w:pPr>
            <w:r>
              <w:t xml:space="preserve">4 perimeter growth electrodes plus 2 guard electrodes</w:t>
            </w:r>
          </w:p>
        </w:tc>
        <w:tc>
          <w:tcPr/>
          <w:p>
            <w:pPr>
              <w:pStyle w:val="Compact"/>
            </w:pPr>
            <w:r>
              <w:t xml:space="preserve">Enough addressability to test BIFURCATE and RESTRICT without overcomplicating the electronics</w:t>
            </w:r>
          </w:p>
        </w:tc>
      </w:tr>
      <w:tr>
        <w:tc>
          <w:tcPr/>
          <w:p>
            <w:pPr>
              <w:pStyle w:val="Compact"/>
            </w:pPr>
            <w:r>
              <w:rPr>
                <w:b/>
                <w:bCs/>
              </w:rPr>
              <w:t xml:space="preserve">Addressable cartridge</w:t>
            </w:r>
          </w:p>
        </w:tc>
        <w:tc>
          <w:tcPr/>
          <w:p>
            <w:pPr>
              <w:pStyle w:val="Compact"/>
            </w:pPr>
            <w:r>
              <w:t xml:space="preserve">Later Phase Zero replay and association-field work</w:t>
            </w:r>
          </w:p>
        </w:tc>
        <w:tc>
          <w:tcPr/>
          <w:p>
            <w:pPr>
              <w:pStyle w:val="Compact"/>
            </w:pPr>
            <w:r>
              <w:t xml:space="preserve">6–8 independently selectable perimeter electrodes</w:t>
            </w:r>
          </w:p>
        </w:tc>
        <w:tc>
          <w:tcPr/>
          <w:p>
            <w:pPr>
              <w:pStyle w:val="Compact"/>
            </w:pPr>
            <w:r>
              <w:t xml:space="preserve">Lets the adapter steer local field geometry and create richer morphology families</w:t>
            </w:r>
          </w:p>
        </w:tc>
      </w:tr>
    </w:tbl>
    <w:p>
      <w:pPr>
        <w:pStyle w:val="BodyText"/>
      </w:pPr>
      <w:r>
        <w:t xml:space="preserve">The physical cartridge itself should use an</w:t>
      </w:r>
      <w:r>
        <w:t xml:space="preserve"> </w:t>
      </w:r>
      <w:r>
        <w:rPr>
          <w:b/>
          <w:bCs/>
        </w:rPr>
        <w:t xml:space="preserve">optical window material</w:t>
      </w:r>
      <w:r>
        <w:t xml:space="preserve"> </w:t>
      </w:r>
      <w:r>
        <w:t xml:space="preserve">that stays flat and chemically stable in aqueous electrolytes. Borosilicate is the safest default. The spacer should be a chemically resistant gasket film or machined polymer insert, and the cell should be compression-clamped rather than permanently bonded during early work so the gap can be tuned, cleaned, and inspected. For the first configuration, I recommend a centimeter-scale field of view and a sub-millimeter gap, with the very first build biased toward the low end of that gap range to simplify optical segmentation and reduce convection. Those exact dimensions are design recommendations rather than literature constants, but they follow directly from the way confined branching experiments and optical Hele-Shaw measurements are carried out.</w:t>
      </w:r>
      <w:r>
        <w:t xml:space="preserve"> </w:t>
      </w:r>
      <w:hyperlink r:id="rId21">
        <w:r>
          <w:rPr>
            <w:rStyle w:val="Hyperlink"/>
          </w:rPr>
          <w:t xml:space="preserve">[4]</w:t>
        </w:r>
      </w:hyperlink>
    </w:p>
    <w:p>
      <w:pPr>
        <w:pStyle w:val="BodyText"/>
      </w:pPr>
      <w:r>
        <w:t xml:space="preserve">A useful refinement is to</w:t>
      </w:r>
      <w:r>
        <w:t xml:space="preserve"> </w:t>
      </w:r>
      <w:r>
        <w:rPr>
          <w:b/>
          <w:bCs/>
        </w:rPr>
        <w:t xml:space="preserve">separate the imaging electrodes from the metal reservoir/counter function</w:t>
      </w:r>
      <w:r>
        <w:t xml:space="preserve">. In the simplest copper cartridge, two copper electrodes can both serve as active surfaces. In the more mature steering cartridge, however, the visible perimeter electrodes should ideally be inert or plated current collectors, while a remote copper sacrificial counter electrode sits in a side reservoir connected by a narrow fluid channel. That prevents local anode dissolution from contaminating the morphology field the system is trying to analyze. This is an engineering recommendation, but it follows the broader electrochemical principle that morphology, current trace, and local field should be disentangled wherever possible.</w:t>
      </w:r>
      <w:r>
        <w:t xml:space="preserve"> </w:t>
      </w:r>
      <w:hyperlink r:id="rId23">
        <w:r>
          <w:rPr>
            <w:rStyle w:val="Hyperlink"/>
          </w:rPr>
          <w:t xml:space="preserve">[5]</w:t>
        </w:r>
      </w:hyperlink>
    </w:p>
    <w:bookmarkEnd w:id="24"/>
    <w:bookmarkStart w:id="27" w:name="instrumentation-stack"/>
    <w:p>
      <w:pPr>
        <w:pStyle w:val="Heading3"/>
      </w:pPr>
      <w:r>
        <w:t xml:space="preserve">Instrumentation stack</w:t>
      </w:r>
    </w:p>
    <w:p>
      <w:pPr>
        <w:pStyle w:val="FirstParagraph"/>
      </w:pPr>
      <w:r>
        <w:t xml:space="preserve">The minimum instrument stack should be specified by</w:t>
      </w:r>
      <w:r>
        <w:t xml:space="preserve"> </w:t>
      </w:r>
      <w:r>
        <w:rPr>
          <w:b/>
          <w:bCs/>
        </w:rPr>
        <w:t xml:space="preserve">capability</w:t>
      </w:r>
      <w:r>
        <w:t xml:space="preserve">, not by brand. The growth controller needs one programmable source/measure channel in Stage A and a switched or multi-channel source/measure arrangement in later stages. It must support constant-current and constant-voltage pulses, current compliance, voltage compliance, timestamped logging, and software control. A separate low-amplitude read mode is strongly preferred so morphology can be probed without materially changing it. This is not optional, because both metallic and polymer systems show that morphology co-evolves with the electrical trace; current is not just a power variable, it is one of the main observables.</w:t>
      </w:r>
      <w:r>
        <w:t xml:space="preserve"> </w:t>
      </w:r>
      <w:hyperlink r:id="rId23">
        <w:r>
          <w:rPr>
            <w:rStyle w:val="Hyperlink"/>
          </w:rPr>
          <w:t xml:space="preserve">[6]</w:t>
        </w:r>
      </w:hyperlink>
    </w:p>
    <w:p>
      <w:pPr>
        <w:pStyle w:val="BodyText"/>
      </w:pPr>
      <w:r>
        <w:t xml:space="preserve">The optical stack should include a rigid overhead camera, diffuse backlighting, a fixed-scale field of view, and at least one physical calibration target visible in-frame or in the cartridge border. Time-lapse image processing was central in the conducting-polymer dendrite work that mapped stimulation parameters to morphology, and similar optical quantification is one of the key reasons to use a narrow transparent cell instead of an opaque or fully three-dimensional setup. The first system does not need high-speed video; it needs</w:t>
      </w:r>
      <w:r>
        <w:t xml:space="preserve"> </w:t>
      </w:r>
      <w:r>
        <w:rPr>
          <w:b/>
          <w:bCs/>
        </w:rPr>
        <w:t xml:space="preserve">stable geometry, repeatable lighting, and deterministic timing</w:t>
      </w:r>
      <w:r>
        <w:t xml:space="preserve">.</w:t>
      </w:r>
      <w:r>
        <w:t xml:space="preserve"> </w:t>
      </w:r>
      <w:hyperlink r:id="rId25">
        <w:r>
          <w:rPr>
            <w:rStyle w:val="Hyperlink"/>
          </w:rPr>
          <w:t xml:space="preserve">[7]</w:t>
        </w:r>
      </w:hyperlink>
    </w:p>
    <w:p>
      <w:pPr>
        <w:pStyle w:val="BodyText"/>
      </w:pPr>
      <w:r>
        <w:t xml:space="preserve">The minimum logged channels should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Minimum requirement</w:t>
            </w:r>
          </w:p>
        </w:tc>
        <w:tc>
          <w:tcPr/>
          <w:p>
            <w:pPr>
              <w:pStyle w:val="Compact"/>
            </w:pPr>
            <w:r>
              <w:t xml:space="preserve">Reason</w:t>
            </w:r>
          </w:p>
        </w:tc>
      </w:tr>
      <w:tr>
        <w:tc>
          <w:tcPr/>
          <w:p>
            <w:pPr>
              <w:pStyle w:val="Compact"/>
            </w:pPr>
            <w:r>
              <w:t xml:space="preserve">Commanded voltage/current</w:t>
            </w:r>
          </w:p>
        </w:tc>
        <w:tc>
          <w:tcPr/>
          <w:p>
            <w:pPr>
              <w:pStyle w:val="Compact"/>
            </w:pPr>
            <w:r>
              <w:t xml:space="preserve">Full timestamped trace</w:t>
            </w:r>
          </w:p>
        </w:tc>
        <w:tc>
          <w:tcPr/>
          <w:p>
            <w:pPr>
              <w:pStyle w:val="Compact"/>
            </w:pPr>
            <w:r>
              <w:t xml:space="preserve">Needed to reconstruct intent and execution</w:t>
            </w:r>
          </w:p>
        </w:tc>
      </w:tr>
      <w:tr>
        <w:tc>
          <w:tcPr/>
          <w:p>
            <w:pPr>
              <w:pStyle w:val="Compact"/>
            </w:pPr>
            <w:r>
              <w:t xml:space="preserve">Measured voltage/current</w:t>
            </w:r>
          </w:p>
        </w:tc>
        <w:tc>
          <w:tcPr/>
          <w:p>
            <w:pPr>
              <w:pStyle w:val="Compact"/>
            </w:pPr>
            <w:r>
              <w:t xml:space="preserve">Full timestamped trace</w:t>
            </w:r>
          </w:p>
        </w:tc>
        <w:tc>
          <w:tcPr/>
          <w:p>
            <w:pPr>
              <w:pStyle w:val="Compact"/>
            </w:pPr>
            <w:r>
              <w:t xml:space="preserve">Needed to infer actual deposition regime and anomalies</w:t>
            </w:r>
          </w:p>
        </w:tc>
      </w:tr>
      <w:tr>
        <w:tc>
          <w:tcPr/>
          <w:p>
            <w:pPr>
              <w:pStyle w:val="Compact"/>
            </w:pPr>
            <w:r>
              <w:t xml:space="preserve">Accumulated charge</w:t>
            </w:r>
          </w:p>
        </w:tc>
        <w:tc>
          <w:tcPr/>
          <w:p>
            <w:pPr>
              <w:pStyle w:val="Compact"/>
            </w:pPr>
            <w:r>
              <w:t xml:space="preserve">Derived and stored</w:t>
            </w:r>
          </w:p>
        </w:tc>
        <w:tc>
          <w:tcPr/>
          <w:p>
            <w:pPr>
              <w:pStyle w:val="Compact"/>
            </w:pPr>
            <w:r>
              <w:t xml:space="preserve">Strongest simple proxy for deposited material budget</w:t>
            </w:r>
          </w:p>
        </w:tc>
      </w:tr>
      <w:tr>
        <w:tc>
          <w:tcPr/>
          <w:p>
            <w:pPr>
              <w:pStyle w:val="Compact"/>
            </w:pPr>
            <w:r>
              <w:t xml:space="preserve">Image frames</w:t>
            </w:r>
          </w:p>
        </w:tc>
        <w:tc>
          <w:tcPr/>
          <w:p>
            <w:pPr>
              <w:pStyle w:val="Compact"/>
            </w:pPr>
            <w:r>
              <w:t xml:space="preserve">Synchronized time-lapse</w:t>
            </w:r>
          </w:p>
        </w:tc>
        <w:tc>
          <w:tcPr/>
          <w:p>
            <w:pPr>
              <w:pStyle w:val="Compact"/>
            </w:pPr>
            <w:r>
              <w:t xml:space="preserve">Required for morphology extraction and replay review</w:t>
            </w:r>
          </w:p>
        </w:tc>
      </w:tr>
      <w:tr>
        <w:tc>
          <w:tcPr/>
          <w:p>
            <w:pPr>
              <w:pStyle w:val="Compact"/>
            </w:pPr>
            <w:r>
              <w:t xml:space="preserve">Temperature</w:t>
            </w:r>
          </w:p>
        </w:tc>
        <w:tc>
          <w:tcPr/>
          <w:p>
            <w:pPr>
              <w:pStyle w:val="Compact"/>
            </w:pPr>
            <w:r>
              <w:t xml:space="preserve">Logged near cell</w:t>
            </w:r>
          </w:p>
        </w:tc>
        <w:tc>
          <w:tcPr/>
          <w:p>
            <w:pPr>
              <w:pStyle w:val="Compact"/>
            </w:pPr>
            <w:r>
              <w:t xml:space="preserve">Growth and transport are temperature-sensitive</w:t>
            </w:r>
          </w:p>
        </w:tc>
      </w:tr>
      <w:tr>
        <w:tc>
          <w:tcPr/>
          <w:p>
            <w:pPr>
              <w:pStyle w:val="Compact"/>
            </w:pPr>
            <w:r>
              <w:t xml:space="preserve">Cartridge, chemistry, software IDs</w:t>
            </w:r>
          </w:p>
        </w:tc>
        <w:tc>
          <w:tcPr/>
          <w:p>
            <w:pPr>
              <w:pStyle w:val="Compact"/>
            </w:pPr>
            <w:r>
              <w:t xml:space="preserve">Immutable manifest entries</w:t>
            </w:r>
          </w:p>
        </w:tc>
        <w:tc>
          <w:tcPr/>
          <w:p>
            <w:pPr>
              <w:pStyle w:val="Compact"/>
            </w:pPr>
            <w:r>
              <w:t xml:space="preserve">Required for provenance and later held-out validation</w:t>
            </w:r>
          </w:p>
        </w:tc>
      </w:tr>
    </w:tbl>
    <w:p>
      <w:pPr>
        <w:pStyle w:val="BodyText"/>
      </w:pPr>
      <w:r>
        <w:t xml:space="preserve">By Stage B, the stack should add</w:t>
      </w:r>
      <w:r>
        <w:t xml:space="preserve"> </w:t>
      </w:r>
      <w:r>
        <w:rPr>
          <w:b/>
          <w:bCs/>
        </w:rPr>
        <w:t xml:space="preserve">four-wire resistance measurement</w:t>
      </w:r>
      <w:r>
        <w:t xml:space="preserve"> </w:t>
      </w:r>
      <w:r>
        <w:t xml:space="preserve">for bridged states, because two-terminal values can be distorted by lead and contact resistance. Four-point methods are used precisely to eliminate those parasitic contributions, and recent device work continues to show how badly two-probe measurements can mislead when contact terms are large. By Stage C, the platform should also add</w:t>
      </w:r>
      <w:r>
        <w:t xml:space="preserve"> </w:t>
      </w:r>
      <w:r>
        <w:rPr>
          <w:b/>
          <w:bCs/>
        </w:rPr>
        <w:t xml:space="preserve">EIS or small-signal frequency sweeps</w:t>
      </w:r>
      <w:r>
        <w:t xml:space="preserve">, because conducting-polymer dendrite work has shown that morphology is reflected not only in DC resistance but in relaxation spectra and compact circuit parameters.</w:t>
      </w:r>
      <w:r>
        <w:t xml:space="preserve"> </w:t>
      </w:r>
      <w:hyperlink r:id="rId26">
        <w:r>
          <w:rPr>
            <w:rStyle w:val="Hyperlink"/>
          </w:rPr>
          <w:t xml:space="preserve">[8]</w:t>
        </w:r>
      </w:hyperlink>
    </w:p>
    <w:bookmarkEnd w:id="27"/>
    <w:bookmarkStart w:id="30" w:name="safety-and-containment"/>
    <w:p>
      <w:pPr>
        <w:pStyle w:val="Heading3"/>
      </w:pPr>
      <w:r>
        <w:t xml:space="preserve">Safety and containment</w:t>
      </w:r>
    </w:p>
    <w:p>
      <w:pPr>
        <w:pStyle w:val="FirstParagraph"/>
      </w:pPr>
      <w:r>
        <w:t xml:space="preserve">The apparatus should be designed so that</w:t>
      </w:r>
      <w:r>
        <w:t xml:space="preserve"> </w:t>
      </w:r>
      <w:r>
        <w:rPr>
          <w:b/>
          <w:bCs/>
        </w:rPr>
        <w:t xml:space="preserve">the default unsafe states are physically unavailable</w:t>
      </w:r>
      <w:r>
        <w:t xml:space="preserve">. OSHA’s electrical guidance is clear that electricity presents risks of shock, electrocution, fire, and explosion, and that deenergizing, guarding, insulation, grounding, and safe work practices are the core control methods. OSHA’s electrical work-practice rule also states that exposed live parts should be deenergized before work on or near them, while noting that parts below 50 V to ground need not be deenergized if they do not create increased exposure to electrical burns or arc hazards. For Phase Zero, that argues strongly for a hard ceiling in the low-voltage regime, current compliance, a physical disconnect, shrouded contacts, and no energized exposed metal in the operator’s reach envelope.</w:t>
      </w:r>
      <w:r>
        <w:t xml:space="preserve"> </w:t>
      </w:r>
      <w:hyperlink r:id="rId28">
        <w:r>
          <w:rPr>
            <w:rStyle w:val="Hyperlink"/>
          </w:rPr>
          <w:t xml:space="preserve">[9]</w:t>
        </w:r>
      </w:hyperlink>
    </w:p>
    <w:p>
      <w:pPr>
        <w:pStyle w:val="BodyText"/>
      </w:pPr>
      <w:r>
        <w:t xml:space="preserve">Chemical containment is equally important. EPA’s hazardous-waste guidance states that improperly managed hazardous waste poses a serious threat to health and the environment, that generators must determine whether their waste is hazardous, and that management obligations run “cradle to grave,” with state requirements sometimes stricter than federal ones. In practice, that means electrolyte, rinse solutions, wipes, and contaminated consumables should all be managed as labeled waste streams under local rules rather than treated as ordinary sink waste. The Phase Zero SOP should therefore include secondary containment, a spill tray, labeled waste bottles, eyewash access, glove and eye protection, and a run checklist that explicitly ends with deenergize–verify–waste-segregate.</w:t>
      </w:r>
      <w:r>
        <w:t xml:space="preserve"> </w:t>
      </w:r>
      <w:hyperlink r:id="rId29">
        <w:r>
          <w:rPr>
            <w:rStyle w:val="Hyperlink"/>
          </w:rPr>
          <w:t xml:space="preserve">[10]</w:t>
        </w:r>
      </w:hyperlink>
    </w:p>
    <w:p>
      <w:pPr>
        <w:pStyle w:val="BodyText"/>
      </w:pPr>
      <w:r>
        <w:t xml:space="preserve">This configuration remains accessible because the expensive part is not nanofabrication; it is disciplined instrumentation. Glass windows, laser-cut gaskets, copper foils or patterned inserts, backlights, machine-vision cameras, and software-driven low-voltage source/measure channels are all obtainable with ordinary lab infrastructure. The accessibility comes from staying in the centimeter-to-submillimeter regime, not from dumbing the experiment down.</w:t>
      </w:r>
      <w:r>
        <w:t xml:space="preserve"> </w:t>
      </w:r>
      <w:hyperlink r:id="rId21">
        <w:r>
          <w:rPr>
            <w:rStyle w:val="Hyperlink"/>
          </w:rPr>
          <w:t xml:space="preserve">[4]</w:t>
        </w:r>
      </w:hyperlink>
    </w:p>
    <w:bookmarkEnd w:id="30"/>
    <w:bookmarkEnd w:id="31"/>
    <w:bookmarkStart w:id="37" w:name="physical-adapter-translation-layer"/>
    <w:p>
      <w:pPr>
        <w:pStyle w:val="Heading2"/>
      </w:pPr>
      <w:r>
        <w:t xml:space="preserve">Physical Adapter Translation Layer</w:t>
      </w:r>
    </w:p>
    <w:p>
      <w:pPr>
        <w:pStyle w:val="FirstParagraph"/>
      </w:pPr>
      <w:r>
        <w:t xml:space="preserve">The physical adapter should be a</w:t>
      </w:r>
      <w:r>
        <w:t xml:space="preserve"> </w:t>
      </w:r>
      <w:r>
        <w:rPr>
          <w:b/>
          <w:bCs/>
        </w:rPr>
        <w:t xml:space="preserve">strict middleware layer</w:t>
      </w:r>
      <w:r>
        <w:t xml:space="preserve"> </w:t>
      </w:r>
      <w:r>
        <w:t xml:space="preserve">between Natural Math and apparatus control. The core grammar should continue to speak in substrate-agnostic operators such as EXTEND, BIFURCATE, SENSE, MAINTAIN, RESTRICT, PRUNE, and HOLD. The adapter then binds those operators to a</w:t>
      </w:r>
      <w:r>
        <w:t xml:space="preserve"> </w:t>
      </w:r>
      <w:r>
        <w:rPr>
          <w:b/>
          <w:bCs/>
        </w:rPr>
        <w:t xml:space="preserve">chemistry profile</w:t>
      </w:r>
      <w:r>
        <w:t xml:space="preserve">,</w:t>
      </w:r>
      <w:r>
        <w:t xml:space="preserve"> </w:t>
      </w:r>
      <w:r>
        <w:rPr>
          <w:b/>
          <w:bCs/>
        </w:rPr>
        <w:t xml:space="preserve">geometry profile</w:t>
      </w:r>
      <w:r>
        <w:t xml:space="preserve">, and</w:t>
      </w:r>
      <w:r>
        <w:t xml:space="preserve"> </w:t>
      </w:r>
      <w:r>
        <w:rPr>
          <w:b/>
          <w:bCs/>
        </w:rPr>
        <w:t xml:space="preserve">calibration surface</w:t>
      </w:r>
      <w:r>
        <w:t xml:space="preserve"> </w:t>
      </w:r>
      <w:r>
        <w:t xml:space="preserve">that are all versioned artifacts. This is the cleanest way to honor the kernel’s no-flattening rule: Natural Math remains the planner, while chemistry-specific actuation lives in the adapter. fileciteturn0file0</w:t>
      </w:r>
    </w:p>
    <w:bookmarkStart w:id="33" w:name="operator-mapping"/>
    <w:p>
      <w:pPr>
        <w:pStyle w:val="Heading3"/>
      </w:pPr>
      <w:r>
        <w:t xml:space="preserve">Operator mapping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Natural Math operator</w:t>
            </w:r>
          </w:p>
        </w:tc>
        <w:tc>
          <w:tcPr/>
          <w:p>
            <w:pPr>
              <w:pStyle w:val="Compact"/>
            </w:pPr>
            <w:r>
              <w:t xml:space="preserve">Physical mechanism in the surrogate</w:t>
            </w:r>
          </w:p>
        </w:tc>
        <w:tc>
          <w:tcPr/>
          <w:p>
            <w:pPr>
              <w:pStyle w:val="Compact"/>
            </w:pPr>
            <w:r>
              <w:t xml:space="preserve">Control parameters exposed to software</w:t>
            </w:r>
          </w:p>
        </w:tc>
        <w:tc>
          <w:tcPr/>
          <w:p>
            <w:pPr>
              <w:pStyle w:val="Compact"/>
            </w:pPr>
            <w:r>
              <w:t xml:space="preserve">Translation rule</w:t>
            </w:r>
          </w:p>
        </w:tc>
        <w:tc>
          <w:tcPr/>
          <w:p>
            <w:pPr>
              <w:pStyle w:val="Compact"/>
            </w:pPr>
            <w:r>
              <w:t xml:space="preserve">Intended observables</w:t>
            </w:r>
          </w:p>
        </w:tc>
      </w:tr>
      <w:tr>
        <w:tc>
          <w:tcPr/>
          <w:p>
            <w:pPr>
              <w:pStyle w:val="Compact"/>
            </w:pPr>
            <w:r>
              <w:rPr>
                <w:b/>
                <w:bCs/>
              </w:rPr>
              <w:t xml:space="preserve">EXTEND</w:t>
            </w:r>
          </w:p>
        </w:tc>
        <w:tc>
          <w:tcPr/>
          <w:p>
            <w:pPr>
              <w:pStyle w:val="Compact"/>
            </w:pPr>
            <w:r>
              <w:t xml:space="preserve">Continue deposition from active growth tips</w:t>
            </w:r>
          </w:p>
        </w:tc>
        <w:tc>
          <w:tcPr/>
          <w:p>
            <w:pPr>
              <w:pStyle w:val="Compact"/>
            </w:pPr>
            <w:r>
              <w:t xml:space="preserve">mode, active electrode pair, current setpoint or voltage setpoint, pulse width, pulse count, rest interval, compliance</w:t>
            </w:r>
          </w:p>
        </w:tc>
        <w:tc>
          <w:tcPr/>
          <w:p>
            <w:pPr>
              <w:pStyle w:val="Compact"/>
            </w:pPr>
            <w:r>
              <w:t xml:space="preserve">Inverse-calibrate from desired tip advance or charge budget using empirical surfaces such as</w:t>
            </w:r>
            <w:r>
              <w:t xml:space="preserve"> </w:t>
            </w:r>
            <w:r>
              <w:rPr>
                <w:rStyle w:val="VerbatimChar"/>
              </w:rPr>
              <w:t xml:space="preserve">v_tip = f(j, c_bulk, gap, temp, prior_charge)</w:t>
            </w:r>
          </w:p>
        </w:tc>
        <w:tc>
          <w:tcPr/>
          <w:p>
            <w:pPr>
              <w:pStyle w:val="Compact"/>
            </w:pPr>
            <w:r>
              <w:t xml:space="preserve">front displacement, occupied area increase, net charge, change in resistance</w:t>
            </w:r>
          </w:p>
        </w:tc>
      </w:tr>
      <w:tr>
        <w:tc>
          <w:tcPr/>
          <w:p>
            <w:pPr>
              <w:pStyle w:val="Compact"/>
            </w:pPr>
            <w:r>
              <w:rPr>
                <w:b/>
                <w:bCs/>
              </w:rPr>
              <w:t xml:space="preserve">BIFURCATE</w:t>
            </w:r>
          </w:p>
        </w:tc>
        <w:tc>
          <w:tcPr/>
          <w:p>
            <w:pPr>
              <w:pStyle w:val="Compact"/>
            </w:pPr>
            <w:r>
              <w:t xml:space="preserve">Increase probability of persistent tip splitting or off-axis continuation</w:t>
            </w:r>
          </w:p>
        </w:tc>
        <w:tc>
          <w:tcPr/>
          <w:p>
            <w:pPr>
              <w:pStyle w:val="Compact"/>
            </w:pPr>
            <w:r>
              <w:t xml:space="preserve">side-electrode activation, transverse field ratio, pulse frequency, duty cycle, voltage offset, phase relationship</w:t>
            </w:r>
          </w:p>
        </w:tc>
        <w:tc>
          <w:tcPr/>
          <w:p>
            <w:pPr>
              <w:pStyle w:val="Compact"/>
            </w:pPr>
            <w:r>
              <w:t xml:space="preserve">Choose waveform/electrode pattern from</w:t>
            </w:r>
            <w:r>
              <w:t xml:space="preserve"> </w:t>
            </w:r>
            <w:r>
              <w:rPr>
                <w:rStyle w:val="VerbatimChar"/>
              </w:rPr>
              <w:t xml:space="preserve">P_branch = g(E_parallel, E_transverse, duty, freq, c_bulk, tip_state)</w:t>
            </w:r>
          </w:p>
        </w:tc>
        <w:tc>
          <w:tcPr/>
          <w:p>
            <w:pPr>
              <w:pStyle w:val="Compact"/>
            </w:pPr>
            <w:r>
              <w:t xml:space="preserve">tip count, branch-angle distribution, asymmetry index, post-pulse current partition</w:t>
            </w:r>
          </w:p>
        </w:tc>
      </w:tr>
      <w:tr>
        <w:tc>
          <w:tcPr/>
          <w:p>
            <w:pPr>
              <w:pStyle w:val="Compact"/>
            </w:pPr>
            <w:r>
              <w:rPr>
                <w:b/>
                <w:bCs/>
              </w:rPr>
              <w:t xml:space="preserve">SENSE</w:t>
            </w:r>
          </w:p>
        </w:tc>
        <w:tc>
          <w:tcPr/>
          <w:p>
            <w:pPr>
              <w:pStyle w:val="Compact"/>
            </w:pPr>
            <w:r>
              <w:t xml:space="preserve">Read current state without materially writing it</w:t>
            </w:r>
          </w:p>
        </w:tc>
        <w:tc>
          <w:tcPr/>
          <w:p>
            <w:pPr>
              <w:pStyle w:val="Compact"/>
            </w:pPr>
            <w:r>
              <w:t xml:space="preserve">open-circuit dwell, low-amplitude probe pulse, EIS sweep, image frame capture</w:t>
            </w:r>
          </w:p>
        </w:tc>
        <w:tc>
          <w:tcPr/>
          <w:p>
            <w:pPr>
              <w:pStyle w:val="Compact"/>
            </w:pPr>
            <w:r>
              <w:t xml:space="preserve">Use low-write readout schedule selected by state class (pre-bridge, post-bridge, stored)</w:t>
            </w:r>
          </w:p>
        </w:tc>
        <w:tc>
          <w:tcPr/>
          <w:p>
            <w:pPr>
              <w:pStyle w:val="Compact"/>
            </w:pPr>
            <w:r>
              <w:t xml:space="preserve">leakage current, DC resistance, impedance features, image confidence</w:t>
            </w:r>
          </w:p>
        </w:tc>
      </w:tr>
      <w:tr>
        <w:tc>
          <w:tcPr/>
          <w:p>
            <w:pPr>
              <w:pStyle w:val="Compact"/>
            </w:pPr>
            <w:r>
              <w:rPr>
                <w:b/>
                <w:bCs/>
              </w:rPr>
              <w:t xml:space="preserve">MAINTAIN</w:t>
            </w:r>
          </w:p>
        </w:tc>
        <w:tc>
          <w:tcPr/>
          <w:p>
            <w:pPr>
              <w:pStyle w:val="Compact"/>
            </w:pPr>
            <w:r>
              <w:t xml:space="preserve">Preserve useful structure without extending it significantly</w:t>
            </w:r>
          </w:p>
        </w:tc>
        <w:tc>
          <w:tcPr/>
          <w:p>
            <w:pPr>
              <w:pStyle w:val="Compact"/>
            </w:pPr>
            <w:r>
              <w:t xml:space="preserve">zero-bias hold, sub-threshold bias, environment hold time, post-growth rinse/dry/encapsulation step</w:t>
            </w:r>
          </w:p>
        </w:tc>
        <w:tc>
          <w:tcPr/>
          <w:p>
            <w:pPr>
              <w:pStyle w:val="Compact"/>
            </w:pPr>
            <w:r>
              <w:t xml:space="preserve">Apply stabilization profile from chemistry profile, not from planner</w:t>
            </w:r>
          </w:p>
        </w:tc>
        <w:tc>
          <w:tcPr/>
          <w:p>
            <w:pPr>
              <w:pStyle w:val="Compact"/>
            </w:pPr>
            <w:r>
              <w:t xml:space="preserve">drift rate, resistance stability, morphology change during hold</w:t>
            </w:r>
          </w:p>
        </w:tc>
      </w:tr>
      <w:tr>
        <w:tc>
          <w:tcPr/>
          <w:p>
            <w:pPr>
              <w:pStyle w:val="Compact"/>
            </w:pPr>
            <w:r>
              <w:rPr>
                <w:b/>
                <w:bCs/>
              </w:rPr>
              <w:t xml:space="preserve">RESTRICT</w:t>
            </w:r>
          </w:p>
        </w:tc>
        <w:tc>
          <w:tcPr/>
          <w:p>
            <w:pPr>
              <w:pStyle w:val="Compact"/>
            </w:pPr>
            <w:r>
              <w:t xml:space="preserve">Reduce growth probability in a region</w:t>
            </w:r>
          </w:p>
        </w:tc>
        <w:tc>
          <w:tcPr/>
          <w:p>
            <w:pPr>
              <w:pStyle w:val="Compact"/>
            </w:pPr>
            <w:r>
              <w:t xml:space="preserve">guard electrode bias, field reorientation, masked region, surface-charge insert, geometry constraint</w:t>
            </w:r>
          </w:p>
        </w:tc>
        <w:tc>
          <w:tcPr/>
          <w:p>
            <w:pPr>
              <w:pStyle w:val="Compact"/>
            </w:pPr>
            <w:r>
              <w:t xml:space="preserve">Compute field penalties over forbidden regions and solve for admissible electrode schedule</w:t>
            </w:r>
          </w:p>
        </w:tc>
        <w:tc>
          <w:tcPr/>
          <w:p>
            <w:pPr>
              <w:pStyle w:val="Compact"/>
            </w:pPr>
            <w:r>
              <w:t xml:space="preserve">avoidance of masked region, reduced occupancy, path deflection</w:t>
            </w:r>
          </w:p>
        </w:tc>
      </w:tr>
      <w:tr>
        <w:tc>
          <w:tcPr/>
          <w:p>
            <w:pPr>
              <w:pStyle w:val="Compact"/>
            </w:pPr>
            <w:r>
              <w:rPr>
                <w:b/>
                <w:bCs/>
              </w:rPr>
              <w:t xml:space="preserve">PRUNE</w:t>
            </w:r>
          </w:p>
        </w:tc>
        <w:tc>
          <w:tcPr/>
          <w:p>
            <w:pPr>
              <w:pStyle w:val="Compact"/>
            </w:pPr>
            <w:r>
              <w:t xml:space="preserve">Remove or deactivate low-value branch</w:t>
            </w:r>
          </w:p>
        </w:tc>
        <w:tc>
          <w:tcPr/>
          <w:p>
            <w:pPr>
              <w:pStyle w:val="Compact"/>
            </w:pPr>
            <w:r>
              <w:t xml:space="preserve">reverse-bias pulse, charge cap, branch-isolation switch, logical deactivation flag</w:t>
            </w:r>
          </w:p>
        </w:tc>
        <w:tc>
          <w:tcPr/>
          <w:p>
            <w:pPr>
              <w:pStyle w:val="Compact"/>
            </w:pPr>
            <w:r>
              <w:t xml:space="preserve">Only enable physical prune if stripping calibration exists; otherwise use logical prune only</w:t>
            </w:r>
          </w:p>
        </w:tc>
        <w:tc>
          <w:tcPr/>
          <w:p>
            <w:pPr>
              <w:pStyle w:val="Compact"/>
            </w:pPr>
            <w:r>
              <w:t xml:space="preserve">conductivity drop, local morphology loss, scar signature, collateral damage</w:t>
            </w:r>
          </w:p>
        </w:tc>
      </w:tr>
      <w:tr>
        <w:tc>
          <w:tcPr/>
          <w:p>
            <w:pPr>
              <w:pStyle w:val="Compact"/>
            </w:pPr>
            <w:r>
              <w:rPr>
                <w:b/>
                <w:bCs/>
              </w:rPr>
              <w:t xml:space="preserve">HOLD</w:t>
            </w:r>
          </w:p>
        </w:tc>
        <w:tc>
          <w:tcPr/>
          <w:p>
            <w:pPr>
              <w:pStyle w:val="Compact"/>
            </w:pPr>
            <w:r>
              <w:t xml:space="preserve">Quarantine unresolved run state</w:t>
            </w:r>
          </w:p>
        </w:tc>
        <w:tc>
          <w:tcPr/>
          <w:p>
            <w:pPr>
              <w:pStyle w:val="Compact"/>
            </w:pPr>
            <w:r>
              <w:t xml:space="preserve">deenergize, preserve logs, snapshot images, lock extraction version</w:t>
            </w:r>
          </w:p>
        </w:tc>
        <w:tc>
          <w:tcPr/>
          <w:p>
            <w:pPr>
              <w:pStyle w:val="Compact"/>
            </w:pPr>
            <w:r>
              <w:t xml:space="preserve">No adaptation beyond evidence capture</w:t>
            </w:r>
          </w:p>
        </w:tc>
        <w:tc>
          <w:tcPr/>
          <w:p>
            <w:pPr>
              <w:pStyle w:val="Compact"/>
            </w:pPr>
            <w:r>
              <w:t xml:space="preserve">complete frozen artifact bundle, unresolved classification</w:t>
            </w:r>
          </w:p>
        </w:tc>
      </w:tr>
    </w:tbl>
    <w:p>
      <w:pPr>
        <w:pStyle w:val="BodyText"/>
      </w:pPr>
      <w:r>
        <w:t xml:space="preserve">The key idea is that the adapter never asks the planner for a raw voltage. Instead, it asks for a</w:t>
      </w:r>
      <w:r>
        <w:t xml:space="preserve"> </w:t>
      </w:r>
      <w:r>
        <w:rPr>
          <w:b/>
          <w:bCs/>
        </w:rPr>
        <w:t xml:space="preserve">target physical effect</w:t>
      </w:r>
      <w:r>
        <w:t xml:space="preserve">. An EXTEND request from the simulator should look like “advance the leading front of branch family A by a bounded amount while keeping bridge probability below threshold,” not “apply 2.8 V for 1.4 seconds.” The adapter then inverts the currently valid calibration surface to choose a safe schedule. That is the only way to preserve generality while staying falsifiable.</w:t>
      </w:r>
      <w:r>
        <w:t xml:space="preserve"> </w:t>
      </w:r>
      <w:hyperlink r:id="rId32">
        <w:r>
          <w:rPr>
            <w:rStyle w:val="Hyperlink"/>
          </w:rPr>
          <w:t xml:space="preserve">[11]</w:t>
        </w:r>
      </w:hyperlink>
    </w:p>
    <w:bookmarkEnd w:id="33"/>
    <w:bookmarkStart w:id="36" w:name="how-translation-should-actually-work"/>
    <w:p>
      <w:pPr>
        <w:pStyle w:val="Heading3"/>
      </w:pPr>
      <w:r>
        <w:t xml:space="preserve">How translation should actually work</w:t>
      </w:r>
    </w:p>
    <w:p>
      <w:pPr>
        <w:pStyle w:val="FirstParagraph"/>
      </w:pPr>
      <w:r>
        <w:t xml:space="preserve">For each chemistry and cartridge family, the adapter needs a small set of experimentally learned response models. In the copper system, the first required surfaces are:</w:t>
      </w:r>
    </w:p>
    <w:p>
      <w:pPr>
        <w:pStyle w:val="Compact"/>
        <w:numPr>
          <w:ilvl w:val="0"/>
          <w:numId w:val="1001"/>
        </w:numPr>
      </w:pPr>
      <w:r>
        <w:t xml:space="preserve">a</w:t>
      </w:r>
      <w:r>
        <w:t xml:space="preserve"> </w:t>
      </w:r>
      <w:r>
        <w:rPr>
          <w:b/>
          <w:bCs/>
        </w:rPr>
        <w:t xml:space="preserve">growth-rate surface</w:t>
      </w:r>
      <w:r>
        <w:t xml:space="preserve">, mapping current density, pulse duration, electrolyte concentration, gap, and temperature to front displacement or area change;</w:t>
      </w:r>
    </w:p>
    <w:p>
      <w:pPr>
        <w:pStyle w:val="Compact"/>
        <w:numPr>
          <w:ilvl w:val="0"/>
          <w:numId w:val="1001"/>
        </w:numPr>
      </w:pPr>
      <w:r>
        <w:t xml:space="preserve">a</w:t>
      </w:r>
      <w:r>
        <w:t xml:space="preserve"> </w:t>
      </w:r>
      <w:r>
        <w:rPr>
          <w:b/>
          <w:bCs/>
        </w:rPr>
        <w:t xml:space="preserve">branching surface</w:t>
      </w:r>
      <w:r>
        <w:t xml:space="preserve">, mapping local field asymmetry, pulse structure, and local tip state to branch probability and branch-angle statistics;</w:t>
      </w:r>
    </w:p>
    <w:p>
      <w:pPr>
        <w:pStyle w:val="Compact"/>
        <w:numPr>
          <w:ilvl w:val="0"/>
          <w:numId w:val="1001"/>
        </w:numPr>
      </w:pPr>
      <w:r>
        <w:t xml:space="preserve">a</w:t>
      </w:r>
      <w:r>
        <w:t xml:space="preserve"> </w:t>
      </w:r>
      <w:r>
        <w:rPr>
          <w:b/>
          <w:bCs/>
        </w:rPr>
        <w:t xml:space="preserve">bridging surface</w:t>
      </w:r>
      <w:r>
        <w:t xml:space="preserve">, mapping prior deposit geometry and incoming charge to the probability of creating a conductive bridge;</w:t>
      </w:r>
    </w:p>
    <w:p>
      <w:pPr>
        <w:pStyle w:val="Compact"/>
        <w:numPr>
          <w:ilvl w:val="0"/>
          <w:numId w:val="1001"/>
        </w:numPr>
      </w:pPr>
      <w:r>
        <w:t xml:space="preserve">a</w:t>
      </w:r>
      <w:r>
        <w:t xml:space="preserve"> </w:t>
      </w:r>
      <w:r>
        <w:rPr>
          <w:b/>
          <w:bCs/>
        </w:rPr>
        <w:t xml:space="preserve">stripping surface</w:t>
      </w:r>
      <w:r>
        <w:t xml:space="preserve">, mapping reverse-pulse parameters to local removal, collateral loss, and resistance change.</w:t>
      </w:r>
    </w:p>
    <w:p>
      <w:pPr>
        <w:pStyle w:val="FirstParagraph"/>
      </w:pPr>
      <w:r>
        <w:t xml:space="preserve">The conducting-polymer literature is especially useful here because it already shows that higher AC frequency tends toward more linear wire-like growth, lower frequency toward denser and more fractal dendrites, voltage offset toward asymmetry, and concentration/random scattering toward different architectures through their influence on Laplace and diffusion fields. Copper studies contribute the complementary point that branch morphology transitions with current density and concentration in confined electrochemical growth. Together, those results justify the adapter design pattern: learn inverse control surfaces instead of pretending the planner already knows the chemistry.</w:t>
      </w:r>
      <w:r>
        <w:t xml:space="preserve"> </w:t>
      </w:r>
      <w:hyperlink r:id="rId25">
        <w:r>
          <w:rPr>
            <w:rStyle w:val="Hyperlink"/>
          </w:rPr>
          <w:t xml:space="preserve">[12]</w:t>
        </w:r>
      </w:hyperlink>
    </w:p>
    <w:p>
      <w:pPr>
        <w:pStyle w:val="BodyText"/>
      </w:pPr>
      <w:r>
        <w:t xml:space="preserve">RESTRICT is the operator that most benefits from a staged design. In the open copper cell, RESTRICT can initially mean only</w:t>
      </w:r>
      <w:r>
        <w:t xml:space="preserve"> </w:t>
      </w:r>
      <w:r>
        <w:rPr>
          <w:b/>
          <w:bCs/>
        </w:rPr>
        <w:t xml:space="preserve">field shaping and geometry shaping</w:t>
      </w:r>
      <w:r>
        <w:t xml:space="preserve">: turning off lateral electrodes, imposing off-limits regions in the geometry, or biasing guard electrodes to reduce flux into a region. Later, more explicit electrokinetic steering can be explored with charged membranes or surface treatments, because work on charged porous media has shown that surface charge can dramatically alter dendritic growth and even suppress instability under high-rate electrodeposition. That does not mean the first platform should use porous media, but it does mean RESTRICT has a real physical future and is not just a software metaphor.</w:t>
      </w:r>
      <w:r>
        <w:t xml:space="preserve"> </w:t>
      </w:r>
      <w:hyperlink r:id="rId34">
        <w:r>
          <w:rPr>
            <w:rStyle w:val="Hyperlink"/>
          </w:rPr>
          <w:t xml:space="preserve">[13]</w:t>
        </w:r>
      </w:hyperlink>
    </w:p>
    <w:p>
      <w:pPr>
        <w:pStyle w:val="BodyText"/>
      </w:pPr>
      <w:r>
        <w:t xml:space="preserve">PRUNE should be treated conservatively. Reversible metal plating and stripping is clearly feasible in some electrodeposition systems, including recent reversible metal-deposition devices, and aqueous reversible metal-anode work shows that plating/stripping quality can be improved by crystallographic control. Even so,</w:t>
      </w:r>
      <w:r>
        <w:t xml:space="preserve"> </w:t>
      </w:r>
      <w:r>
        <w:rPr>
          <w:b/>
          <w:bCs/>
        </w:rPr>
        <w:t xml:space="preserve">branch-selective pruning</w:t>
      </w:r>
      <w:r>
        <w:t xml:space="preserve"> </w:t>
      </w:r>
      <w:r>
        <w:t xml:space="preserve">in an open dendritic field is a much harder problem than bulk stripping. Phase Zero should therefore allow three prune classes: logical prune only, bulk physical strip, and branch-targeted strip. Only the first two should be assumed before data exist.</w:t>
      </w:r>
      <w:r>
        <w:t xml:space="preserve"> </w:t>
      </w:r>
      <w:hyperlink r:id="rId35">
        <w:r>
          <w:rPr>
            <w:rStyle w:val="Hyperlink"/>
          </w:rPr>
          <w:t xml:space="preserve">[14]</w:t>
        </w:r>
      </w:hyperlink>
    </w:p>
    <w:p>
      <w:pPr>
        <w:pStyle w:val="BodyText"/>
      </w:pPr>
      <w:r>
        <w:t xml:space="preserve">A minimal adapter artifact should look like this:</w:t>
      </w:r>
    </w:p>
    <w:p>
      <w:pPr>
        <w:pStyle w:val="SourceCode"/>
      </w:pPr>
      <w:r>
        <w:rPr>
          <w:rStyle w:val="VerbatimChar"/>
        </w:rPr>
        <w:t xml:space="preserve">{</w:t>
      </w:r>
      <w:r>
        <w:br/>
      </w:r>
      <w:r>
        <w:rPr>
          <w:rStyle w:val="VerbatimChar"/>
        </w:rPr>
        <w:t xml:space="preserve">  "adapter_id": "cntm_adapter_cu_v1",</w:t>
      </w:r>
      <w:r>
        <w:br/>
      </w:r>
      <w:r>
        <w:rPr>
          <w:rStyle w:val="VerbatimChar"/>
        </w:rPr>
        <w:t xml:space="preserve">  "chemistry_profile_id": "cu_aq_profile_v1",</w:t>
      </w:r>
      <w:r>
        <w:br/>
      </w:r>
      <w:r>
        <w:rPr>
          <w:rStyle w:val="VerbatimChar"/>
        </w:rPr>
        <w:t xml:space="preserve">  "geometry_profile_id": "cell_4e_200um_v1",</w:t>
      </w:r>
      <w:r>
        <w:br/>
      </w:r>
      <w:r>
        <w:rPr>
          <w:rStyle w:val="VerbatimChar"/>
        </w:rPr>
        <w:t xml:space="preserve">  "operator_bindings": {</w:t>
      </w:r>
      <w:r>
        <w:br/>
      </w:r>
      <w:r>
        <w:rPr>
          <w:rStyle w:val="VerbatimChar"/>
        </w:rPr>
        <w:t xml:space="preserve">    "EXTEND": {</w:t>
      </w:r>
      <w:r>
        <w:br/>
      </w:r>
      <w:r>
        <w:rPr>
          <w:rStyle w:val="VerbatimChar"/>
        </w:rPr>
        <w:t xml:space="preserve">      "control_modes": ["galvanostatic_pulse", "potentiostatic_pulse"],</w:t>
      </w:r>
      <w:r>
        <w:br/>
      </w:r>
      <w:r>
        <w:rPr>
          <w:rStyle w:val="VerbatimChar"/>
        </w:rPr>
        <w:t xml:space="preserve">      "inverse_model": "extend_surface_v3",</w:t>
      </w:r>
      <w:r>
        <w:br/>
      </w:r>
      <w:r>
        <w:rPr>
          <w:rStyle w:val="VerbatimChar"/>
        </w:rPr>
        <w:t xml:space="preserve">      "safety_limits": "safety_limits_cu_v1"</w:t>
      </w:r>
      <w:r>
        <w:br/>
      </w:r>
      <w:r>
        <w:rPr>
          <w:rStyle w:val="VerbatimChar"/>
        </w:rPr>
        <w:t xml:space="preserve">    },</w:t>
      </w:r>
      <w:r>
        <w:br/>
      </w:r>
      <w:r>
        <w:rPr>
          <w:rStyle w:val="VerbatimChar"/>
        </w:rPr>
        <w:t xml:space="preserve">    "BIFURCATE": {</w:t>
      </w:r>
      <w:r>
        <w:br/>
      </w:r>
      <w:r>
        <w:rPr>
          <w:rStyle w:val="VerbatimChar"/>
        </w:rPr>
        <w:t xml:space="preserve">      "control_modes": ["multi_electrode_pulse_train"],</w:t>
      </w:r>
      <w:r>
        <w:br/>
      </w:r>
      <w:r>
        <w:rPr>
          <w:rStyle w:val="VerbatimChar"/>
        </w:rPr>
        <w:t xml:space="preserve">      "inverse_model": "branch_surface_v2"</w:t>
      </w:r>
      <w:r>
        <w:br/>
      </w:r>
      <w:r>
        <w:rPr>
          <w:rStyle w:val="VerbatimChar"/>
        </w:rPr>
        <w:t xml:space="preserve">    },</w:t>
      </w:r>
      <w:r>
        <w:br/>
      </w:r>
      <w:r>
        <w:rPr>
          <w:rStyle w:val="VerbatimChar"/>
        </w:rPr>
        <w:t xml:space="preserve">    "SENSE": {</w:t>
      </w:r>
      <w:r>
        <w:br/>
      </w:r>
      <w:r>
        <w:rPr>
          <w:rStyle w:val="VerbatimChar"/>
        </w:rPr>
        <w:t xml:space="preserve">      "control_modes": ["open_circuit", "low_amplitude_probe", "eis_small_signal"]</w:t>
      </w:r>
      <w:r>
        <w:br/>
      </w:r>
      <w:r>
        <w:rPr>
          <w:rStyle w:val="VerbatimChar"/>
        </w:rPr>
        <w:t xml:space="preserve">    },</w:t>
      </w:r>
      <w:r>
        <w:br/>
      </w:r>
      <w:r>
        <w:rPr>
          <w:rStyle w:val="VerbatimChar"/>
        </w:rPr>
        <w:t xml:space="preserve">    "PRUNE": {</w:t>
      </w:r>
      <w:r>
        <w:br/>
      </w:r>
      <w:r>
        <w:rPr>
          <w:rStyle w:val="VerbatimChar"/>
        </w:rPr>
        <w:t xml:space="preserve">      "allowed_modes": ["logical_only", "bulk_strip"],</w:t>
      </w:r>
      <w:r>
        <w:br/>
      </w:r>
      <w:r>
        <w:rPr>
          <w:rStyle w:val="VerbatimChar"/>
        </w:rPr>
        <w:t xml:space="preserve">      "enabled_by_evidence":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That structure is not cosmetic. It is what makes the work auditable.</w:t>
      </w:r>
    </w:p>
    <w:bookmarkEnd w:id="36"/>
    <w:bookmarkEnd w:id="37"/>
    <w:bookmarkStart w:id="42" w:name="digital-twin-requirements"/>
    <w:p>
      <w:pPr>
        <w:pStyle w:val="Heading2"/>
      </w:pPr>
      <w:r>
        <w:t xml:space="preserve">Digital Twin Requirements</w:t>
      </w:r>
    </w:p>
    <w:p>
      <w:pPr>
        <w:pStyle w:val="FirstParagraph"/>
      </w:pPr>
      <w:r>
        <w:t xml:space="preserve">A credible CNTM physical twin needs</w:t>
      </w:r>
      <w:r>
        <w:t xml:space="preserve"> </w:t>
      </w:r>
      <w:r>
        <w:rPr>
          <w:b/>
          <w:bCs/>
        </w:rPr>
        <w:t xml:space="preserve">three coupled modeling layers</w:t>
      </w:r>
      <w:r>
        <w:t xml:space="preserve">, not one. The current graph simulator should remain the</w:t>
      </w:r>
      <w:r>
        <w:t xml:space="preserve"> </w:t>
      </w:r>
      <w:r>
        <w:rPr>
          <w:b/>
          <w:bCs/>
        </w:rPr>
        <w:t xml:space="preserve">planner and symbolic morphology engine</w:t>
      </w:r>
      <w:r>
        <w:t xml:space="preserve">. Beneath it sits the</w:t>
      </w:r>
      <w:r>
        <w:t xml:space="preserve"> </w:t>
      </w:r>
      <w:r>
        <w:rPr>
          <w:b/>
          <w:bCs/>
        </w:rPr>
        <w:t xml:space="preserve">physical adapter</w:t>
      </w:r>
      <w:r>
        <w:t xml:space="preserve"> </w:t>
      </w:r>
      <w:r>
        <w:t xml:space="preserve">just described. Beneath that sits a</w:t>
      </w:r>
      <w:r>
        <w:t xml:space="preserve"> </w:t>
      </w:r>
      <w:r>
        <w:rPr>
          <w:b/>
          <w:bCs/>
        </w:rPr>
        <w:t xml:space="preserve">reduced-order field/transport/growth model</w:t>
      </w:r>
      <w:r>
        <w:t xml:space="preserve"> </w:t>
      </w:r>
      <w:r>
        <w:t xml:space="preserve">that is capable of making quantitative predictions about the real apparatus. Without that middle physics layer, the simulator can be evocative but not predictive. fileciteturn0file0</w:t>
      </w:r>
    </w:p>
    <w:bookmarkStart w:id="38" w:name="the-minimum-state-variables-for-the-twin"/>
    <w:p>
      <w:pPr>
        <w:pStyle w:val="Heading3"/>
      </w:pPr>
      <w:r>
        <w:t xml:space="preserve">The minimum state variables for the twin</w:t>
      </w:r>
    </w:p>
    <w:p>
      <w:pPr>
        <w:pStyle w:val="FirstParagraph"/>
      </w:pPr>
      <w:r>
        <w:t xml:space="preserve">The twin should explicitly track the following state fields over the actual cartridge geometry:</w:t>
      </w:r>
    </w:p>
    <w:p>
      <w:pPr>
        <w:pStyle w:val="Compact"/>
        <w:numPr>
          <w:ilvl w:val="0"/>
          <w:numId w:val="1002"/>
        </w:numPr>
      </w:pPr>
      <w:r>
        <w:t xml:space="preserve">electrode states and boundary conditions;</w:t>
      </w:r>
    </w:p>
    <w:p>
      <w:pPr>
        <w:pStyle w:val="Compact"/>
        <w:numPr>
          <w:ilvl w:val="0"/>
          <w:numId w:val="1002"/>
        </w:numPr>
      </w:pPr>
      <w:r>
        <w:t xml:space="preserve">gap-averaged electric potential in the fluid;</w:t>
      </w:r>
    </w:p>
    <w:p>
      <w:pPr>
        <w:pStyle w:val="Compact"/>
        <w:numPr>
          <w:ilvl w:val="0"/>
          <w:numId w:val="1002"/>
        </w:numPr>
      </w:pPr>
      <w:r>
        <w:t xml:space="preserve">ionic concentration or depletion field;</w:t>
      </w:r>
    </w:p>
    <w:p>
      <w:pPr>
        <w:pStyle w:val="Compact"/>
        <w:numPr>
          <w:ilvl w:val="0"/>
          <w:numId w:val="1002"/>
        </w:numPr>
      </w:pPr>
      <w:r>
        <w:t xml:space="preserve">deposit occupancy mask and active growth-front set;</w:t>
      </w:r>
    </w:p>
    <w:p>
      <w:pPr>
        <w:pStyle w:val="Compact"/>
        <w:numPr>
          <w:ilvl w:val="0"/>
          <w:numId w:val="1002"/>
        </w:numPr>
      </w:pPr>
      <w:r>
        <w:t xml:space="preserve">local conductivity map of the already formed structure;</w:t>
      </w:r>
    </w:p>
    <w:p>
      <w:pPr>
        <w:pStyle w:val="Compact"/>
        <w:numPr>
          <w:ilvl w:val="0"/>
          <w:numId w:val="1002"/>
        </w:numPr>
      </w:pPr>
      <w:r>
        <w:t xml:space="preserve">charge passed, elapsed time, and rest-state history;</w:t>
      </w:r>
    </w:p>
    <w:p>
      <w:pPr>
        <w:pStyle w:val="Compact"/>
        <w:numPr>
          <w:ilvl w:val="0"/>
          <w:numId w:val="1002"/>
        </w:numPr>
      </w:pPr>
      <w:r>
        <w:t xml:space="preserve">stochastic seed terms representing unresolved local nucleation noise.</w:t>
      </w:r>
    </w:p>
    <w:p>
      <w:pPr>
        <w:pStyle w:val="FirstParagraph"/>
      </w:pPr>
      <w:r>
        <w:t xml:space="preserve">That architecture is supported directly by the conducting-polymer modeling work, which ties morphology to time-varying potential maps, charged-particle motion, diffusion fields, and local attachment. It is also consistent with phase-field electrochemistry work showing that electric potential, concentration, interface kinetics, and transport have to be coupled if the model is going to reproduce experimentally relevant tip velocity, tip radius, and fractal characteristics.</w:t>
      </w:r>
      <w:r>
        <w:t xml:space="preserve"> </w:t>
      </w:r>
      <w:hyperlink r:id="rId32">
        <w:r>
          <w:rPr>
            <w:rStyle w:val="Hyperlink"/>
          </w:rPr>
          <w:t xml:space="preserve">[15]</w:t>
        </w:r>
      </w:hyperlink>
    </w:p>
    <w:bookmarkEnd w:id="38"/>
    <w:bookmarkStart w:id="40" w:name="recommended-modeling-stack"/>
    <w:p>
      <w:pPr>
        <w:pStyle w:val="Heading3"/>
      </w:pPr>
      <w:r>
        <w:t xml:space="preserve">Recommended modeling stack</w:t>
      </w:r>
    </w:p>
    <w:p>
      <w:pPr>
        <w:pStyle w:val="FirstParagraph"/>
      </w:pPr>
      <w:r>
        <w:t xml:space="preserve">The most practical Phase Zero twin is a</w:t>
      </w:r>
      <w:r>
        <w:t xml:space="preserve"> </w:t>
      </w:r>
      <w:r>
        <w:rPr>
          <w:b/>
          <w:bCs/>
        </w:rPr>
        <w:t xml:space="preserve">tiered model stack</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Twin tier</w:t>
            </w:r>
          </w:p>
        </w:tc>
        <w:tc>
          <w:tcPr/>
          <w:p>
            <w:pPr>
              <w:pStyle w:val="Compact"/>
            </w:pPr>
            <w:r>
              <w:t xml:space="preserve">Role</w:t>
            </w:r>
          </w:p>
        </w:tc>
        <w:tc>
          <w:tcPr/>
          <w:p>
            <w:pPr>
              <w:pStyle w:val="Compact"/>
            </w:pPr>
            <w:r>
              <w:t xml:space="preserve">When to use</w:t>
            </w:r>
          </w:p>
        </w:tc>
      </w:tr>
      <w:tr>
        <w:tc>
          <w:tcPr/>
          <w:p>
            <w:pPr>
              <w:pStyle w:val="Compact"/>
            </w:pPr>
            <w:r>
              <w:rPr>
                <w:b/>
                <w:bCs/>
              </w:rPr>
              <w:t xml:space="preserve">Empirical response surfaces</w:t>
            </w:r>
          </w:p>
        </w:tc>
        <w:tc>
          <w:tcPr/>
          <w:p>
            <w:pPr>
              <w:pStyle w:val="Compact"/>
            </w:pPr>
            <w:r>
              <w:t xml:space="preserve">Fast inverse control and online scheduling</w:t>
            </w:r>
          </w:p>
        </w:tc>
        <w:tc>
          <w:tcPr/>
          <w:p>
            <w:pPr>
              <w:pStyle w:val="Compact"/>
            </w:pPr>
            <w:r>
              <w:t xml:space="preserve">Every run</w:t>
            </w:r>
          </w:p>
        </w:tc>
      </w:tr>
      <w:tr>
        <w:tc>
          <w:tcPr/>
          <w:p>
            <w:pPr>
              <w:pStyle w:val="Compact"/>
            </w:pPr>
            <w:r>
              <w:rPr>
                <w:b/>
                <w:bCs/>
              </w:rPr>
              <w:t xml:space="preserve">Field-coupled stochastic lattice/front model</w:t>
            </w:r>
          </w:p>
        </w:tc>
        <w:tc>
          <w:tcPr/>
          <w:p>
            <w:pPr>
              <w:pStyle w:val="Compact"/>
            </w:pPr>
            <w:r>
              <w:t xml:space="preserve">Predict growth family, branch statistics, and bridge probability in actual cartridge geometry</w:t>
            </w:r>
          </w:p>
        </w:tc>
        <w:tc>
          <w:tcPr/>
          <w:p>
            <w:pPr>
              <w:pStyle w:val="Compact"/>
            </w:pPr>
            <w:r>
              <w:t xml:space="preserve">Standard predictive twin</w:t>
            </w:r>
          </w:p>
        </w:tc>
      </w:tr>
      <w:tr>
        <w:tc>
          <w:tcPr/>
          <w:p>
            <w:pPr>
              <w:pStyle w:val="Compact"/>
            </w:pPr>
            <w:r>
              <w:rPr>
                <w:b/>
                <w:bCs/>
              </w:rPr>
              <w:t xml:space="preserve">Phase-field spot checks</w:t>
            </w:r>
          </w:p>
        </w:tc>
        <w:tc>
          <w:tcPr/>
          <w:p>
            <w:pPr>
              <w:pStyle w:val="Compact"/>
            </w:pPr>
            <w:r>
              <w:t xml:space="preserve">Audit difficult regimes, validate mechanistic assumptions, and investigate failure cases</w:t>
            </w:r>
          </w:p>
        </w:tc>
        <w:tc>
          <w:tcPr/>
          <w:p>
            <w:pPr>
              <w:pStyle w:val="Compact"/>
            </w:pPr>
            <w:r>
              <w:t xml:space="preserve">Offline, selected experiments only</w:t>
            </w:r>
          </w:p>
        </w:tc>
      </w:tr>
    </w:tbl>
    <w:p>
      <w:pPr>
        <w:pStyle w:val="BodyText"/>
      </w:pPr>
      <w:r>
        <w:t xml:space="preserve">The empirical layer should be learned directly from calibration runs and should support inverse control for EXTEND and BIFURCATE. The field-coupled layer should solve a gap-averaged potential and transport problem, then advance the deposit front probabilistically using local overpotential, concentration, and field anisotropy. The phase-field layer is too heavy for online control, but it is the right tool for checking whether the reduced model is hiding a false mechanism. That is a useful split because the literature already shows that both reduced transport-and-field models and quantitative phase-field models can capture the key morphology transitions, but at very different computational costs.</w:t>
      </w:r>
      <w:r>
        <w:t xml:space="preserve"> </w:t>
      </w:r>
      <w:hyperlink r:id="rId32">
        <w:r>
          <w:rPr>
            <w:rStyle w:val="Hyperlink"/>
          </w:rPr>
          <w:t xml:space="preserve">[16]</w:t>
        </w:r>
      </w:hyperlink>
    </w:p>
    <w:p>
      <w:pPr>
        <w:pStyle w:val="BodyText"/>
      </w:pPr>
      <w:r>
        <w:t xml:space="preserve">A workable reduced model for the copper cartridge would therefore be:</w:t>
      </w:r>
    </w:p>
    <w:p>
      <w:pPr>
        <w:pStyle w:val="Compact"/>
        <w:numPr>
          <w:ilvl w:val="0"/>
          <w:numId w:val="1003"/>
        </w:numPr>
      </w:pPr>
      <w:r>
        <w:t xml:space="preserve">solve a 2D potential field over the actual electrode geometry and current deposit mask;</w:t>
      </w:r>
    </w:p>
    <w:p>
      <w:pPr>
        <w:pStyle w:val="Compact"/>
        <w:numPr>
          <w:ilvl w:val="0"/>
          <w:numId w:val="1003"/>
        </w:numPr>
      </w:pPr>
      <w:r>
        <w:t xml:space="preserve">update a gap-averaged concentration/depletion field under diffusion and migration;</w:t>
      </w:r>
    </w:p>
    <w:p>
      <w:pPr>
        <w:pStyle w:val="Compact"/>
        <w:numPr>
          <w:ilvl w:val="0"/>
          <w:numId w:val="1003"/>
        </w:numPr>
      </w:pPr>
      <w:r>
        <w:t xml:space="preserve">compute local deposition propensity at each active boundary voxel or graph tip;</w:t>
      </w:r>
    </w:p>
    <w:p>
      <w:pPr>
        <w:pStyle w:val="Compact"/>
        <w:numPr>
          <w:ilvl w:val="0"/>
          <w:numId w:val="1003"/>
        </w:numPr>
      </w:pPr>
      <w:r>
        <w:t xml:space="preserve">sample stochastic attachment and branch continuation;</w:t>
      </w:r>
    </w:p>
    <w:p>
      <w:pPr>
        <w:pStyle w:val="Compact"/>
        <w:numPr>
          <w:ilvl w:val="0"/>
          <w:numId w:val="1003"/>
        </w:numPr>
      </w:pPr>
      <w:r>
        <w:t xml:space="preserve">convert the resulting deposit mask into a graph;</w:t>
      </w:r>
    </w:p>
    <w:p>
      <w:pPr>
        <w:pStyle w:val="Compact"/>
        <w:numPr>
          <w:ilvl w:val="0"/>
          <w:numId w:val="1003"/>
        </w:numPr>
      </w:pPr>
      <w:r>
        <w:t xml:space="preserve">estimate effective conductance using fitted segment and junction parameters.</w:t>
      </w:r>
    </w:p>
    <w:p>
      <w:pPr>
        <w:pStyle w:val="FirstParagraph"/>
      </w:pPr>
      <w:r>
        <w:t xml:space="preserve">The twin becomes falsifiable only when it predicts quantities that can be wrong in measured ways. For Phase Zero, those should be</w:t>
      </w:r>
      <w:r>
        <w:t xml:space="preserve"> </w:t>
      </w:r>
      <w:r>
        <w:rPr>
          <w:b/>
          <w:bCs/>
        </w:rPr>
        <w:t xml:space="preserve">growth-front velocity</w:t>
      </w:r>
      <w:r>
        <w:t xml:space="preserve">,</w:t>
      </w:r>
      <w:r>
        <w:t xml:space="preserve"> </w:t>
      </w:r>
      <w:r>
        <w:rPr>
          <w:b/>
          <w:bCs/>
        </w:rPr>
        <w:t xml:space="preserve">branch-count distribution</w:t>
      </w:r>
      <w:r>
        <w:t xml:space="preserve">,</w:t>
      </w:r>
      <w:r>
        <w:t xml:space="preserve"> </w:t>
      </w:r>
      <w:r>
        <w:rPr>
          <w:b/>
          <w:bCs/>
        </w:rPr>
        <w:t xml:space="preserve">branch-angle statistics</w:t>
      </w:r>
      <w:r>
        <w:t xml:space="preserve">,</w:t>
      </w:r>
      <w:r>
        <w:t xml:space="preserve"> </w:t>
      </w:r>
      <w:r>
        <w:rPr>
          <w:b/>
          <w:bCs/>
        </w:rPr>
        <w:t xml:space="preserve">time-to-bridge</w:t>
      </w:r>
      <w:r>
        <w:t xml:space="preserve">,</w:t>
      </w:r>
      <w:r>
        <w:t xml:space="preserve"> </w:t>
      </w:r>
      <w:r>
        <w:rPr>
          <w:b/>
          <w:bCs/>
        </w:rPr>
        <w:t xml:space="preserve">effective terminal resistance</w:t>
      </w:r>
      <w:r>
        <w:t xml:space="preserve">, and eventually</w:t>
      </w:r>
      <w:r>
        <w:t xml:space="preserve"> </w:t>
      </w:r>
      <w:r>
        <w:rPr>
          <w:b/>
          <w:bCs/>
        </w:rPr>
        <w:t xml:space="preserve">compact EIS parameters</w:t>
      </w:r>
      <w:r>
        <w:t xml:space="preserve"> </w:t>
      </w:r>
      <w:r>
        <w:t xml:space="preserve">for the polymer platform. Cogswell’s work is especially important here because it demonstrates that phase-field electrochemistry can move beyond “it looks similar” and into quantitative agreement on tip velocity, radius, and fractal growth descriptors.</w:t>
      </w:r>
      <w:r>
        <w:t xml:space="preserve"> </w:t>
      </w:r>
      <w:hyperlink r:id="rId39">
        <w:r>
          <w:rPr>
            <w:rStyle w:val="Hyperlink"/>
          </w:rPr>
          <w:t xml:space="preserve">[17]</w:t>
        </w:r>
      </w:hyperlink>
    </w:p>
    <w:bookmarkEnd w:id="40"/>
    <w:bookmarkStart w:id="41" w:name="X32752af91a7b7f073608fc8f77dca2aeceeca63"/>
    <w:p>
      <w:pPr>
        <w:pStyle w:val="Heading3"/>
      </w:pPr>
      <w:r>
        <w:t xml:space="preserve">What counts as prediction rather than resemblance</w:t>
      </w:r>
    </w:p>
    <w:p>
      <w:pPr>
        <w:pStyle w:val="FirstParagraph"/>
      </w:pPr>
      <w:r>
        <w:t xml:space="preserve">The twin should not be considered predictive merely because the output “looks dendritic.” It should have to beat at least two declared baselines on held-out runs:</w:t>
      </w:r>
    </w:p>
    <w:p>
      <w:pPr>
        <w:pStyle w:val="Compact"/>
        <w:numPr>
          <w:ilvl w:val="0"/>
          <w:numId w:val="1004"/>
        </w:numPr>
      </w:pPr>
      <w:r>
        <w:t xml:space="preserve">a</w:t>
      </w:r>
      <w:r>
        <w:t xml:space="preserve"> </w:t>
      </w:r>
      <w:r>
        <w:rPr>
          <w:b/>
          <w:bCs/>
        </w:rPr>
        <w:t xml:space="preserve">nearest-electrode straight-growth baseline</w:t>
      </w:r>
      <w:r>
        <w:t xml:space="preserve">, which assumes the active front simply advances toward the strongest electrode;</w:t>
      </w:r>
    </w:p>
    <w:p>
      <w:pPr>
        <w:pStyle w:val="Compact"/>
        <w:numPr>
          <w:ilvl w:val="0"/>
          <w:numId w:val="1004"/>
        </w:numPr>
      </w:pPr>
      <w:r>
        <w:t xml:space="preserve">an</w:t>
      </w:r>
      <w:r>
        <w:t xml:space="preserve"> </w:t>
      </w:r>
      <w:r>
        <w:rPr>
          <w:b/>
          <w:bCs/>
        </w:rPr>
        <w:t xml:space="preserve">unguided stochastic branching baseline</w:t>
      </w:r>
      <w:r>
        <w:t xml:space="preserve">, which ignores actual field and transport updates.</w:t>
      </w:r>
    </w:p>
    <w:p>
      <w:pPr>
        <w:pStyle w:val="FirstParagraph"/>
      </w:pPr>
      <w:r>
        <w:t xml:space="preserve">A twin that cannot outperform those baselines on held-out branch count, bridge timing, and end-state resistance is not yet a digital twin; it is a visualization tool. That distinction matters because the kernel’s artifact-first posture explicitly rejects grand narrative without replayable evidence. fileciteturn0file0</w:t>
      </w:r>
    </w:p>
    <w:bookmarkEnd w:id="41"/>
    <w:bookmarkEnd w:id="42"/>
    <w:bookmarkStart w:id="49" w:name="reading-to-writing-evidence-loop"/>
    <w:p>
      <w:pPr>
        <w:pStyle w:val="Heading2"/>
      </w:pPr>
      <w:r>
        <w:t xml:space="preserve">Reading-to-Writing Evidence Loop</w:t>
      </w:r>
    </w:p>
    <w:bookmarkStart w:id="43" w:name="target-specification"/>
    <w:p>
      <w:pPr>
        <w:pStyle w:val="Heading3"/>
      </w:pPr>
      <w:r>
        <w:t xml:space="preserve">Target specification</w:t>
      </w:r>
    </w:p>
    <w:p>
      <w:pPr>
        <w:pStyle w:val="FirstParagraph"/>
      </w:pPr>
      <w:r>
        <w:t xml:space="preserve">Each intended write should be defined as a</w:t>
      </w:r>
      <w:r>
        <w:t xml:space="preserve"> </w:t>
      </w:r>
      <w:r>
        <w:rPr>
          <w:b/>
          <w:bCs/>
        </w:rPr>
        <w:t xml:space="preserve">morphology family plus an electrical band</w:t>
      </w:r>
      <w:r>
        <w:t xml:space="preserve">, not as a single exact pixel map. A practical target object should therefore include:</w:t>
      </w:r>
    </w:p>
    <w:p>
      <w:pPr>
        <w:pStyle w:val="Compact"/>
        <w:numPr>
          <w:ilvl w:val="0"/>
          <w:numId w:val="1005"/>
        </w:numPr>
      </w:pPr>
      <w:r>
        <w:t xml:space="preserve">allowed endpoint region or regions;</w:t>
      </w:r>
    </w:p>
    <w:p>
      <w:pPr>
        <w:pStyle w:val="Compact"/>
        <w:numPr>
          <w:ilvl w:val="0"/>
          <w:numId w:val="1005"/>
        </w:numPr>
      </w:pPr>
      <w:r>
        <w:t xml:space="preserve">required or forbidden connectivity between terminals;</w:t>
      </w:r>
    </w:p>
    <w:p>
      <w:pPr>
        <w:pStyle w:val="Compact"/>
        <w:numPr>
          <w:ilvl w:val="0"/>
          <w:numId w:val="1005"/>
        </w:numPr>
      </w:pPr>
      <w:r>
        <w:t xml:space="preserve">allowed branch-count range;</w:t>
      </w:r>
    </w:p>
    <w:p>
      <w:pPr>
        <w:pStyle w:val="Compact"/>
        <w:numPr>
          <w:ilvl w:val="0"/>
          <w:numId w:val="1005"/>
        </w:numPr>
      </w:pPr>
      <w:r>
        <w:t xml:space="preserve">allowed angle/asymmetry envelope;</w:t>
      </w:r>
    </w:p>
    <w:p>
      <w:pPr>
        <w:pStyle w:val="Compact"/>
        <w:numPr>
          <w:ilvl w:val="0"/>
          <w:numId w:val="1005"/>
        </w:numPr>
      </w:pPr>
      <w:r>
        <w:t xml:space="preserve">allowed occupied-area fraction;</w:t>
      </w:r>
    </w:p>
    <w:p>
      <w:pPr>
        <w:pStyle w:val="Compact"/>
        <w:numPr>
          <w:ilvl w:val="0"/>
          <w:numId w:val="1005"/>
        </w:numPr>
      </w:pPr>
      <w:r>
        <w:t xml:space="preserve">target resistance or impedance band;</w:t>
      </w:r>
    </w:p>
    <w:p>
      <w:pPr>
        <w:pStyle w:val="Compact"/>
        <w:numPr>
          <w:ilvl w:val="0"/>
          <w:numId w:val="1005"/>
        </w:numPr>
      </w:pPr>
      <w:r>
        <w:t xml:space="preserve">storage intent such as “temporary branch probe,” “stable bridge,” or “rewrite candidate.”</w:t>
      </w:r>
    </w:p>
    <w:p>
      <w:pPr>
        <w:pStyle w:val="FirstParagraph"/>
      </w:pPr>
      <w:r>
        <w:t xml:space="preserve">That target style is consistent with the state of the surrogate literature, because both copper and polymer systems are condition-sensitive and partly stochastic. The target should describe a governed family the platform can realistically reproduce, not an exact deterministic image that would turn every acceptable run into a false failure.</w:t>
      </w:r>
      <w:r>
        <w:t xml:space="preserve"> </w:t>
      </w:r>
      <w:hyperlink r:id="rId21">
        <w:r>
          <w:rPr>
            <w:rStyle w:val="Hyperlink"/>
          </w:rPr>
          <w:t xml:space="preserve">[18]</w:t>
        </w:r>
      </w:hyperlink>
    </w:p>
    <w:bookmarkEnd w:id="43"/>
    <w:bookmarkStart w:id="44" w:name="provenance-capture-and-hashing"/>
    <w:p>
      <w:pPr>
        <w:pStyle w:val="Heading3"/>
      </w:pPr>
      <w:r>
        <w:t xml:space="preserve">Provenance capture and hashing</w:t>
      </w:r>
    </w:p>
    <w:p>
      <w:pPr>
        <w:pStyle w:val="FirstParagraph"/>
      </w:pPr>
      <w:r>
        <w:t xml:space="preserve">Every run should generate a manifest before execution, and every manifest should be cryptographically chained to the data produced by the run. The kernel already emphasizes evidence freezing with hashes, and Phase Zero should adopt that directly. The run hash should cover the target definition, adapter version, chemistry profile, cartridge ID, source script, environment log, electrical time series, and raw image stack. If any one of those pieces is missing, the run is automatically HOLD, not PASS. fileciteturn0file0</w:t>
      </w:r>
    </w:p>
    <w:p>
      <w:pPr>
        <w:pStyle w:val="BodyText"/>
      </w:pPr>
      <w:r>
        <w:t xml:space="preserve">A minimal run-manifest outline:</w:t>
      </w:r>
    </w:p>
    <w:p>
      <w:pPr>
        <w:pStyle w:val="SourceCode"/>
      </w:pPr>
      <w:r>
        <w:rPr>
          <w:rStyle w:val="VerbatimChar"/>
        </w:rPr>
        <w:t xml:space="preserve">{</w:t>
      </w:r>
      <w:r>
        <w:br/>
      </w:r>
      <w:r>
        <w:rPr>
          <w:rStyle w:val="VerbatimChar"/>
        </w:rPr>
        <w:t xml:space="preserve">  "run_id": "P0A_CU_2026_06_13_0017",</w:t>
      </w:r>
      <w:r>
        <w:br/>
      </w:r>
      <w:r>
        <w:rPr>
          <w:rStyle w:val="VerbatimChar"/>
        </w:rPr>
        <w:t xml:space="preserve">  "target_id": "target_family_bridge_sparse_v1",</w:t>
      </w:r>
      <w:r>
        <w:br/>
      </w:r>
      <w:r>
        <w:rPr>
          <w:rStyle w:val="VerbatimChar"/>
        </w:rPr>
        <w:t xml:space="preserve">  "adapter_id": "cntm_adapter_cu_v1",</w:t>
      </w:r>
      <w:r>
        <w:br/>
      </w:r>
      <w:r>
        <w:rPr>
          <w:rStyle w:val="VerbatimChar"/>
        </w:rPr>
        <w:t xml:space="preserve">  "chemistry_profile_id": "cu_aq_profile_v1",</w:t>
      </w:r>
      <w:r>
        <w:br/>
      </w:r>
      <w:r>
        <w:rPr>
          <w:rStyle w:val="VerbatimChar"/>
        </w:rPr>
        <w:t xml:space="preserve">  "cartridge_id": "cell_4e_200um_v1_SN0042",</w:t>
      </w:r>
      <w:r>
        <w:br/>
      </w:r>
      <w:r>
        <w:rPr>
          <w:rStyle w:val="VerbatimChar"/>
        </w:rPr>
        <w:t xml:space="preserve">  "control_schedule_hash": "sha256:...",</w:t>
      </w:r>
      <w:r>
        <w:br/>
      </w:r>
      <w:r>
        <w:rPr>
          <w:rStyle w:val="VerbatimChar"/>
        </w:rPr>
        <w:t xml:space="preserve">  "raw_trace_hash": "sha256:...",</w:t>
      </w:r>
      <w:r>
        <w:br/>
      </w:r>
      <w:r>
        <w:rPr>
          <w:rStyle w:val="VerbatimChar"/>
        </w:rPr>
        <w:t xml:space="preserve">  "image_stack_hash": "sha256:...",</w:t>
      </w:r>
      <w:r>
        <w:br/>
      </w:r>
      <w:r>
        <w:rPr>
          <w:rStyle w:val="VerbatimChar"/>
        </w:rPr>
        <w:t xml:space="preserve">  "extraction_pipeline_id": "img_graph_v2",</w:t>
      </w:r>
      <w:r>
        <w:br/>
      </w:r>
      <w:r>
        <w:rPr>
          <w:rStyle w:val="VerbatimChar"/>
        </w:rPr>
        <w:t xml:space="preserve">  "comparison_protocol_id": "twin_compare_v1",</w:t>
      </w:r>
      <w:r>
        <w:br/>
      </w:r>
      <w:r>
        <w:rPr>
          <w:rStyle w:val="VerbatimChar"/>
        </w:rPr>
        <w:t xml:space="preserve">  "status": "pending"</w:t>
      </w:r>
      <w:r>
        <w:br/>
      </w:r>
      <w:r>
        <w:rPr>
          <w:rStyle w:val="VerbatimChar"/>
        </w:rPr>
        <w:t xml:space="preserve">}</w:t>
      </w:r>
    </w:p>
    <w:bookmarkEnd w:id="44"/>
    <w:bookmarkStart w:id="45" w:name="image-to-graph-extraction"/>
    <w:p>
      <w:pPr>
        <w:pStyle w:val="Heading3"/>
      </w:pPr>
      <w:r>
        <w:t xml:space="preserve">Image-to-graph extraction</w:t>
      </w:r>
    </w:p>
    <w:p>
      <w:pPr>
        <w:pStyle w:val="FirstParagraph"/>
      </w:pPr>
      <w:r>
        <w:t xml:space="preserve">The extraction pipeline should proceed in bounded stages: geometric calibration, flat-field correction, background subtraction, foreground segmentation, skeletonization, graph reconstruction, width estimation, and uncertainty scoring. The pipeline should explicitly preserve both the</w:t>
      </w:r>
      <w:r>
        <w:t xml:space="preserve"> </w:t>
      </w:r>
      <w:r>
        <w:rPr>
          <w:b/>
          <w:bCs/>
        </w:rPr>
        <w:t xml:space="preserve">binary mask</w:t>
      </w:r>
      <w:r>
        <w:t xml:space="preserve"> </w:t>
      </w:r>
      <w:r>
        <w:t xml:space="preserve">and the</w:t>
      </w:r>
      <w:r>
        <w:t xml:space="preserve"> </w:t>
      </w:r>
      <w:r>
        <w:rPr>
          <w:b/>
          <w:bCs/>
        </w:rPr>
        <w:t xml:space="preserve">graph abstraction</w:t>
      </w:r>
      <w:r>
        <w:t xml:space="preserve"> </w:t>
      </w:r>
      <w:r>
        <w:t xml:space="preserve">because some downstream metrics belong to the area mask while others belong to the graph. Time-lapse image processing has already been shown to be useful for following dendrite growth dynamics in conducting-polymer systems, which is exactly why it belongs at the center of Phase Zero rather than as an afterthought.</w:t>
      </w:r>
      <w:r>
        <w:t xml:space="preserve"> </w:t>
      </w:r>
      <w:hyperlink r:id="rId25">
        <w:r>
          <w:rPr>
            <w:rStyle w:val="Hyperlink"/>
          </w:rPr>
          <w:t xml:space="preserve">[19]</w:t>
        </w:r>
      </w:hyperlink>
    </w:p>
    <w:p>
      <w:pPr>
        <w:pStyle w:val="BodyText"/>
      </w:pPr>
      <w:r>
        <w:t xml:space="preserve">Confidence handling should be first-class. I recommend a segmentation confidence score built from four terms: threshold stability under perturbation, optical focus/contrast quality, agreement between independent segmentation routes, and fiducial-based geometric consistency. A run with a beautiful-looking mask but poor stability under threshold perturbation is not eligible for a hard PASS. That is a direct implementation of the kernel’s HOLD-before-false-closure rule. fileciteturn0file0</w:t>
      </w:r>
    </w:p>
    <w:bookmarkEnd w:id="45"/>
    <w:bookmarkStart w:id="47" w:name="signature-construction-and-comparison"/>
    <w:p>
      <w:pPr>
        <w:pStyle w:val="Heading3"/>
      </w:pPr>
      <w:r>
        <w:t xml:space="preserve">Signature construction and comparison</w:t>
      </w:r>
    </w:p>
    <w:p>
      <w:pPr>
        <w:pStyle w:val="FirstParagraph"/>
      </w:pPr>
      <w:r>
        <w:t xml:space="preserve">The physical signature should combine morphology, electrical state, and provenance in one versioned object:</w:t>
      </w:r>
    </w:p>
    <w:p>
      <w:pPr>
        <w:pStyle w:val="SourceCode"/>
      </w:pPr>
      <w:r>
        <w:rPr>
          <w:rStyle w:val="VerbatimChar"/>
        </w:rPr>
        <w:t xml:space="preserve">{</w:t>
      </w:r>
      <w:r>
        <w:br/>
      </w:r>
      <w:r>
        <w:rPr>
          <w:rStyle w:val="VerbatimChar"/>
        </w:rPr>
        <w:t xml:space="preserve">  "signature_id": "sig_P0A_CU_0017",</w:t>
      </w:r>
      <w:r>
        <w:br/>
      </w:r>
      <w:r>
        <w:rPr>
          <w:rStyle w:val="VerbatimChar"/>
        </w:rPr>
        <w:t xml:space="preserve">  "graph_features": {</w:t>
      </w:r>
      <w:r>
        <w:br/>
      </w:r>
      <w:r>
        <w:rPr>
          <w:rStyle w:val="VerbatimChar"/>
        </w:rPr>
        <w:t xml:space="preserve">    "tip_count": 9,</w:t>
      </w:r>
      <w:r>
        <w:br/>
      </w:r>
      <w:r>
        <w:rPr>
          <w:rStyle w:val="VerbatimChar"/>
        </w:rPr>
        <w:t xml:space="preserve">    "node_degree_histogram": [0, 5, 4, 1],</w:t>
      </w:r>
      <w:r>
        <w:br/>
      </w:r>
      <w:r>
        <w:rPr>
          <w:rStyle w:val="VerbatimChar"/>
        </w:rPr>
        <w:t xml:space="preserve">    "branch_angle_stats": {"mean_deg": 37.2, "std_deg": 11.8},</w:t>
      </w:r>
      <w:r>
        <w:br/>
      </w:r>
      <w:r>
        <w:rPr>
          <w:rStyle w:val="VerbatimChar"/>
        </w:rPr>
        <w:t xml:space="preserve">    "path_lengths": {"mean_px": 142.0, "p95_px": 410.0}</w:t>
      </w:r>
      <w:r>
        <w:br/>
      </w:r>
      <w:r>
        <w:rPr>
          <w:rStyle w:val="VerbatimChar"/>
        </w:rPr>
        <w:t xml:space="preserve">  },</w:t>
      </w:r>
      <w:r>
        <w:br/>
      </w:r>
      <w:r>
        <w:rPr>
          <w:rStyle w:val="VerbatimChar"/>
        </w:rPr>
        <w:t xml:space="preserve">  "mask_features": {</w:t>
      </w:r>
      <w:r>
        <w:br/>
      </w:r>
      <w:r>
        <w:rPr>
          <w:rStyle w:val="VerbatimChar"/>
        </w:rPr>
        <w:t xml:space="preserve">    "occupied_area_fraction": 0.084,</w:t>
      </w:r>
      <w:r>
        <w:br/>
      </w:r>
      <w:r>
        <w:rPr>
          <w:rStyle w:val="VerbatimChar"/>
        </w:rPr>
        <w:t xml:space="preserve">    "convex_hull_fraction": 0.31,</w:t>
      </w:r>
      <w:r>
        <w:br/>
      </w:r>
      <w:r>
        <w:rPr>
          <w:rStyle w:val="VerbatimChar"/>
        </w:rPr>
        <w:t xml:space="preserve">    "bridge_state": true</w:t>
      </w:r>
      <w:r>
        <w:br/>
      </w:r>
      <w:r>
        <w:rPr>
          <w:rStyle w:val="VerbatimChar"/>
        </w:rPr>
        <w:t xml:space="preserve">  },</w:t>
      </w:r>
      <w:r>
        <w:br/>
      </w:r>
      <w:r>
        <w:rPr>
          <w:rStyle w:val="VerbatimChar"/>
        </w:rPr>
        <w:t xml:space="preserve">  "electrical_features": {</w:t>
      </w:r>
      <w:r>
        <w:br/>
      </w:r>
      <w:r>
        <w:rPr>
          <w:rStyle w:val="VerbatimChar"/>
        </w:rPr>
        <w:t xml:space="preserve">    "r_2w_ohm": 1840.0,</w:t>
      </w:r>
      <w:r>
        <w:br/>
      </w:r>
      <w:r>
        <w:rPr>
          <w:rStyle w:val="VerbatimChar"/>
        </w:rPr>
        <w:t xml:space="preserve">    "r_4w_ohm": 1590.0,</w:t>
      </w:r>
      <w:r>
        <w:br/>
      </w:r>
      <w:r>
        <w:rPr>
          <w:rStyle w:val="VerbatimChar"/>
        </w:rPr>
        <w:t xml:space="preserve">    "eis_model_id": null</w:t>
      </w:r>
      <w:r>
        <w:br/>
      </w:r>
      <w:r>
        <w:rPr>
          <w:rStyle w:val="VerbatimChar"/>
        </w:rPr>
        <w:t xml:space="preserve">  },</w:t>
      </w:r>
      <w:r>
        <w:br/>
      </w:r>
      <w:r>
        <w:rPr>
          <w:rStyle w:val="VerbatimChar"/>
        </w:rPr>
        <w:t xml:space="preserve">  "confidence": {</w:t>
      </w:r>
      <w:r>
        <w:br/>
      </w:r>
      <w:r>
        <w:rPr>
          <w:rStyle w:val="VerbatimChar"/>
        </w:rPr>
        <w:t xml:space="preserve">    "segmentation": 0.93,</w:t>
      </w:r>
      <w:r>
        <w:br/>
      </w:r>
      <w:r>
        <w:rPr>
          <w:rStyle w:val="VerbatimChar"/>
        </w:rPr>
        <w:t xml:space="preserve">    "execution": 0.99</w:t>
      </w:r>
      <w:r>
        <w:br/>
      </w:r>
      <w:r>
        <w:rPr>
          <w:rStyle w:val="VerbatimChar"/>
        </w:rPr>
        <w:t xml:space="preserve">  },</w:t>
      </w:r>
      <w:r>
        <w:br/>
      </w:r>
      <w:r>
        <w:rPr>
          <w:rStyle w:val="VerbatimChar"/>
        </w:rPr>
        <w:t xml:space="preserve">  "provenance_hash": "sha256:..."</w:t>
      </w:r>
      <w:r>
        <w:br/>
      </w:r>
      <w:r>
        <w:rPr>
          <w:rStyle w:val="VerbatimChar"/>
        </w:rPr>
        <w:t xml:space="preserve">}</w:t>
      </w:r>
    </w:p>
    <w:p>
      <w:pPr>
        <w:pStyle w:val="FirstParagraph"/>
      </w:pPr>
      <w:r>
        <w:t xml:space="preserve">The comparison step should score the run against both the</w:t>
      </w:r>
      <w:r>
        <w:t xml:space="preserve"> </w:t>
      </w:r>
      <w:r>
        <w:rPr>
          <w:b/>
          <w:bCs/>
        </w:rPr>
        <w:t xml:space="preserve">target family</w:t>
      </w:r>
      <w:r>
        <w:t xml:space="preserve"> </w:t>
      </w:r>
      <w:r>
        <w:t xml:space="preserve">and the</w:t>
      </w:r>
      <w:r>
        <w:t xml:space="preserve"> </w:t>
      </w:r>
      <w:r>
        <w:rPr>
          <w:b/>
          <w:bCs/>
        </w:rPr>
        <w:t xml:space="preserve">twin prediction</w:t>
      </w:r>
      <w:r>
        <w:t xml:space="preserve">. At minimum, the metrics should include endpoint-region error, branch-count error, skeleton graph distance, occupied-area difference, bridge/no-bridge correctness, and resistance error. For the polymer platform, compact EIS-parameter error should be added because the polymer literature already shows a measurable relation between morphology and relaxation behavior.</w:t>
      </w:r>
      <w:r>
        <w:t xml:space="preserve"> </w:t>
      </w:r>
      <w:hyperlink r:id="rId46">
        <w:r>
          <w:rPr>
            <w:rStyle w:val="Hyperlink"/>
          </w:rPr>
          <w:t xml:space="preserve">[20]</w:t>
        </w:r>
      </w:hyperlink>
    </w:p>
    <w:bookmarkEnd w:id="47"/>
    <w:bookmarkStart w:id="48" w:name="pass-hold-and-fail"/>
    <w:p>
      <w:pPr>
        <w:pStyle w:val="Heading3"/>
      </w:pPr>
      <w:r>
        <w:t xml:space="preserve">PASS, HOLD, and FAIL</w:t>
      </w:r>
    </w:p>
    <w:p>
      <w:pPr>
        <w:pStyle w:val="FirstParagraph"/>
      </w:pPr>
      <w:r>
        <w:t xml:space="preserve">The comparison gate should be explicit: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Required conditions</w:t>
            </w:r>
          </w:p>
        </w:tc>
        <w:tc>
          <w:tcPr/>
          <w:p>
            <w:pPr>
              <w:pStyle w:val="Compact"/>
            </w:pPr>
            <w:r>
              <w:t xml:space="preserve">Interpretation</w:t>
            </w:r>
          </w:p>
        </w:tc>
      </w:tr>
      <w:tr>
        <w:tc>
          <w:tcPr/>
          <w:p>
            <w:pPr>
              <w:pStyle w:val="Compact"/>
            </w:pPr>
            <w:r>
              <w:rPr>
                <w:b/>
                <w:bCs/>
              </w:rPr>
              <w:t xml:space="preserve">PASS</w:t>
            </w:r>
          </w:p>
        </w:tc>
        <w:tc>
          <w:tcPr/>
          <w:p>
            <w:pPr>
              <w:pStyle w:val="Compact"/>
            </w:pPr>
            <w:r>
              <w:t xml:space="preserve">complete provenance; no safety anomaly; segmentation confidence high; target-family metrics within band; twin prediction within preregistered tolerance</w:t>
            </w:r>
          </w:p>
        </w:tc>
        <w:tc>
          <w:tcPr/>
          <w:p>
            <w:pPr>
              <w:pStyle w:val="Compact"/>
            </w:pPr>
            <w:r>
              <w:t xml:space="preserve">valid brush, eligible to update priors</w:t>
            </w:r>
          </w:p>
        </w:tc>
      </w:tr>
      <w:tr>
        <w:tc>
          <w:tcPr/>
          <w:p>
            <w:pPr>
              <w:pStyle w:val="Compact"/>
            </w:pPr>
            <w:r>
              <w:rPr>
                <w:b/>
                <w:bCs/>
              </w:rPr>
              <w:t xml:space="preserve">HOLD</w:t>
            </w:r>
          </w:p>
        </w:tc>
        <w:tc>
          <w:tcPr/>
          <w:p>
            <w:pPr>
              <w:pStyle w:val="Compact"/>
            </w:pPr>
            <w:r>
              <w:t xml:space="preserve">missing or ambiguous evidence; low segmentation confidence; morphology/electrical disagreement; plausible equifinality; insufficient repeats</w:t>
            </w:r>
          </w:p>
        </w:tc>
        <w:tc>
          <w:tcPr/>
          <w:p>
            <w:pPr>
              <w:pStyle w:val="Compact"/>
            </w:pPr>
            <w:r>
              <w:t xml:space="preserve">preserved unresolved state, no adapter update</w:t>
            </w:r>
          </w:p>
        </w:tc>
      </w:tr>
      <w:tr>
        <w:tc>
          <w:tcPr/>
          <w:p>
            <w:pPr>
              <w:pStyle w:val="Compact"/>
            </w:pPr>
            <w:r>
              <w:rPr>
                <w:b/>
                <w:bCs/>
              </w:rPr>
              <w:t xml:space="preserve">FAIL</w:t>
            </w:r>
          </w:p>
        </w:tc>
        <w:tc>
          <w:tcPr/>
          <w:p>
            <w:pPr>
              <w:pStyle w:val="Compact"/>
            </w:pPr>
            <w:r>
              <w:t xml:space="preserve">high-confidence mismatch; safety-stop; leak; uncontrolled bridge; adapter executed the wrong schedule; readout unusable due to known apparatus fault</w:t>
            </w:r>
          </w:p>
        </w:tc>
        <w:tc>
          <w:tcPr/>
          <w:p>
            <w:pPr>
              <w:pStyle w:val="Compact"/>
            </w:pPr>
            <w:r>
              <w:t xml:space="preserve">negative brush, may update failure field after review</w:t>
            </w:r>
          </w:p>
        </w:tc>
      </w:tr>
    </w:tbl>
    <w:p>
      <w:pPr>
        <w:pStyle w:val="BodyText"/>
      </w:pPr>
      <w:r>
        <w:t xml:space="preserve">To keep the gate falsifiable, I recommend preregistering numerical thresholds before each validation stage. An example Stage B threshold set would be: segmentation confidence at or above 0.90, complete manifest integrity, resistance measurement repeatability within a declared tolerance, and morphological metrics inside the target family on at least three repeat runs. Those numbers are recommendations, not universal constants, but the existence of the gate is non-negotiable. fileciteturn0file0</w:t>
      </w:r>
    </w:p>
    <w:p>
      <w:pPr>
        <w:pStyle w:val="BodyText"/>
      </w:pPr>
      <w:r>
        <w:t xml:space="preserve">Results should update association fields only after reproducibility is established. A single dramatic run may create a</w:t>
      </w:r>
      <w:r>
        <w:t xml:space="preserve"> </w:t>
      </w:r>
      <w:r>
        <w:rPr>
          <w:b/>
          <w:bCs/>
        </w:rPr>
        <w:t xml:space="preserve">candidate brush</w:t>
      </w:r>
      <w:r>
        <w:t xml:space="preserve">, but it should not change control priors until repeated under the same manifest family across at least a small run set. This is the physical equivalent of refusing to let one eloquent output override RIGOR or GUARD. fileciteturn0file0</w:t>
      </w:r>
    </w:p>
    <w:bookmarkEnd w:id="48"/>
    <w:bookmarkEnd w:id="49"/>
    <w:bookmarkStart w:id="52" w:name="validation-and-uncertainty-management"/>
    <w:p>
      <w:pPr>
        <w:pStyle w:val="Heading2"/>
      </w:pPr>
      <w:r>
        <w:t xml:space="preserve">Validation and Uncertainty Management</w:t>
      </w:r>
    </w:p>
    <w:p>
      <w:pPr>
        <w:pStyle w:val="FirstParagraph"/>
      </w:pPr>
      <w:r>
        <w:t xml:space="preserve">The central uncertainty problem is</w:t>
      </w:r>
      <w:r>
        <w:t xml:space="preserve"> </w:t>
      </w:r>
      <w:r>
        <w:rPr>
          <w:b/>
          <w:bCs/>
        </w:rPr>
        <w:t xml:space="preserve">equifinality</w:t>
      </w:r>
      <w:r>
        <w:t xml:space="preserve">: different control histories can end in similar visible morphologies. Endpoint morphology alone is therefore not enough to justify claims about “recoverable process history.” That phrase should initially mean only this:</w:t>
      </w:r>
      <w:r>
        <w:t xml:space="preserve"> </w:t>
      </w:r>
      <w:r>
        <w:rPr>
          <w:b/>
          <w:bCs/>
        </w:rPr>
        <w:t xml:space="preserve">history can be partially reconstructed from the combination of time-resolved electrical trace, staged image record, final morphology, and extracted conductance</w:t>
      </w:r>
      <w:r>
        <w:t xml:space="preserve">. Recent work in confined electrochemical systems and in morphology-linked electrical characterization both support the importance of capturing dynamics rather than relying on post hoc end states alone.</w:t>
      </w:r>
      <w:r>
        <w:t xml:space="preserve"> </w:t>
      </w:r>
      <w:hyperlink r:id="rId23">
        <w:r>
          <w:rPr>
            <w:rStyle w:val="Hyperlink"/>
          </w:rPr>
          <w:t xml:space="preserve">[21]</w:t>
        </w:r>
      </w:hyperlink>
    </w:p>
    <w:p>
      <w:pPr>
        <w:pStyle w:val="BodyText"/>
      </w:pPr>
      <w:r>
        <w:t xml:space="preserve">A second uncertainty source is genuine stochasticity. Conducting-polymer modeling explicitly attributes part of morphology variation to random scattering, and metallic branching studies show transition behavior with current density and concentration rather than exact deterministic replication. That means replay should be judged at the level of</w:t>
      </w:r>
      <w:r>
        <w:t xml:space="preserve"> </w:t>
      </w:r>
      <w:r>
        <w:rPr>
          <w:b/>
          <w:bCs/>
        </w:rPr>
        <w:t xml:space="preserve">stable feature families</w:t>
      </w:r>
      <w:r>
        <w:t xml:space="preserve"> </w:t>
      </w:r>
      <w:r>
        <w:t xml:space="preserve">and</w:t>
      </w:r>
      <w:r>
        <w:t xml:space="preserve"> </w:t>
      </w:r>
      <w:r>
        <w:rPr>
          <w:b/>
          <w:bCs/>
        </w:rPr>
        <w:t xml:space="preserve">outcome distributions</w:t>
      </w:r>
      <w:r>
        <w:t xml:space="preserve">, not exact pixel identity. The twin’s job is therefore to predict distributions and high-probability families, not to hallucinate microscopic determinism.</w:t>
      </w:r>
      <w:r>
        <w:t xml:space="preserve"> </w:t>
      </w:r>
      <w:hyperlink r:id="rId32">
        <w:r>
          <w:rPr>
            <w:rStyle w:val="Hyperlink"/>
          </w:rPr>
          <w:t xml:space="preserve">[22]</w:t>
        </w:r>
      </w:hyperlink>
    </w:p>
    <w:bookmarkStart w:id="50" w:name="staged-validation-sequence"/>
    <w:p>
      <w:pPr>
        <w:pStyle w:val="Heading3"/>
      </w:pPr>
      <w:r>
        <w:t xml:space="preserve">Staged validation sequence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Question</w:t>
            </w:r>
          </w:p>
        </w:tc>
        <w:tc>
          <w:tcPr/>
          <w:p>
            <w:pPr>
              <w:pStyle w:val="Compact"/>
            </w:pPr>
            <w:r>
              <w:t xml:space="preserve">Minimum experiment</w:t>
            </w:r>
          </w:p>
        </w:tc>
        <w:tc>
          <w:tcPr/>
          <w:p>
            <w:pPr>
              <w:pStyle w:val="Compact"/>
            </w:pPr>
            <w:r>
              <w:t xml:space="preserve">Exit criterion</w:t>
            </w:r>
          </w:p>
        </w:tc>
      </w:tr>
      <w:tr>
        <w:tc>
          <w:tcPr/>
          <w:p>
            <w:pPr>
              <w:pStyle w:val="Compact"/>
            </w:pPr>
            <w:r>
              <w:rPr>
                <w:b/>
                <w:bCs/>
              </w:rPr>
              <w:t xml:space="preserve">Apparatus repeatability</w:t>
            </w:r>
          </w:p>
        </w:tc>
        <w:tc>
          <w:tcPr/>
          <w:p>
            <w:pPr>
              <w:pStyle w:val="Compact"/>
            </w:pPr>
            <w:r>
              <w:t xml:space="preserve">Is the cartridge and instrumentation stable enough to trust any morphology data?</w:t>
            </w:r>
          </w:p>
        </w:tc>
        <w:tc>
          <w:tcPr/>
          <w:p>
            <w:pPr>
              <w:pStyle w:val="Compact"/>
            </w:pPr>
            <w:r>
              <w:t xml:space="preserve">leak tests, dark/current baselines, inert-cell image stability, repeated low-write readouts</w:t>
            </w:r>
          </w:p>
        </w:tc>
        <w:tc>
          <w:tcPr/>
          <w:p>
            <w:pPr>
              <w:pStyle w:val="Compact"/>
            </w:pPr>
            <w:r>
              <w:t xml:space="preserve">baseline noise and drift are below preregistered limits; cartridge-to-cartridge variance is measurable and bounded</w:t>
            </w:r>
          </w:p>
        </w:tc>
      </w:tr>
      <w:tr>
        <w:tc>
          <w:tcPr/>
          <w:p>
            <w:pPr>
              <w:pStyle w:val="Compact"/>
            </w:pPr>
            <w:r>
              <w:rPr>
                <w:b/>
                <w:bCs/>
              </w:rPr>
              <w:t xml:space="preserve">Single-operator calibration</w:t>
            </w:r>
          </w:p>
        </w:tc>
        <w:tc>
          <w:tcPr/>
          <w:p>
            <w:pPr>
              <w:pStyle w:val="Compact"/>
            </w:pPr>
            <w:r>
              <w:t xml:space="preserve">Can EXTEND be controlled monotonically?</w:t>
            </w:r>
          </w:p>
        </w:tc>
        <w:tc>
          <w:tcPr/>
          <w:p>
            <w:pPr>
              <w:pStyle w:val="Compact"/>
            </w:pPr>
            <w:r>
              <w:t xml:space="preserve">repeated low-complexity growth from one active electrode pair under bounded schedules</w:t>
            </w:r>
          </w:p>
        </w:tc>
        <w:tc>
          <w:tcPr/>
          <w:p>
            <w:pPr>
              <w:pStyle w:val="Compact"/>
            </w:pPr>
            <w:r>
              <w:t xml:space="preserve">front advance and/or deposited area scales monotonically with charge over a defined safe window</w:t>
            </w:r>
          </w:p>
        </w:tc>
      </w:tr>
      <w:tr>
        <w:tc>
          <w:tcPr/>
          <w:p>
            <w:pPr>
              <w:pStyle w:val="Compact"/>
            </w:pPr>
            <w:r>
              <w:rPr>
                <w:b/>
                <w:bCs/>
              </w:rPr>
              <w:t xml:space="preserve">Branch modulation</w:t>
            </w:r>
          </w:p>
        </w:tc>
        <w:tc>
          <w:tcPr/>
          <w:p>
            <w:pPr>
              <w:pStyle w:val="Compact"/>
            </w:pPr>
            <w:r>
              <w:t xml:space="preserve">Can BIFURCATE be biased intentionally?</w:t>
            </w:r>
          </w:p>
        </w:tc>
        <w:tc>
          <w:tcPr/>
          <w:p>
            <w:pPr>
              <w:pStyle w:val="Compact"/>
            </w:pPr>
            <w:r>
              <w:t xml:space="preserve">compare symmetric versus asymmetric electrode/waveform schedules across replicates</w:t>
            </w:r>
          </w:p>
        </w:tc>
        <w:tc>
          <w:tcPr/>
          <w:p>
            <w:pPr>
              <w:pStyle w:val="Compact"/>
            </w:pPr>
            <w:r>
              <w:t xml:space="preserve">branch-count or branch-angle statistics shift in the predicted direction relative to control</w:t>
            </w:r>
          </w:p>
        </w:tc>
      </w:tr>
      <w:tr>
        <w:tc>
          <w:tcPr/>
          <w:p>
            <w:pPr>
              <w:pStyle w:val="Compact"/>
            </w:pPr>
            <w:r>
              <w:rPr>
                <w:b/>
                <w:bCs/>
              </w:rPr>
              <w:t xml:space="preserve">Twin predictive accuracy</w:t>
            </w:r>
          </w:p>
        </w:tc>
        <w:tc>
          <w:tcPr/>
          <w:p>
            <w:pPr>
              <w:pStyle w:val="Compact"/>
            </w:pPr>
            <w:r>
              <w:t xml:space="preserve">Does the reduced model predict better than naive baselines?</w:t>
            </w:r>
          </w:p>
        </w:tc>
        <w:tc>
          <w:tcPr/>
          <w:p>
            <w:pPr>
              <w:pStyle w:val="Compact"/>
            </w:pPr>
            <w:r>
              <w:t xml:space="preserve">train on one set, freeze, then predict held-out runs</w:t>
            </w:r>
          </w:p>
        </w:tc>
        <w:tc>
          <w:tcPr/>
          <w:p>
            <w:pPr>
              <w:pStyle w:val="Compact"/>
            </w:pPr>
            <w:r>
              <w:t xml:space="preserve">held-out error beats both baselines on at least two metric families</w:t>
            </w:r>
          </w:p>
        </w:tc>
      </w:tr>
      <w:tr>
        <w:tc>
          <w:tcPr/>
          <w:p>
            <w:pPr>
              <w:pStyle w:val="Compact"/>
            </w:pPr>
            <w:r>
              <w:rPr>
                <w:b/>
                <w:bCs/>
              </w:rPr>
              <w:t xml:space="preserve">Replay fidelity</w:t>
            </w:r>
          </w:p>
        </w:tc>
        <w:tc>
          <w:tcPr/>
          <w:p>
            <w:pPr>
              <w:pStyle w:val="Compact"/>
            </w:pPr>
            <w:r>
              <w:t xml:space="preserve">Are some physical brushes repeatable as families?</w:t>
            </w:r>
          </w:p>
        </w:tc>
        <w:tc>
          <w:tcPr/>
          <w:p>
            <w:pPr>
              <w:pStyle w:val="Compact"/>
            </w:pPr>
            <w:r>
              <w:t xml:space="preserve">rerun identical schedules over multiple days and cartridges</w:t>
            </w:r>
          </w:p>
        </w:tc>
        <w:tc>
          <w:tcPr/>
          <w:p>
            <w:pPr>
              <w:pStyle w:val="Compact"/>
            </w:pPr>
            <w:r>
              <w:t xml:space="preserve">stable features separate statistically from unstable ones</w:t>
            </w:r>
          </w:p>
        </w:tc>
      </w:tr>
      <w:tr>
        <w:tc>
          <w:tcPr/>
          <w:p>
            <w:pPr>
              <w:pStyle w:val="Compact"/>
            </w:pPr>
            <w:r>
              <w:rPr>
                <w:b/>
                <w:bCs/>
              </w:rPr>
              <w:t xml:space="preserve">Primitive rewrite</w:t>
            </w:r>
          </w:p>
        </w:tc>
        <w:tc>
          <w:tcPr/>
          <w:p>
            <w:pPr>
              <w:pStyle w:val="Compact"/>
            </w:pPr>
            <w:r>
              <w:t xml:space="preserve">Is PRUNE or rewrite physically real or only logical?</w:t>
            </w:r>
          </w:p>
        </w:tc>
        <w:tc>
          <w:tcPr/>
          <w:p>
            <w:pPr>
              <w:pStyle w:val="Compact"/>
            </w:pPr>
            <w:r>
              <w:t xml:space="preserve">grow, read, strip/deactivate, reread, regrow</w:t>
            </w:r>
          </w:p>
        </w:tc>
        <w:tc>
          <w:tcPr/>
          <w:p>
            <w:pPr>
              <w:pStyle w:val="Compact"/>
            </w:pPr>
            <w:r>
              <w:t xml:space="preserve">run is classified explicitly as logical-only, bulk strip, or branch-affecting rewrite based on evidence</w:t>
            </w:r>
          </w:p>
        </w:tc>
      </w:tr>
    </w:tbl>
    <w:p>
      <w:pPr>
        <w:pStyle w:val="BodyText"/>
      </w:pPr>
      <w:r>
        <w:t xml:space="preserve">Stage progression should be conservative. A branch-modulation result without good apparatus repeatability does not count. A promising twin that has only been evaluated on training data does not count. A visually similar rewrite with no resistance or provenance agreement does not count. Those are not bureaucratic hurdles; they are what prevent a beautiful demo from being misread as a physical theory. fileciteturn0file0</w:t>
      </w:r>
    </w:p>
    <w:bookmarkEnd w:id="50"/>
    <w:bookmarkStart w:id="51" w:name="association-field-update-policy"/>
    <w:p>
      <w:pPr>
        <w:pStyle w:val="Heading3"/>
      </w:pPr>
      <w:r>
        <w:t xml:space="preserve">Association-field update policy</w:t>
      </w:r>
    </w:p>
    <w:p>
      <w:pPr>
        <w:pStyle w:val="FirstParagraph"/>
      </w:pPr>
      <w:r>
        <w:t xml:space="preserve">The first physical association fields should be deliberately narrow:</w:t>
      </w:r>
    </w:p>
    <w:p>
      <w:pPr>
        <w:pStyle w:val="Compact"/>
        <w:numPr>
          <w:ilvl w:val="0"/>
          <w:numId w:val="1006"/>
        </w:numPr>
      </w:pPr>
      <w:r>
        <w:t xml:space="preserve">an</w:t>
      </w:r>
      <w:r>
        <w:t xml:space="preserve"> </w:t>
      </w:r>
      <w:r>
        <w:rPr>
          <w:b/>
          <w:bCs/>
        </w:rPr>
        <w:t xml:space="preserve">extension-response field</w:t>
      </w:r>
      <w:r>
        <w:t xml:space="preserve">, linking schedules to front motion and charge efficiency;</w:t>
      </w:r>
    </w:p>
    <w:p>
      <w:pPr>
        <w:pStyle w:val="Compact"/>
        <w:numPr>
          <w:ilvl w:val="0"/>
          <w:numId w:val="1006"/>
        </w:numPr>
      </w:pPr>
      <w:r>
        <w:t xml:space="preserve">a</w:t>
      </w:r>
      <w:r>
        <w:t xml:space="preserve"> </w:t>
      </w:r>
      <w:r>
        <w:rPr>
          <w:b/>
          <w:bCs/>
        </w:rPr>
        <w:t xml:space="preserve">branch-formation field</w:t>
      </w:r>
      <w:r>
        <w:t xml:space="preserve">, linking field geometry and pulse structure to branch statistics;</w:t>
      </w:r>
    </w:p>
    <w:p>
      <w:pPr>
        <w:pStyle w:val="Compact"/>
        <w:numPr>
          <w:ilvl w:val="0"/>
          <w:numId w:val="1006"/>
        </w:numPr>
      </w:pPr>
      <w:r>
        <w:t xml:space="preserve">a</w:t>
      </w:r>
      <w:r>
        <w:t xml:space="preserve"> </w:t>
      </w:r>
      <w:r>
        <w:rPr>
          <w:b/>
          <w:bCs/>
        </w:rPr>
        <w:t xml:space="preserve">failure field</w:t>
      </w:r>
      <w:r>
        <w:t xml:space="preserve">, capturing bubbles, delamination, shorts, leaks, segmentation collapse, or unmodeled drift;</w:t>
      </w:r>
    </w:p>
    <w:p>
      <w:pPr>
        <w:pStyle w:val="Compact"/>
        <w:numPr>
          <w:ilvl w:val="0"/>
          <w:numId w:val="1006"/>
        </w:numPr>
      </w:pPr>
      <w:r>
        <w:t xml:space="preserve">a</w:t>
      </w:r>
      <w:r>
        <w:t xml:space="preserve"> </w:t>
      </w:r>
      <w:r>
        <w:rPr>
          <w:b/>
          <w:bCs/>
        </w:rPr>
        <w:t xml:space="preserve">conductance-fidelity field</w:t>
      </w:r>
      <w:r>
        <w:t xml:space="preserve">, recording where morphology and electrical state agreed or disagreed;</w:t>
      </w:r>
    </w:p>
    <w:p>
      <w:pPr>
        <w:pStyle w:val="Compact"/>
        <w:numPr>
          <w:ilvl w:val="0"/>
          <w:numId w:val="1006"/>
        </w:numPr>
      </w:pPr>
      <w:r>
        <w:t xml:space="preserve">a</w:t>
      </w:r>
      <w:r>
        <w:t xml:space="preserve"> </w:t>
      </w:r>
      <w:r>
        <w:rPr>
          <w:b/>
          <w:bCs/>
        </w:rPr>
        <w:t xml:space="preserve">pruning field</w:t>
      </w:r>
      <w:r>
        <w:t xml:space="preserve">, recording what reverse-bias schedules actually removed and what scars they left;</w:t>
      </w:r>
    </w:p>
    <w:p>
      <w:pPr>
        <w:pStyle w:val="Compact"/>
        <w:numPr>
          <w:ilvl w:val="0"/>
          <w:numId w:val="1006"/>
        </w:numPr>
      </w:pPr>
      <w:r>
        <w:t xml:space="preserve">a</w:t>
      </w:r>
      <w:r>
        <w:t xml:space="preserve"> </w:t>
      </w:r>
      <w:r>
        <w:rPr>
          <w:b/>
          <w:bCs/>
        </w:rPr>
        <w:t xml:space="preserve">replay field</w:t>
      </w:r>
      <w:r>
        <w:t xml:space="preserve">, storing distributions of outcomes for the same intended write.</w:t>
      </w:r>
    </w:p>
    <w:p>
      <w:pPr>
        <w:pStyle w:val="FirstParagraph"/>
      </w:pPr>
      <w:r>
        <w:t xml:space="preserve">The conducting-polymer literature is especially useful for the conductance-fidelity and replay fields because it shows that morphology changes electrical relaxation behavior, and that those signatures can be made compact enough to model. The copper platform contributes the simpler but equally important charge–morphology–bridge relation.</w:t>
      </w:r>
      <w:r>
        <w:t xml:space="preserve"> </w:t>
      </w:r>
      <w:hyperlink r:id="rId46">
        <w:r>
          <w:rPr>
            <w:rStyle w:val="Hyperlink"/>
          </w:rPr>
          <w:t xml:space="preserve">[23]</w:t>
        </w:r>
      </w:hyperlink>
    </w:p>
    <w:bookmarkEnd w:id="51"/>
    <w:bookmarkEnd w:id="52"/>
    <w:bookmarkStart w:id="57" w:name="artifacts-risks-and-claim-boundaries"/>
    <w:p>
      <w:pPr>
        <w:pStyle w:val="Heading2"/>
      </w:pPr>
      <w:r>
        <w:t xml:space="preserve">Artifacts, Risks, and Claim Boundaries</w:t>
      </w:r>
    </w:p>
    <w:bookmarkStart w:id="53" w:name="concrete-artifacts-to-build-now"/>
    <w:p>
      <w:pPr>
        <w:pStyle w:val="Heading3"/>
      </w:pPr>
      <w:r>
        <w:t xml:space="preserve">Concrete artifacts to build now</w:t>
      </w:r>
    </w:p>
    <w:p>
      <w:pPr>
        <w:pStyle w:val="FirstParagraph"/>
      </w:pPr>
      <w:r>
        <w:t xml:space="preserve">The next artifact set should be small enough to finish and strict enough to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What it must contain</w:t>
            </w:r>
          </w:p>
        </w:tc>
      </w:tr>
      <w:tr>
        <w:tc>
          <w:tcPr/>
          <w:p>
            <w:pPr>
              <w:pStyle w:val="Compact"/>
            </w:pPr>
            <w:r>
              <w:rPr>
                <w:rStyle w:val="VerbatimChar"/>
              </w:rPr>
              <w:t xml:space="preserve">apparatus_spec.md</w:t>
            </w:r>
          </w:p>
        </w:tc>
        <w:tc>
          <w:tcPr/>
          <w:p>
            <w:pPr>
              <w:pStyle w:val="Compact"/>
            </w:pPr>
            <w:r>
              <w:t xml:space="preserve">cartridge drawings, materials, gap options, wiring, fluid path, cleaning SOP, safety interlocks</w:t>
            </w:r>
          </w:p>
        </w:tc>
      </w:tr>
      <w:tr>
        <w:tc>
          <w:tcPr/>
          <w:p>
            <w:pPr>
              <w:pStyle w:val="Compact"/>
            </w:pPr>
            <w:r>
              <w:rPr>
                <w:rStyle w:val="VerbatimChar"/>
              </w:rPr>
              <w:t xml:space="preserve">physical_adapter.schema.json</w:t>
            </w:r>
          </w:p>
        </w:tc>
        <w:tc>
          <w:tcPr/>
          <w:p>
            <w:pPr>
              <w:pStyle w:val="Compact"/>
            </w:pPr>
            <w:r>
              <w:t xml:space="preserve">chemistry profile ID, geometry profile ID, operator bindings, calibration surface references, safety limits</w:t>
            </w:r>
          </w:p>
        </w:tc>
      </w:tr>
      <w:tr>
        <w:tc>
          <w:tcPr/>
          <w:p>
            <w:pPr>
              <w:pStyle w:val="Compact"/>
            </w:pPr>
            <w:r>
              <w:rPr>
                <w:rStyle w:val="VerbatimChar"/>
              </w:rPr>
              <w:t xml:space="preserve">run_manifest.schema.json</w:t>
            </w:r>
          </w:p>
        </w:tc>
        <w:tc>
          <w:tcPr/>
          <w:p>
            <w:pPr>
              <w:pStyle w:val="Compact"/>
            </w:pPr>
            <w:r>
              <w:t xml:space="preserve">target, adapter version, cartridge ID, chemistry ID, schedule hash, timestamps, operator, environment IDs</w:t>
            </w:r>
          </w:p>
        </w:tc>
      </w:tr>
      <w:tr>
        <w:tc>
          <w:tcPr/>
          <w:p>
            <w:pPr>
              <w:pStyle w:val="Compact"/>
            </w:pPr>
            <w:r>
              <w:rPr>
                <w:rStyle w:val="VerbatimChar"/>
              </w:rPr>
              <w:t xml:space="preserve">physical_brush.schema.json</w:t>
            </w:r>
          </w:p>
        </w:tc>
        <w:tc>
          <w:tcPr/>
          <w:p>
            <w:pPr>
              <w:pStyle w:val="Compact"/>
            </w:pPr>
            <w:r>
              <w:t xml:space="preserve">extracted signature, target comparison, twin comparison, confidence, replay links, update eligibility</w:t>
            </w:r>
          </w:p>
        </w:tc>
      </w:tr>
      <w:tr>
        <w:tc>
          <w:tcPr/>
          <w:p>
            <w:pPr>
              <w:pStyle w:val="Compact"/>
            </w:pPr>
            <w:r>
              <w:rPr>
                <w:rStyle w:val="VerbatimChar"/>
              </w:rPr>
              <w:t xml:space="preserve">image_to_graph.py</w:t>
            </w:r>
          </w:p>
        </w:tc>
        <w:tc>
          <w:tcPr/>
          <w:p>
            <w:pPr>
              <w:pStyle w:val="Compact"/>
            </w:pPr>
            <w:r>
              <w:t xml:space="preserve">calibration, segmentation, skeletonization, width estimation, confidence scoring, artifact hashes</w:t>
            </w:r>
          </w:p>
        </w:tc>
      </w:tr>
      <w:tr>
        <w:tc>
          <w:tcPr/>
          <w:p>
            <w:pPr>
              <w:pStyle w:val="Compact"/>
            </w:pPr>
            <w:r>
              <w:rPr>
                <w:rStyle w:val="VerbatimChar"/>
              </w:rPr>
              <w:t xml:space="preserve">twin_compare.py</w:t>
            </w:r>
          </w:p>
        </w:tc>
        <w:tc>
          <w:tcPr/>
          <w:p>
            <w:pPr>
              <w:pStyle w:val="Compact"/>
            </w:pPr>
            <w:r>
              <w:t xml:space="preserve">target metrics, twin metrics, baseline metrics, PASS/HOLD/FAIL gate</w:t>
            </w:r>
          </w:p>
        </w:tc>
      </w:tr>
      <w:tr>
        <w:tc>
          <w:tcPr/>
          <w:p>
            <w:pPr>
              <w:pStyle w:val="Compact"/>
            </w:pPr>
            <w:r>
              <w:rPr>
                <w:rStyle w:val="VerbatimChar"/>
              </w:rPr>
              <w:t xml:space="preserve">validation_protocol.md</w:t>
            </w:r>
          </w:p>
        </w:tc>
        <w:tc>
          <w:tcPr/>
          <w:p>
            <w:pPr>
              <w:pStyle w:val="Compact"/>
            </w:pPr>
            <w:r>
              <w:t xml:space="preserve">preregistered stages, controls, exclusions, exit criteria</w:t>
            </w:r>
          </w:p>
        </w:tc>
      </w:tr>
      <w:tr>
        <w:tc>
          <w:tcPr/>
          <w:p>
            <w:pPr>
              <w:pStyle w:val="Compact"/>
            </w:pPr>
            <w:r>
              <w:rPr>
                <w:rStyle w:val="VerbatimChar"/>
              </w:rPr>
              <w:t xml:space="preserve">risk_register.csv</w:t>
            </w:r>
          </w:p>
        </w:tc>
        <w:tc>
          <w:tcPr/>
          <w:p>
            <w:pPr>
              <w:pStyle w:val="Compact"/>
            </w:pPr>
            <w:r>
              <w:t xml:space="preserve">live risks, mitigations, owner, review date, current claim status</w:t>
            </w:r>
          </w:p>
        </w:tc>
      </w:tr>
    </w:tbl>
    <w:p>
      <w:pPr>
        <w:pStyle w:val="BodyText"/>
      </w:pPr>
      <w:r>
        <w:t xml:space="preserve">A minimal physical-brush object should preserve both success and contradiction:</w:t>
      </w:r>
    </w:p>
    <w:p>
      <w:pPr>
        <w:pStyle w:val="SourceCode"/>
      </w:pPr>
      <w:r>
        <w:rPr>
          <w:rStyle w:val="VerbatimChar"/>
        </w:rPr>
        <w:t xml:space="preserve">{</w:t>
      </w:r>
      <w:r>
        <w:br/>
      </w:r>
      <w:r>
        <w:rPr>
          <w:rStyle w:val="VerbatimChar"/>
        </w:rPr>
        <w:t xml:space="preserve">  "brush_id": "brush_P0A_CU_0017",</w:t>
      </w:r>
      <w:r>
        <w:br/>
      </w:r>
      <w:r>
        <w:rPr>
          <w:rStyle w:val="VerbatimChar"/>
        </w:rPr>
        <w:t xml:space="preserve">  "status": "hold",</w:t>
      </w:r>
      <w:r>
        <w:br/>
      </w:r>
      <w:r>
        <w:rPr>
          <w:rStyle w:val="VerbatimChar"/>
        </w:rPr>
        <w:t xml:space="preserve">  "reason": "segmentation_electrical_disagreement",</w:t>
      </w:r>
      <w:r>
        <w:br/>
      </w:r>
      <w:r>
        <w:rPr>
          <w:rStyle w:val="VerbatimChar"/>
        </w:rPr>
        <w:t xml:space="preserve">  "target_id": "target_family_bridge_sparse_v1",</w:t>
      </w:r>
      <w:r>
        <w:br/>
      </w:r>
      <w:r>
        <w:rPr>
          <w:rStyle w:val="VerbatimChar"/>
        </w:rPr>
        <w:t xml:space="preserve">  "signature_id": "sig_P0A_CU_0017",</w:t>
      </w:r>
      <w:r>
        <w:br/>
      </w:r>
      <w:r>
        <w:rPr>
          <w:rStyle w:val="VerbatimChar"/>
        </w:rPr>
        <w:t xml:space="preserve">  "comparison": {</w:t>
      </w:r>
      <w:r>
        <w:br/>
      </w:r>
      <w:r>
        <w:rPr>
          <w:rStyle w:val="VerbatimChar"/>
        </w:rPr>
        <w:t xml:space="preserve">    "target_match": 0.81,</w:t>
      </w:r>
      <w:r>
        <w:br/>
      </w:r>
      <w:r>
        <w:rPr>
          <w:rStyle w:val="VerbatimChar"/>
        </w:rPr>
        <w:t xml:space="preserve">    "twin_match": 0.43,</w:t>
      </w:r>
      <w:r>
        <w:br/>
      </w:r>
      <w:r>
        <w:rPr>
          <w:rStyle w:val="VerbatimChar"/>
        </w:rPr>
        <w:t xml:space="preserve">    "baseline_match": 0.38</w:t>
      </w:r>
      <w:r>
        <w:br/>
      </w:r>
      <w:r>
        <w:rPr>
          <w:rStyle w:val="VerbatimChar"/>
        </w:rPr>
        <w:t xml:space="preserve">  },</w:t>
      </w:r>
      <w:r>
        <w:br/>
      </w:r>
      <w:r>
        <w:rPr>
          <w:rStyle w:val="VerbatimChar"/>
        </w:rPr>
        <w:t xml:space="preserve">  "confidence": {</w:t>
      </w:r>
      <w:r>
        <w:br/>
      </w:r>
      <w:r>
        <w:rPr>
          <w:rStyle w:val="VerbatimChar"/>
        </w:rPr>
        <w:t xml:space="preserve">    "segmentation": 0.74,</w:t>
      </w:r>
      <w:r>
        <w:br/>
      </w:r>
      <w:r>
        <w:rPr>
          <w:rStyle w:val="VerbatimChar"/>
        </w:rPr>
        <w:t xml:space="preserve">    "execution": 0.99</w:t>
      </w:r>
      <w:r>
        <w:br/>
      </w:r>
      <w:r>
        <w:rPr>
          <w:rStyle w:val="VerbatimChar"/>
        </w:rPr>
        <w:t xml:space="preserve">  },</w:t>
      </w:r>
      <w:r>
        <w:br/>
      </w:r>
      <w:r>
        <w:rPr>
          <w:rStyle w:val="VerbatimChar"/>
        </w:rPr>
        <w:t xml:space="preserve">  "eligible_to_update_priors": false</w:t>
      </w:r>
      <w:r>
        <w:br/>
      </w:r>
      <w:r>
        <w:rPr>
          <w:rStyle w:val="VerbatimChar"/>
        </w:rPr>
        <w:t xml:space="preserve">}</w:t>
      </w:r>
    </w:p>
    <w:p>
      <w:pPr>
        <w:pStyle w:val="FirstParagraph"/>
      </w:pPr>
      <w:r>
        <w:t xml:space="preserve">That structure directly enforces the kernel’s refusal to erase unresolved state. fileciteturn0file0</w:t>
      </w:r>
    </w:p>
    <w:bookmarkEnd w:id="53"/>
    <w:bookmarkStart w:id="54" w:name="risk-register"/>
    <w:p>
      <w:pPr>
        <w:pStyle w:val="Heading3"/>
      </w:pPr>
      <w:r>
        <w:t xml:space="preserve">Risk register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Early mitigation</w:t>
            </w:r>
          </w:p>
        </w:tc>
        <w:tc>
          <w:tcPr/>
          <w:p>
            <w:pPr>
              <w:pStyle w:val="Compact"/>
            </w:pPr>
            <w:r>
              <w:t xml:space="preserve">Claim status</w:t>
            </w:r>
          </w:p>
        </w:tc>
      </w:tr>
      <w:tr>
        <w:tc>
          <w:tcPr/>
          <w:p>
            <w:pPr>
              <w:pStyle w:val="Compact"/>
            </w:pPr>
            <w:r>
              <w:rPr>
                <w:b/>
                <w:bCs/>
              </w:rPr>
              <w:t xml:space="preserve">Equifinal endpoint</w:t>
            </w:r>
          </w:p>
        </w:tc>
        <w:tc>
          <w:tcPr/>
          <w:p>
            <w:pPr>
              <w:pStyle w:val="Compact"/>
            </w:pPr>
            <w:r>
              <w:t xml:space="preserve">same final shape from different histories</w:t>
            </w:r>
          </w:p>
        </w:tc>
        <w:tc>
          <w:tcPr/>
          <w:p>
            <w:pPr>
              <w:pStyle w:val="Compact"/>
            </w:pPr>
            <w:r>
              <w:t xml:space="preserve">compare endpoint-only against endpoint-plus-trace in held-out challenges</w:t>
            </w:r>
          </w:p>
        </w:tc>
        <w:tc>
          <w:tcPr/>
          <w:p>
            <w:pPr>
              <w:pStyle w:val="Compact"/>
            </w:pPr>
            <w:r>
              <w:rPr>
                <w:b/>
                <w:bCs/>
              </w:rPr>
              <w:t xml:space="preserve">HOLD</w:t>
            </w:r>
          </w:p>
        </w:tc>
      </w:tr>
      <w:tr>
        <w:tc>
          <w:tcPr/>
          <w:p>
            <w:pPr>
              <w:pStyle w:val="Compact"/>
            </w:pPr>
            <w:r>
              <w:rPr>
                <w:b/>
                <w:bCs/>
              </w:rPr>
              <w:t xml:space="preserve">Contact-resistance confound</w:t>
            </w:r>
          </w:p>
        </w:tc>
        <w:tc>
          <w:tcPr/>
          <w:p>
            <w:pPr>
              <w:pStyle w:val="Compact"/>
            </w:pPr>
            <w:r>
              <w:t xml:space="preserve">false conductance inference</w:t>
            </w:r>
          </w:p>
        </w:tc>
        <w:tc>
          <w:tcPr/>
          <w:p>
            <w:pPr>
              <w:pStyle w:val="Compact"/>
            </w:pPr>
            <w:r>
              <w:t xml:space="preserve">add four-wire measurement by Stage B/C</w:t>
            </w:r>
          </w:p>
        </w:tc>
        <w:tc>
          <w:tcPr/>
          <w:p>
            <w:pPr>
              <w:pStyle w:val="Compact"/>
            </w:pPr>
            <w:r>
              <w:rPr>
                <w:b/>
                <w:bCs/>
              </w:rPr>
              <w:t xml:space="preserve">Open</w:t>
            </w:r>
          </w:p>
        </w:tc>
      </w:tr>
      <w:tr>
        <w:tc>
          <w:tcPr/>
          <w:p>
            <w:pPr>
              <w:pStyle w:val="Compact"/>
            </w:pPr>
            <w:r>
              <w:rPr>
                <w:b/>
                <w:bCs/>
              </w:rPr>
              <w:t xml:space="preserve">Competing Faradaic reactions and bubbles</w:t>
            </w:r>
          </w:p>
        </w:tc>
        <w:tc>
          <w:tcPr/>
          <w:p>
            <w:pPr>
              <w:pStyle w:val="Compact"/>
            </w:pPr>
            <w:r>
              <w:t xml:space="preserve">morphology may reflect side reactions, not intended growth</w:t>
            </w:r>
          </w:p>
        </w:tc>
        <w:tc>
          <w:tcPr/>
          <w:p>
            <w:pPr>
              <w:pStyle w:val="Compact"/>
            </w:pPr>
            <w:r>
              <w:t xml:space="preserve">safe-window mapping in a characterization cell before branching runs</w:t>
            </w:r>
          </w:p>
        </w:tc>
        <w:tc>
          <w:tcPr/>
          <w:p>
            <w:pPr>
              <w:pStyle w:val="Compact"/>
            </w:pPr>
            <w:r>
              <w:rPr>
                <w:b/>
                <w:bCs/>
              </w:rPr>
              <w:t xml:space="preserve">Open</w:t>
            </w:r>
          </w:p>
        </w:tc>
      </w:tr>
      <w:tr>
        <w:tc>
          <w:tcPr/>
          <w:p>
            <w:pPr>
              <w:pStyle w:val="Compact"/>
            </w:pPr>
            <w:r>
              <w:rPr>
                <w:b/>
                <w:bCs/>
              </w:rPr>
              <w:t xml:space="preserve">Convection and evaporation drift</w:t>
            </w:r>
          </w:p>
        </w:tc>
        <w:tc>
          <w:tcPr/>
          <w:p>
            <w:pPr>
              <w:pStyle w:val="Compact"/>
            </w:pPr>
            <w:r>
              <w:t xml:space="preserve">breaks the quasi-2D assumption and shifts local transport</w:t>
            </w:r>
          </w:p>
        </w:tc>
        <w:tc>
          <w:tcPr/>
          <w:p>
            <w:pPr>
              <w:pStyle w:val="Compact"/>
            </w:pPr>
            <w:r>
              <w:t xml:space="preserve">thin gap, sealed cartridge, rest-state logging, environmental notes</w:t>
            </w:r>
          </w:p>
        </w:tc>
        <w:tc>
          <w:tcPr/>
          <w:p>
            <w:pPr>
              <w:pStyle w:val="Compact"/>
            </w:pPr>
            <w:r>
              <w:rPr>
                <w:b/>
                <w:bCs/>
              </w:rPr>
              <w:t xml:space="preserve">Open</w:t>
            </w:r>
          </w:p>
        </w:tc>
      </w:tr>
      <w:tr>
        <w:tc>
          <w:tcPr/>
          <w:p>
            <w:pPr>
              <w:pStyle w:val="Compact"/>
            </w:pPr>
            <w:r>
              <w:rPr>
                <w:b/>
                <w:bCs/>
              </w:rPr>
              <w:t xml:space="preserve">Uncontrolled bridge/short</w:t>
            </w:r>
          </w:p>
        </w:tc>
        <w:tc>
          <w:tcPr/>
          <w:p>
            <w:pPr>
              <w:pStyle w:val="Compact"/>
            </w:pPr>
            <w:r>
              <w:t xml:space="preserve">destroys interpretability and can damage electrodes</w:t>
            </w:r>
          </w:p>
        </w:tc>
        <w:tc>
          <w:tcPr/>
          <w:p>
            <w:pPr>
              <w:pStyle w:val="Compact"/>
            </w:pPr>
            <w:r>
              <w:t xml:space="preserve">pulse-charge caps, current compliance, stop conditions</w:t>
            </w:r>
          </w:p>
        </w:tc>
        <w:tc>
          <w:tcPr/>
          <w:p>
            <w:pPr>
              <w:pStyle w:val="Compact"/>
            </w:pPr>
            <w:r>
              <w:rPr>
                <w:b/>
                <w:bCs/>
              </w:rPr>
              <w:t xml:space="preserve">Controlled</w:t>
            </w:r>
          </w:p>
        </w:tc>
      </w:tr>
      <w:tr>
        <w:tc>
          <w:tcPr/>
          <w:p>
            <w:pPr>
              <w:pStyle w:val="Compact"/>
            </w:pPr>
            <w:r>
              <w:rPr>
                <w:b/>
                <w:bCs/>
              </w:rPr>
              <w:t xml:space="preserve">Segmentation collapse</w:t>
            </w:r>
          </w:p>
        </w:tc>
        <w:tc>
          <w:tcPr/>
          <w:p>
            <w:pPr>
              <w:pStyle w:val="Compact"/>
            </w:pPr>
            <w:r>
              <w:t xml:space="preserve">graph extraction becomes fiction</w:t>
            </w:r>
          </w:p>
        </w:tc>
        <w:tc>
          <w:tcPr/>
          <w:p>
            <w:pPr>
              <w:pStyle w:val="Compact"/>
            </w:pPr>
            <w:r>
              <w:t xml:space="preserve">fiducials, stable lighting, confidence scoring, manual audit subset</w:t>
            </w:r>
          </w:p>
        </w:tc>
        <w:tc>
          <w:tcPr/>
          <w:p>
            <w:pPr>
              <w:pStyle w:val="Compact"/>
            </w:pPr>
            <w:r>
              <w:rPr>
                <w:b/>
                <w:bCs/>
              </w:rPr>
              <w:t xml:space="preserve">Open</w:t>
            </w:r>
          </w:p>
        </w:tc>
      </w:tr>
      <w:tr>
        <w:tc>
          <w:tcPr/>
          <w:p>
            <w:pPr>
              <w:pStyle w:val="Compact"/>
            </w:pPr>
            <w:r>
              <w:rPr>
                <w:b/>
                <w:bCs/>
              </w:rPr>
              <w:t xml:space="preserve">Overfit twin</w:t>
            </w:r>
          </w:p>
        </w:tc>
        <w:tc>
          <w:tcPr/>
          <w:p>
            <w:pPr>
              <w:pStyle w:val="Compact"/>
            </w:pPr>
            <w:r>
              <w:t xml:space="preserve">apparent predictive success is illusory</w:t>
            </w:r>
          </w:p>
        </w:tc>
        <w:tc>
          <w:tcPr/>
          <w:p>
            <w:pPr>
              <w:pStyle w:val="Compact"/>
            </w:pPr>
            <w:r>
              <w:t xml:space="preserve">frozen held-out validation against declared baselines</w:t>
            </w:r>
          </w:p>
        </w:tc>
        <w:tc>
          <w:tcPr/>
          <w:p>
            <w:pPr>
              <w:pStyle w:val="Compact"/>
            </w:pPr>
            <w:r>
              <w:rPr>
                <w:b/>
                <w:bCs/>
              </w:rPr>
              <w:t xml:space="preserve">High priority</w:t>
            </w:r>
          </w:p>
        </w:tc>
      </w:tr>
      <w:tr>
        <w:tc>
          <w:tcPr/>
          <w:p>
            <w:pPr>
              <w:pStyle w:val="Compact"/>
            </w:pPr>
            <w:r>
              <w:rPr>
                <w:b/>
                <w:bCs/>
              </w:rPr>
              <w:t xml:space="preserve">False prune claim</w:t>
            </w:r>
          </w:p>
        </w:tc>
        <w:tc>
          <w:tcPr/>
          <w:p>
            <w:pPr>
              <w:pStyle w:val="Compact"/>
            </w:pPr>
            <w:r>
              <w:t xml:space="preserve">bulk strip mislabeled as selective rewrite</w:t>
            </w:r>
          </w:p>
        </w:tc>
        <w:tc>
          <w:tcPr/>
          <w:p>
            <w:pPr>
              <w:pStyle w:val="Compact"/>
            </w:pPr>
            <w:r>
              <w:t xml:space="preserve">separate logical prune, bulk strip, targeted strip classes</w:t>
            </w:r>
          </w:p>
        </w:tc>
        <w:tc>
          <w:tcPr/>
          <w:p>
            <w:pPr>
              <w:pStyle w:val="Compact"/>
            </w:pPr>
            <w:r>
              <w:rPr>
                <w:b/>
                <w:bCs/>
              </w:rPr>
              <w:t xml:space="preserve">HOLD</w:t>
            </w:r>
          </w:p>
        </w:tc>
      </w:tr>
      <w:tr>
        <w:tc>
          <w:tcPr/>
          <w:p>
            <w:pPr>
              <w:pStyle w:val="Compact"/>
            </w:pPr>
            <w:r>
              <w:rPr>
                <w:b/>
                <w:bCs/>
              </w:rPr>
              <w:t xml:space="preserve">Surrogate-to-CNT overclaim</w:t>
            </w:r>
          </w:p>
        </w:tc>
        <w:tc>
          <w:tcPr/>
          <w:p>
            <w:pPr>
              <w:pStyle w:val="Compact"/>
            </w:pPr>
            <w:r>
              <w:t xml:space="preserve">copper/polymer result misread as nanotube realization</w:t>
            </w:r>
          </w:p>
        </w:tc>
        <w:tc>
          <w:tcPr/>
          <w:p>
            <w:pPr>
              <w:pStyle w:val="Compact"/>
            </w:pPr>
            <w:r>
              <w:t xml:space="preserve">explicit claim boundary in every artifact and summary</w:t>
            </w:r>
          </w:p>
        </w:tc>
        <w:tc>
          <w:tcPr/>
          <w:p>
            <w:pPr>
              <w:pStyle w:val="Compact"/>
            </w:pPr>
            <w:r>
              <w:rPr>
                <w:b/>
                <w:bCs/>
              </w:rPr>
              <w:t xml:space="preserve">Prohibited</w:t>
            </w:r>
          </w:p>
        </w:tc>
      </w:tr>
      <w:tr>
        <w:tc>
          <w:tcPr/>
          <w:p>
            <w:pPr>
              <w:pStyle w:val="Compact"/>
            </w:pPr>
            <w:r>
              <w:rPr>
                <w:b/>
                <w:bCs/>
              </w:rPr>
              <w:t xml:space="preserve">Waste mismanagement</w:t>
            </w:r>
          </w:p>
        </w:tc>
        <w:tc>
          <w:tcPr/>
          <w:p>
            <w:pPr>
              <w:pStyle w:val="Compact"/>
            </w:pPr>
            <w:r>
              <w:t xml:space="preserve">environmental and regulatory risk</w:t>
            </w:r>
          </w:p>
        </w:tc>
        <w:tc>
          <w:tcPr/>
          <w:p>
            <w:pPr>
              <w:pStyle w:val="Compact"/>
            </w:pPr>
            <w:r>
              <w:t xml:space="preserve">cradle-to-grave SOP, state-rule check, labeled waste streams</w:t>
            </w:r>
          </w:p>
        </w:tc>
        <w:tc>
          <w:tcPr/>
          <w:p>
            <w:pPr>
              <w:pStyle w:val="Compact"/>
            </w:pPr>
            <w:r>
              <w:rPr>
                <w:b/>
                <w:bCs/>
              </w:rPr>
              <w:t xml:space="preserve">Mandatory control</w:t>
            </w:r>
          </w:p>
        </w:tc>
      </w:tr>
    </w:tbl>
    <w:p>
      <w:pPr>
        <w:pStyle w:val="BodyText"/>
      </w:pPr>
      <w:r>
        <w:t xml:space="preserve">The literature supports several of those risks directly. Metallic morphology can change sharply with operating regime and side reactions; charged interfaces can either suppress or amplify dendritic instability; and morphology-linked electrical behavior can be rich enough to mislead if the readout channel is under-instrumented. Those are reasons to structure the experiment tightly, not reasons to abandon it.</w:t>
      </w:r>
      <w:r>
        <w:t xml:space="preserve"> </w:t>
      </w:r>
      <w:hyperlink r:id="rId21">
        <w:r>
          <w:rPr>
            <w:rStyle w:val="Hyperlink"/>
          </w:rPr>
          <w:t xml:space="preserve">[24]</w:t>
        </w:r>
      </w:hyperlink>
    </w:p>
    <w:bookmarkEnd w:id="54"/>
    <w:bookmarkStart w:id="56" w:name="claim-boundaries"/>
    <w:p>
      <w:pPr>
        <w:pStyle w:val="Heading3"/>
      </w:pPr>
      <w:r>
        <w:t xml:space="preserve">Claim boundaries</w:t>
      </w:r>
    </w:p>
    <w:p>
      <w:pPr>
        <w:pStyle w:val="FirstParagraph"/>
      </w:pPr>
      <w:r>
        <w:t xml:space="preserve">The claim boundary for this document is intentionally narrow.</w:t>
      </w:r>
    </w:p>
    <w:p>
      <w:pPr>
        <w:pStyle w:val="BodyText"/>
      </w:pPr>
      <w:r>
        <w:t xml:space="preserve">CNTM is still the</w:t>
      </w:r>
      <w:r>
        <w:t xml:space="preserve"> </w:t>
      </w:r>
      <w:r>
        <w:rPr>
          <w:b/>
          <w:bCs/>
        </w:rPr>
        <w:t xml:space="preserve">software morphology and control architecture</w:t>
      </w:r>
      <w:r>
        <w:t xml:space="preserve"> </w:t>
      </w:r>
      <w:r>
        <w:t xml:space="preserve">described in the project kernel, not a proven physical nanotube-memory platform. fileciteturn0file0</w:t>
      </w:r>
    </w:p>
    <w:p>
      <w:pPr>
        <w:pStyle w:val="BodyText"/>
      </w:pPr>
      <w:r>
        <w:t xml:space="preserve">Phase Zero is a</w:t>
      </w:r>
      <w:r>
        <w:t xml:space="preserve"> </w:t>
      </w:r>
      <w:r>
        <w:rPr>
          <w:b/>
          <w:bCs/>
        </w:rPr>
        <w:t xml:space="preserve">surrogate electrochemical platform</w:t>
      </w:r>
      <w:r>
        <w:t xml:space="preserve"> </w:t>
      </w:r>
      <w:r>
        <w:t xml:space="preserve">whose purpose is to validate the control grammar, physical adapter, provenance discipline, image-to-graph extraction, electrical readout, and replay/association logic. Copper or conducting-polymer branching does</w:t>
      </w:r>
      <w:r>
        <w:t xml:space="preserve"> </w:t>
      </w:r>
      <w:r>
        <w:rPr>
          <w:b/>
          <w:bCs/>
        </w:rPr>
        <w:t xml:space="preserve">not</w:t>
      </w:r>
      <w:r>
        <w:t xml:space="preserve"> </w:t>
      </w:r>
      <w:r>
        <w:t xml:space="preserve">constitute CNT growth, CNT rewrite, CNT permanence, or a usable AI core-memory device.</w:t>
      </w:r>
      <w:r>
        <w:t xml:space="preserve"> </w:t>
      </w:r>
      <w:hyperlink r:id="rId21">
        <w:r>
          <w:rPr>
            <w:rStyle w:val="Hyperlink"/>
          </w:rPr>
          <w:t xml:space="preserve">[18]</w:t>
        </w:r>
      </w:hyperlink>
    </w:p>
    <w:p>
      <w:pPr>
        <w:pStyle w:val="BodyText"/>
      </w:pPr>
      <w:r>
        <w:t xml:space="preserve">“Recoverable process history” is limited, at this stage, to what can actually be reconstructed from the</w:t>
      </w:r>
      <w:r>
        <w:t xml:space="preserve"> </w:t>
      </w:r>
      <w:r>
        <w:rPr>
          <w:b/>
          <w:bCs/>
        </w:rPr>
        <w:t xml:space="preserve">combined evidence chain</w:t>
      </w:r>
      <w:r>
        <w:t xml:space="preserve"> </w:t>
      </w:r>
      <w:r>
        <w:t xml:space="preserve">of control manifest, time-resolved electrical trace, staged imaging, final morphology, and electrical readout. It must</w:t>
      </w:r>
      <w:r>
        <w:t xml:space="preserve"> </w:t>
      </w:r>
      <w:r>
        <w:rPr>
          <w:b/>
          <w:bCs/>
        </w:rPr>
        <w:t xml:space="preserve">not</w:t>
      </w:r>
      <w:r>
        <w:t xml:space="preserve"> </w:t>
      </w:r>
      <w:r>
        <w:t xml:space="preserve">be stated as morphology-only recovery unless the equifinality challenge stage is passed on held-out runs.</w:t>
      </w:r>
      <w:r>
        <w:t xml:space="preserve"> </w:t>
      </w:r>
      <w:hyperlink r:id="rId23">
        <w:r>
          <w:rPr>
            <w:rStyle w:val="Hyperlink"/>
          </w:rPr>
          <w:t xml:space="preserve">[21]</w:t>
        </w:r>
      </w:hyperlink>
    </w:p>
    <w:p>
      <w:pPr>
        <w:pStyle w:val="BodyText"/>
      </w:pPr>
      <w:r>
        <w:t xml:space="preserve">Any later CNT transition must move into a different experimental regime entirely: patterned catalyst deposition, temperature-controlled CVD, morphology characterization by microscopy and spectroscopy, and electrical contact characterization under an external nanofabrication capability. Recent CNT work continues to treat catalyst design, growth environment, and structural memory during growth as active engineering problems, which is precisely why Phase Zero should not pretend to have solved them.</w:t>
      </w:r>
      <w:r>
        <w:t xml:space="preserve"> </w:t>
      </w:r>
      <w:hyperlink r:id="rId55">
        <w:r>
          <w:rPr>
            <w:rStyle w:val="Hyperlink"/>
          </w:rPr>
          <w:t xml:space="preserve">[25]</w:t>
        </w:r>
      </w:hyperlink>
    </w:p>
    <w:p>
      <w:pPr>
        <w:pStyle w:val="BodyText"/>
      </w:pPr>
      <w:r>
        <w:t xml:space="preserve">The practical deliverable for Phase Zero is therefore not a “memory substrate.” It is a</w:t>
      </w:r>
      <w:r>
        <w:t xml:space="preserve"> </w:t>
      </w:r>
      <w:r>
        <w:rPr>
          <w:b/>
          <w:bCs/>
        </w:rPr>
        <w:t xml:space="preserve">bulletproof evidence chain</w:t>
      </w:r>
      <w:r>
        <w:t xml:space="preserve"> </w:t>
      </w:r>
      <w:r>
        <w:t xml:space="preserve">showing that a software-defined target can be compiled into bounded physical control, realized in a reproducible surrogate growth process, read back morphologically and electrically, compared to a falsifiable twin prediction, and conserved as a governed brush that changes the next run only through explicit evidence. That is the correct bridge to build first. fileciteturn0file0</w:t>
      </w:r>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[18]</w:t>
        </w:r>
      </w:hyperlink>
      <w:r>
        <w:t xml:space="preserve"> </w:t>
      </w:r>
      <w:hyperlink r:id="rId21">
        <w:r>
          <w:rPr>
            <w:rStyle w:val="Hyperlink"/>
          </w:rPr>
          <w:t xml:space="preserve">[24]</w:t>
        </w:r>
      </w:hyperlink>
      <w:r>
        <w:t xml:space="preserve"> </w:t>
      </w:r>
      <w:r>
        <w:t xml:space="preserve">https://arxiv.org/abs/2011.13281</w:t>
      </w:r>
    </w:p>
    <w:p>
      <w:pPr>
        <w:pStyle w:val="BodyText"/>
      </w:pPr>
      <w:hyperlink r:id="rId21">
        <w:r>
          <w:rPr>
            <w:rStyle w:val="Hyperlink"/>
          </w:rPr>
          <w:t xml:space="preserve">https://arxiv.org/abs/2011.13281</w:t>
        </w:r>
      </w:hyperlink>
    </w:p>
    <w:p>
      <w:pPr>
        <w:pStyle w:val="BodyText"/>
      </w:pPr>
      <w:hyperlink r:id="rId23">
        <w:r>
          <w:rPr>
            <w:rStyle w:val="Hyperlink"/>
          </w:rPr>
          <w:t xml:space="preserve">[5]</w:t>
        </w:r>
      </w:hyperlink>
      <w:r>
        <w:t xml:space="preserve"> </w:t>
      </w:r>
      <w:hyperlink r:id="rId23">
        <w:r>
          <w:rPr>
            <w:rStyle w:val="Hyperlink"/>
          </w:rPr>
          <w:t xml:space="preserve">[6]</w:t>
        </w:r>
      </w:hyperlink>
      <w:r>
        <w:t xml:space="preserve"> </w:t>
      </w:r>
      <w:hyperlink r:id="rId23">
        <w:r>
          <w:rPr>
            <w:rStyle w:val="Hyperlink"/>
          </w:rPr>
          <w:t xml:space="preserve">[21]</w:t>
        </w:r>
      </w:hyperlink>
      <w:r>
        <w:t xml:space="preserve"> </w:t>
      </w:r>
      <w:r>
        <w:t xml:space="preserve">https://arxiv.org/abs/2408.00660</w:t>
      </w:r>
    </w:p>
    <w:p>
      <w:pPr>
        <w:pStyle w:val="BodyText"/>
      </w:pPr>
      <w:hyperlink r:id="rId23">
        <w:r>
          <w:rPr>
            <w:rStyle w:val="Hyperlink"/>
          </w:rPr>
          <w:t xml:space="preserve">https://arxiv.org/abs/2408.00660</w:t>
        </w:r>
      </w:hyperlink>
    </w:p>
    <w:p>
      <w:pPr>
        <w:pStyle w:val="BodyText"/>
      </w:pPr>
      <w:hyperlink r:id="rId25">
        <w:r>
          <w:rPr>
            <w:rStyle w:val="Hyperlink"/>
          </w:rPr>
          <w:t xml:space="preserve">[7]</w:t>
        </w:r>
      </w:hyperlink>
      <w:r>
        <w:t xml:space="preserve"> </w:t>
      </w:r>
      <w:hyperlink r:id="rId25">
        <w:r>
          <w:rPr>
            <w:rStyle w:val="Hyperlink"/>
          </w:rPr>
          <w:t xml:space="preserve">[12]</w:t>
        </w:r>
      </w:hyperlink>
      <w:r>
        <w:t xml:space="preserve"> </w:t>
      </w:r>
      <w:hyperlink r:id="rId25">
        <w:r>
          <w:rPr>
            <w:rStyle w:val="Hyperlink"/>
          </w:rPr>
          <w:t xml:space="preserve">[19]</w:t>
        </w:r>
      </w:hyperlink>
      <w:r>
        <w:t xml:space="preserve"> </w:t>
      </w:r>
      <w:r>
        <w:t xml:space="preserve">https://arxiv.org/abs/2102.00784</w:t>
      </w:r>
    </w:p>
    <w:p>
      <w:pPr>
        <w:pStyle w:val="BodyText"/>
      </w:pPr>
      <w:hyperlink r:id="rId25">
        <w:r>
          <w:rPr>
            <w:rStyle w:val="Hyperlink"/>
          </w:rPr>
          <w:t xml:space="preserve">https://arxiv.org/abs/2102.00784</w:t>
        </w:r>
      </w:hyperlink>
    </w:p>
    <w:p>
      <w:pPr>
        <w:pStyle w:val="BodyText"/>
      </w:pPr>
      <w:hyperlink r:id="rId26">
        <w:r>
          <w:rPr>
            <w:rStyle w:val="Hyperlink"/>
          </w:rPr>
          <w:t xml:space="preserve">[8]</w:t>
        </w:r>
      </w:hyperlink>
      <w:r>
        <w:t xml:space="preserve"> </w:t>
      </w:r>
      <w:r>
        <w:t xml:space="preserve">https://arxiv.org/abs/2002.07391</w:t>
      </w:r>
    </w:p>
    <w:p>
      <w:pPr>
        <w:pStyle w:val="BodyText"/>
      </w:pPr>
      <w:hyperlink r:id="rId26">
        <w:r>
          <w:rPr>
            <w:rStyle w:val="Hyperlink"/>
          </w:rPr>
          <w:t xml:space="preserve">https://arxiv.org/abs/2002.07391</w:t>
        </w:r>
      </w:hyperlink>
    </w:p>
    <w:p>
      <w:pPr>
        <w:pStyle w:val="BodyText"/>
      </w:pPr>
      <w:hyperlink r:id="rId28">
        <w:r>
          <w:rPr>
            <w:rStyle w:val="Hyperlink"/>
          </w:rPr>
          <w:t xml:space="preserve">[9]</w:t>
        </w:r>
      </w:hyperlink>
      <w:r>
        <w:t xml:space="preserve"> </w:t>
      </w:r>
      <w:r>
        <w:t xml:space="preserve">https://www.osha.gov/electrical</w:t>
      </w:r>
    </w:p>
    <w:p>
      <w:pPr>
        <w:pStyle w:val="BodyText"/>
      </w:pPr>
      <w:hyperlink r:id="rId28">
        <w:r>
          <w:rPr>
            <w:rStyle w:val="Hyperlink"/>
          </w:rPr>
          <w:t xml:space="preserve">https://www.osha.gov/electrical</w:t>
        </w:r>
      </w:hyperlink>
    </w:p>
    <w:p>
      <w:pPr>
        <w:pStyle w:val="BodyText"/>
      </w:pPr>
      <w:hyperlink r:id="rId29">
        <w:r>
          <w:rPr>
            <w:rStyle w:val="Hyperlink"/>
          </w:rPr>
          <w:t xml:space="preserve">[10]</w:t>
        </w:r>
      </w:hyperlink>
      <w:r>
        <w:t xml:space="preserve"> </w:t>
      </w:r>
      <w:r>
        <w:t xml:space="preserve">https://www.epa.gov/hw/learn-basics-hazardous-waste</w:t>
      </w:r>
    </w:p>
    <w:p>
      <w:pPr>
        <w:pStyle w:val="BodyText"/>
      </w:pPr>
      <w:hyperlink r:id="rId29">
        <w:r>
          <w:rPr>
            <w:rStyle w:val="Hyperlink"/>
          </w:rPr>
          <w:t xml:space="preserve">https://www.epa.gov/hw/learn-basics-hazardous-waste</w:t>
        </w:r>
      </w:hyperlink>
    </w:p>
    <w:p>
      <w:pPr>
        <w:pStyle w:val="BodyText"/>
      </w:pPr>
      <w:hyperlink r:id="rId32">
        <w:r>
          <w:rPr>
            <w:rStyle w:val="Hyperlink"/>
          </w:rPr>
          <w:t xml:space="preserve">[11]</w:t>
        </w:r>
      </w:hyperlink>
      <w:r>
        <w:t xml:space="preserve"> </w:t>
      </w:r>
      <w:hyperlink r:id="rId32">
        <w:r>
          <w:rPr>
            <w:rStyle w:val="Hyperlink"/>
          </w:rPr>
          <w:t xml:space="preserve">[15]</w:t>
        </w:r>
      </w:hyperlink>
      <w:r>
        <w:t xml:space="preserve"> </w:t>
      </w:r>
      <w:hyperlink r:id="rId32">
        <w:r>
          <w:rPr>
            <w:rStyle w:val="Hyperlink"/>
          </w:rPr>
          <w:t xml:space="preserve">[16]</w:t>
        </w:r>
      </w:hyperlink>
      <w:r>
        <w:t xml:space="preserve"> </w:t>
      </w:r>
      <w:hyperlink r:id="rId32">
        <w:r>
          <w:rPr>
            <w:rStyle w:val="Hyperlink"/>
          </w:rPr>
          <w:t xml:space="preserve">[22]</w:t>
        </w:r>
      </w:hyperlink>
      <w:r>
        <w:t xml:space="preserve"> </w:t>
      </w:r>
      <w:r>
        <w:t xml:space="preserve">https://arxiv.org/abs/2107.03372</w:t>
      </w:r>
    </w:p>
    <w:p>
      <w:pPr>
        <w:pStyle w:val="BodyText"/>
      </w:pPr>
      <w:hyperlink r:id="rId32">
        <w:r>
          <w:rPr>
            <w:rStyle w:val="Hyperlink"/>
          </w:rPr>
          <w:t xml:space="preserve">https://arxiv.org/abs/2107.03372</w:t>
        </w:r>
      </w:hyperlink>
    </w:p>
    <w:p>
      <w:pPr>
        <w:pStyle w:val="BodyText"/>
      </w:pPr>
      <w:hyperlink r:id="rId34">
        <w:r>
          <w:rPr>
            <w:rStyle w:val="Hyperlink"/>
          </w:rPr>
          <w:t xml:space="preserve">[13]</w:t>
        </w:r>
      </w:hyperlink>
      <w:r>
        <w:t xml:space="preserve"> </w:t>
      </w:r>
      <w:r>
        <w:t xml:space="preserve">https://arxiv.org/abs/1505.05604</w:t>
      </w:r>
    </w:p>
    <w:p>
      <w:pPr>
        <w:pStyle w:val="BodyText"/>
      </w:pPr>
      <w:hyperlink r:id="rId34">
        <w:r>
          <w:rPr>
            <w:rStyle w:val="Hyperlink"/>
          </w:rPr>
          <w:t xml:space="preserve">https://arxiv.org/abs/1505.05604</w:t>
        </w:r>
      </w:hyperlink>
    </w:p>
    <w:p>
      <w:pPr>
        <w:pStyle w:val="BodyText"/>
      </w:pPr>
      <w:hyperlink r:id="rId35">
        <w:r>
          <w:rPr>
            <w:rStyle w:val="Hyperlink"/>
          </w:rPr>
          <w:t xml:space="preserve">[14]</w:t>
        </w:r>
      </w:hyperlink>
      <w:r>
        <w:t xml:space="preserve"> </w:t>
      </w:r>
      <w:r>
        <w:t xml:space="preserve">https://arxiv.org/abs/2504.05612</w:t>
      </w:r>
    </w:p>
    <w:p>
      <w:pPr>
        <w:pStyle w:val="BodyText"/>
      </w:pPr>
      <w:hyperlink r:id="rId35">
        <w:r>
          <w:rPr>
            <w:rStyle w:val="Hyperlink"/>
          </w:rPr>
          <w:t xml:space="preserve">https://arxiv.org/abs/2504.05612</w:t>
        </w:r>
      </w:hyperlink>
    </w:p>
    <w:p>
      <w:pPr>
        <w:pStyle w:val="BodyText"/>
      </w:pPr>
      <w:hyperlink r:id="rId39">
        <w:r>
          <w:rPr>
            <w:rStyle w:val="Hyperlink"/>
          </w:rPr>
          <w:t xml:space="preserve">[17]</w:t>
        </w:r>
      </w:hyperlink>
      <w:r>
        <w:t xml:space="preserve"> </w:t>
      </w:r>
      <w:r>
        <w:t xml:space="preserve">https://arxiv.org/abs/1411.6615</w:t>
      </w:r>
    </w:p>
    <w:p>
      <w:pPr>
        <w:pStyle w:val="BodyText"/>
      </w:pPr>
      <w:hyperlink r:id="rId39">
        <w:r>
          <w:rPr>
            <w:rStyle w:val="Hyperlink"/>
          </w:rPr>
          <w:t xml:space="preserve">https://arxiv.org/abs/1411.6615</w:t>
        </w:r>
      </w:hyperlink>
    </w:p>
    <w:p>
      <w:pPr>
        <w:pStyle w:val="BodyText"/>
      </w:pPr>
      <w:hyperlink r:id="rId46">
        <w:r>
          <w:rPr>
            <w:rStyle w:val="Hyperlink"/>
          </w:rPr>
          <w:t xml:space="preserve">[20]</w:t>
        </w:r>
      </w:hyperlink>
      <w:r>
        <w:t xml:space="preserve"> </w:t>
      </w:r>
      <w:hyperlink r:id="rId46">
        <w:r>
          <w:rPr>
            <w:rStyle w:val="Hyperlink"/>
          </w:rPr>
          <w:t xml:space="preserve">[23]</w:t>
        </w:r>
      </w:hyperlink>
      <w:r>
        <w:t xml:space="preserve"> </w:t>
      </w:r>
      <w:r>
        <w:t xml:space="preserve">https://arxiv.org/abs/2409.15842</w:t>
      </w:r>
    </w:p>
    <w:p>
      <w:pPr>
        <w:pStyle w:val="BodyText"/>
      </w:pPr>
      <w:hyperlink r:id="rId46">
        <w:r>
          <w:rPr>
            <w:rStyle w:val="Hyperlink"/>
          </w:rPr>
          <w:t xml:space="preserve">https://arxiv.org/abs/2409.15842</w:t>
        </w:r>
      </w:hyperlink>
    </w:p>
    <w:p>
      <w:pPr>
        <w:pStyle w:val="BodyText"/>
      </w:pPr>
      <w:hyperlink r:id="rId55">
        <w:r>
          <w:rPr>
            <w:rStyle w:val="Hyperlink"/>
          </w:rPr>
          <w:t xml:space="preserve">[25]</w:t>
        </w:r>
      </w:hyperlink>
      <w:r>
        <w:t xml:space="preserve"> </w:t>
      </w:r>
      <w:r>
        <w:t xml:space="preserve">https://arxiv.org/abs/2512.16151</w:t>
      </w:r>
    </w:p>
    <w:p>
      <w:pPr>
        <w:pStyle w:val="BodyText"/>
      </w:pPr>
      <w:hyperlink r:id="rId55">
        <w:r>
          <w:rPr>
            <w:rStyle w:val="Hyperlink"/>
          </w:rPr>
          <w:t xml:space="preserve">https://arxiv.org/abs/2512.16151</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rxiv.org/abs/1411.6615" TargetMode="External" /><Relationship Type="http://schemas.openxmlformats.org/officeDocument/2006/relationships/hyperlink" Id="rId34" Target="https://arxiv.org/abs/1505.05604" TargetMode="External" /><Relationship Type="http://schemas.openxmlformats.org/officeDocument/2006/relationships/hyperlink" Id="rId26" Target="https://arxiv.org/abs/2002.07391" TargetMode="External" /><Relationship Type="http://schemas.openxmlformats.org/officeDocument/2006/relationships/hyperlink" Id="rId21" Target="https://arxiv.org/abs/2011.13281" TargetMode="External" /><Relationship Type="http://schemas.openxmlformats.org/officeDocument/2006/relationships/hyperlink" Id="rId25" Target="https://arxiv.org/abs/2102.00784" TargetMode="External" /><Relationship Type="http://schemas.openxmlformats.org/officeDocument/2006/relationships/hyperlink" Id="rId32" Target="https://arxiv.org/abs/2107.03372" TargetMode="External" /><Relationship Type="http://schemas.openxmlformats.org/officeDocument/2006/relationships/hyperlink" Id="rId23" Target="https://arxiv.org/abs/2408.00660" TargetMode="External" /><Relationship Type="http://schemas.openxmlformats.org/officeDocument/2006/relationships/hyperlink" Id="rId46" Target="https://arxiv.org/abs/2409.15842" TargetMode="External" /><Relationship Type="http://schemas.openxmlformats.org/officeDocument/2006/relationships/hyperlink" Id="rId35" Target="https://arxiv.org/abs/2504.05612" TargetMode="External" /><Relationship Type="http://schemas.openxmlformats.org/officeDocument/2006/relationships/hyperlink" Id="rId55" Target="https://arxiv.org/abs/2512.16151" TargetMode="External" /><Relationship Type="http://schemas.openxmlformats.org/officeDocument/2006/relationships/hyperlink" Id="rId29" Target="https://www.epa.gov/hw/learn-basics-hazardous-waste" TargetMode="External" /><Relationship Type="http://schemas.openxmlformats.org/officeDocument/2006/relationships/hyperlink" Id="rId28" Target="https://www.osha.gov/electrical"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abs/1411.6615" TargetMode="External" /><Relationship Type="http://schemas.openxmlformats.org/officeDocument/2006/relationships/hyperlink" Id="rId34" Target="https://arxiv.org/abs/1505.05604" TargetMode="External" /><Relationship Type="http://schemas.openxmlformats.org/officeDocument/2006/relationships/hyperlink" Id="rId26" Target="https://arxiv.org/abs/2002.07391" TargetMode="External" /><Relationship Type="http://schemas.openxmlformats.org/officeDocument/2006/relationships/hyperlink" Id="rId21" Target="https://arxiv.org/abs/2011.13281" TargetMode="External" /><Relationship Type="http://schemas.openxmlformats.org/officeDocument/2006/relationships/hyperlink" Id="rId25" Target="https://arxiv.org/abs/2102.00784" TargetMode="External" /><Relationship Type="http://schemas.openxmlformats.org/officeDocument/2006/relationships/hyperlink" Id="rId32" Target="https://arxiv.org/abs/2107.03372" TargetMode="External" /><Relationship Type="http://schemas.openxmlformats.org/officeDocument/2006/relationships/hyperlink" Id="rId23" Target="https://arxiv.org/abs/2408.00660" TargetMode="External" /><Relationship Type="http://schemas.openxmlformats.org/officeDocument/2006/relationships/hyperlink" Id="rId46" Target="https://arxiv.org/abs/2409.15842" TargetMode="External" /><Relationship Type="http://schemas.openxmlformats.org/officeDocument/2006/relationships/hyperlink" Id="rId35" Target="https://arxiv.org/abs/2504.05612" TargetMode="External" /><Relationship Type="http://schemas.openxmlformats.org/officeDocument/2006/relationships/hyperlink" Id="rId55" Target="https://arxiv.org/abs/2512.16151" TargetMode="External" /><Relationship Type="http://schemas.openxmlformats.org/officeDocument/2006/relationships/hyperlink" Id="rId29" Target="https://www.epa.gov/hw/learn-basics-hazardous-waste" TargetMode="External" /><Relationship Type="http://schemas.openxmlformats.org/officeDocument/2006/relationships/hyperlink" Id="rId28" Target="https://www.osha.gov/electr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2026-06-13T14:03:05Z</dcterms:created>
  <dcterms:modified xsi:type="dcterms:W3CDTF">2026-06-13T14:03:05Z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