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CNTM Physical Realization</w:t>
        <w:br/>
        <w:t>Phase Zero — New Master</w:t>
      </w:r>
    </w:p>
    <w:p>
      <w:pPr>
        <w:jc w:val="center"/>
      </w:pPr>
      <w:r>
        <w:rPr>
          <w:i/>
          <w:sz w:val="24"/>
        </w:rPr>
        <w:t>Digital-Twin Gap Analysis, Surrogate Apparatus Engineering,</w:t>
        <w:br/>
        <w:t>Reduced-Order Twin, and Governed Validation Protocol</w:t>
      </w:r>
    </w:p>
    <w:p>
      <w:pPr>
        <w:jc w:val="center"/>
      </w:pPr>
      <w:r>
        <w:rPr>
          <w:sz w:val="20"/>
        </w:rPr>
        <w:t>New Master — June 2026. Consolidated from Phase 0 Assessment, Phase Zero Engineering Plan, Phase Zero refinements, and Precision Addendum. Sections 7 and 10 include Quick Reference tables, uniform threshold disclaimers on all numerical cutoffs and run-count windows, and implementation detail in Appendices A and B.</w:t>
      </w:r>
    </w:p>
    <w:p>
      <w:r>
        <w:br w:type="page"/>
      </w:r>
    </w:p>
    <w:p>
      <w:pPr>
        <w:pStyle w:val="Heading1"/>
      </w:pPr>
      <w:r>
        <w:t>Contents</w:t>
      </w:r>
    </w:p>
    <w:p>
      <w:r>
        <w:rPr>
          <w:b w:val="0"/>
          <w:i w:val="0"/>
        </w:rPr>
        <w:t>1. Executive Summary</w:t>
      </w:r>
    </w:p>
    <w:p>
      <w:r>
        <w:rPr>
          <w:b w:val="0"/>
          <w:i w:val="0"/>
        </w:rPr>
        <w:t>2. Claim Boundary and Governing Constraints</w:t>
      </w:r>
    </w:p>
    <w:p>
      <w:r>
        <w:rPr>
          <w:b w:val="0"/>
          <w:i w:val="0"/>
        </w:rPr>
        <w:t>3. Gap Between Simulator and Physical Twin</w:t>
      </w:r>
    </w:p>
    <w:p>
      <w:r>
        <w:rPr>
          <w:b w:val="0"/>
          <w:i w:val="0"/>
        </w:rPr>
        <w:t>4. Phase Zero Physical Platform</w:t>
      </w:r>
    </w:p>
    <w:p>
      <w:r>
        <w:rPr>
          <w:b w:val="0"/>
          <w:i w:val="0"/>
        </w:rPr>
        <w:t>5. Surrogate Apparatus Specification</w:t>
      </w:r>
    </w:p>
    <w:p>
      <w:r>
        <w:rPr>
          <w:b w:val="0"/>
          <w:i w:val="0"/>
        </w:rPr>
        <w:t>6. Physical Adapter and Operator Mapping</w:t>
      </w:r>
    </w:p>
    <w:p>
      <w:r>
        <w:rPr>
          <w:b w:val="0"/>
          <w:i w:val="0"/>
        </w:rPr>
        <w:t>7. Reduced-Order Digital Twin (see §7.0 Quick Reference)</w:t>
      </w:r>
    </w:p>
    <w:p>
      <w:r>
        <w:rPr>
          <w:b w:val="0"/>
          <w:i w:val="0"/>
        </w:rPr>
        <w:t>8. Write–Read–Compare Evidence Loop</w:t>
      </w:r>
    </w:p>
    <w:p>
      <w:r>
        <w:rPr>
          <w:b w:val="0"/>
          <w:i w:val="0"/>
        </w:rPr>
        <w:t>9. Association Fields and Brush Governance</w:t>
      </w:r>
    </w:p>
    <w:p>
      <w:r>
        <w:rPr>
          <w:b w:val="0"/>
          <w:i w:val="0"/>
        </w:rPr>
        <w:t>10. Shadow Retrain and Promotion Workflow (see §10.0 Quick Reference)</w:t>
      </w:r>
    </w:p>
    <w:p>
      <w:r>
        <w:rPr>
          <w:b w:val="0"/>
          <w:i w:val="0"/>
        </w:rPr>
        <w:t>11. Run-Time Diagnostics and Risk Thresholds</w:t>
      </w:r>
    </w:p>
    <w:p>
      <w:r>
        <w:rPr>
          <w:b w:val="0"/>
          <w:i w:val="0"/>
        </w:rPr>
        <w:t>12. Validation Stages and Exit Criteria</w:t>
      </w:r>
    </w:p>
    <w:p>
      <w:r>
        <w:rPr>
          <w:b w:val="0"/>
          <w:i w:val="0"/>
        </w:rPr>
        <w:t>13. Artifacts and Schemas</w:t>
      </w:r>
    </w:p>
    <w:p>
      <w:r>
        <w:rPr>
          <w:b w:val="0"/>
          <w:i w:val="0"/>
        </w:rPr>
        <w:t>14. Risk Register</w:t>
      </w:r>
    </w:p>
    <w:p>
      <w:r>
        <w:rPr>
          <w:b w:val="0"/>
          <w:i w:val="0"/>
        </w:rPr>
        <w:t>15. Transition Path Toward CNT Realization</w:t>
      </w:r>
    </w:p>
    <w:p>
      <w:r>
        <w:rPr>
          <w:b w:val="0"/>
          <w:i w:val="0"/>
        </w:rPr>
        <w:t>16. Phase Zero Decision</w:t>
      </w:r>
    </w:p>
    <w:p>
      <w:r>
        <w:rPr>
          <w:b w:val="0"/>
          <w:i w:val="0"/>
        </w:rPr>
        <w:t>17. Appendices (implementation detail)</w:t>
      </w:r>
    </w:p>
    <w:p>
      <w:r>
        <w:rPr>
          <w:b w:val="0"/>
          <w:i w:val="0"/>
        </w:rPr>
        <w:t>18. References</w:t>
      </w:r>
    </w:p>
    <w:p>
      <w:r>
        <w:br w:type="page"/>
      </w:r>
    </w:p>
    <w:p>
      <w:pPr>
        <w:pStyle w:val="Heading1"/>
      </w:pPr>
      <w:r>
        <w:t>1. Executive Summary</w:t>
      </w:r>
    </w:p>
    <w:p>
      <w:r>
        <w:rPr>
          <w:b w:val="0"/>
          <w:i w:val="0"/>
        </w:rPr>
        <w:t>CNTM is presently a morphology-memory simulation workbench, not yet a physical digital twin. It already contains discrete local growth grammar, finite-energy constraints, morphology graphs, simulated Kirchhoff conductance, deterministic replay testing, perturbation analysis, basin signatures, evidence hashes, and initial Understanding Field integration. The principal missing element is not merely physical fabrication: it is a calibrated causal translation layer connecting each simulated operator to a measurable physical control variable and each simulated state to a physical observable.</w:t>
      </w:r>
    </w:p>
    <w:p>
      <w:r>
        <w:rPr>
          <w:b/>
          <w:i w:val="0"/>
        </w:rPr>
        <w:t>The immediate objective should therefore not be “grow CNT memory.” It should be:</w:t>
      </w:r>
    </w:p>
    <w:p>
      <w:r>
        <w:rPr>
          <w:b w:val="0"/>
          <w:i/>
        </w:rPr>
        <w:t>Demonstrate that a controlled physical branching process can be written, measured, reconstructed, compared with a target, and used to improve the next physical run.</w:t>
      </w:r>
    </w:p>
    <w:p>
      <w:r>
        <w:rPr>
          <w:b w:val="0"/>
          <w:i w:val="0"/>
        </w:rPr>
        <w:t>That is the minimum experimentally defensible reading-to-writing loop. Phase Zero success is not a memory chip; it is a complete, inspectable physical evidence chain showing that software specified the intended morphology or electrical target, physical controls were executed as logged, a material structure formed, its morphology and conductance were measured, the twin made a falsifiable prediction, error was quantified, uncertainty was preserved, the run became a governed brush, and the next control decision changed because of accumulated evidence.</w:t>
      </w:r>
    </w:p>
    <w:p>
      <w:r>
        <w:rPr>
          <w:b w:val="0"/>
          <w:i w:val="0"/>
        </w:rPr>
        <w:t>The recommended Phase Zero physical platform is a transparent, low-voltage, quasi-two-dimensional electrochemical growth cell producing metallic or conducting-polymer dendrites between patterned electrodes. This platform is not CNTM’s final substrate. It is an instrumented surrogate used to validate the control architecture, morphology descriptors, conductance model, replay logic, association-field learning, and simulation-to-physical comparison protocol before attempting CVD nanotube growth.</w:t>
      </w:r>
    </w:p>
    <w:p>
      <w:pPr>
        <w:pStyle w:val="Heading1"/>
      </w:pPr>
      <w:r>
        <w:t>2. Claim Boundary and Governing Constraints</w:t>
      </w:r>
    </w:p>
    <w:p>
      <w:r>
        <w:rPr>
          <w:b w:val="0"/>
          <w:i w:val="0"/>
        </w:rPr>
        <w:t>The governing project constraints remain fixed throughout this document. CNTM remains a software morphology simulator. Phase Zero remains a surrogate electrochemical validation platform. HOLD remains a first-class outcome instead of being smoothed away. The work must stay artifact-first with no consciousness, CNT-production, or memory-device overclaims.</w:t>
      </w:r>
    </w:p>
    <w:p>
      <w:pPr>
        <w:pStyle w:val="Heading2"/>
      </w:pPr>
      <w:r>
        <w:t>2.1 What Currently Exists</w:t>
      </w:r>
    </w:p>
    <w:p>
      <w:r>
        <w:rPr>
          <w:b w:val="0"/>
          <w:i w:val="0"/>
        </w:rPr>
        <w:t>The current CNTM software can generate graph-like morphology under bounded local rules and calculate structural and electrical proxies. It can test whether identical initial conditions reproduce identical simulated structures; whether changes in local energy or branching rules alter morphology; whether morphology changes simulated terminal conductance; whether perturbations leave recoverable structural signatures; whether pruning preserves or destroys useful paths; and whether prior run outcomes can modulate later simulated decisions. These are software results.</w:t>
      </w:r>
    </w:p>
    <w:p>
      <w:pPr>
        <w:pStyle w:val="Heading2"/>
      </w:pPr>
      <w:r>
        <w:t>2.2 What Has Not Yet Been Demonstrated</w:t>
      </w:r>
    </w:p>
    <w:p>
      <w:pPr>
        <w:pStyle w:val="ListBullet"/>
      </w:pPr>
      <w:r>
        <w:t>A physical structure can be generated from a CNTM target.</w:t>
      </w:r>
    </w:p>
    <w:p>
      <w:pPr>
        <w:pStyle w:val="ListBullet"/>
      </w:pPr>
      <w:r>
        <w:t>A physical growth process follows the current discrete growth rules.</w:t>
      </w:r>
    </w:p>
    <w:p>
      <w:pPr>
        <w:pStyle w:val="ListBullet"/>
      </w:pPr>
      <w:r>
        <w:t>Simulated conductance predicts physical conductance.</w:t>
      </w:r>
    </w:p>
    <w:p>
      <w:pPr>
        <w:pStyle w:val="ListBullet"/>
      </w:pPr>
      <w:r>
        <w:t>A physical morphology preserves uniquely recoverable process history.</w:t>
      </w:r>
    </w:p>
    <w:p>
      <w:pPr>
        <w:pStyle w:val="ListBullet"/>
      </w:pPr>
      <w:r>
        <w:t>An MCVA or SymLan address remains stable across imaging instruments.</w:t>
      </w:r>
    </w:p>
    <w:p>
      <w:pPr>
        <w:pStyle w:val="ListBullet"/>
      </w:pPr>
      <w:r>
        <w:t>A structure can be physically rewritten without loss of address continuity.</w:t>
      </w:r>
    </w:p>
    <w:p>
      <w:pPr>
        <w:pStyle w:val="ListBullet"/>
      </w:pPr>
      <w:r>
        <w:t>CNT growth can be directly controlled at the branch level.</w:t>
      </w:r>
    </w:p>
    <w:p>
      <w:pPr>
        <w:pStyle w:val="ListBullet"/>
      </w:pPr>
      <w:r>
        <w:t>Physical morphology can function as durable AI core memory.</w:t>
      </w:r>
    </w:p>
    <w:p>
      <w:pPr>
        <w:pStyle w:val="ListBullet"/>
      </w:pPr>
      <w:r>
        <w:t>The physical system provides useful storage density, endurance, latency, or error rates.</w:t>
      </w:r>
    </w:p>
    <w:p>
      <w:r>
        <w:rPr>
          <w:b w:val="0"/>
          <w:i w:val="0"/>
        </w:rPr>
        <w:t>These remain proposed research questions.</w:t>
      </w:r>
    </w:p>
    <w:p>
      <w:pPr>
        <w:pStyle w:val="Heading2"/>
      </w:pPr>
      <w:r>
        <w:t>2.3 What Phase Zero May Legitimately Establish</w:t>
      </w:r>
    </w:p>
    <w:p>
      <w:r>
        <w:rPr>
          <w:b w:val="0"/>
          <w:i w:val="0"/>
        </w:rPr>
        <w:t>A successful Phase Zero may support the narrower claim: a bounded physical branching process can be controlled by a software-defined stimulus schedule, captured as a morphology-plus-conductance artifact, compared against a digital model, and used as formation-bearing evidence for subsequent control decisions.</w:t>
      </w:r>
    </w:p>
    <w:p>
      <w:r>
        <w:rPr>
          <w:b w:val="0"/>
          <w:i w:val="0"/>
        </w:rPr>
        <w:t>It would not establish CNT memory, semiconductor readiness, AI cognition in matter, or commercial nonvolatile memory.</w:t>
      </w:r>
    </w:p>
    <w:p>
      <w:r>
        <w:rPr>
          <w:b w:val="0"/>
          <w:i w:val="0"/>
        </w:rPr>
        <w:t>“Recoverable process history” is limited, at this stage, to what can actually be reconstructed from the combined evidence chain of control manifest, time-resolved electrical trace, staged imaging, final morphology, and electrical readout. It must not be stated as morphology-only recovery unless the equifinality challenge stage is passed on held-out runs.</w:t>
      </w:r>
    </w:p>
    <w:p>
      <w:pPr>
        <w:pStyle w:val="Heading1"/>
      </w:pPr>
      <w:r>
        <w:t>3. Gap Between Simulator and Physical Twin</w:t>
      </w:r>
    </w:p>
    <w:p>
      <w:pPr>
        <w:pStyle w:val="Heading2"/>
      </w:pPr>
      <w:r>
        <w:t>3.1 Operator Ontology Versus Physical State Variables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D5E8F0" w:val="clear"/>
          </w:tcPr>
          <w:p>
            <w:r>
              <w:rPr>
                <w:b/>
              </w:rPr>
              <w:t>CNTM Operator</w:t>
            </w:r>
          </w:p>
        </w:tc>
        <w:tc>
          <w:tcPr>
            <w:tcW w:type="dxa" w:w="2592"/>
            <w:shd w:fill="D5E8F0" w:val="clear"/>
          </w:tcPr>
          <w:p>
            <w:r>
              <w:rPr>
                <w:b/>
              </w:rPr>
              <w:t>Simulated Meaning</w:t>
            </w:r>
          </w:p>
        </w:tc>
        <w:tc>
          <w:tcPr>
            <w:tcW w:type="dxa" w:w="5040"/>
            <w:shd w:fill="D5E8F0" w:val="clear"/>
          </w:tcPr>
          <w:p>
            <w:r>
              <w:rPr>
                <w:b/>
              </w:rPr>
              <w:t>Required Physical Interpretation</w:t>
            </w:r>
          </w:p>
        </w:tc>
      </w:tr>
      <w:tr>
        <w:tc>
          <w:tcPr>
            <w:tcW w:type="dxa" w:w="1728"/>
          </w:tcPr>
          <w:p>
            <w:r>
              <w:t>EXTEND</w:t>
            </w:r>
          </w:p>
        </w:tc>
        <w:tc>
          <w:tcPr>
            <w:tcW w:type="dxa" w:w="2592"/>
          </w:tcPr>
          <w:p>
            <w:r>
              <w:t>Add a segment or node</w:t>
            </w:r>
          </w:p>
        </w:tc>
        <w:tc>
          <w:tcPr>
            <w:tcW w:type="dxa" w:w="5040"/>
          </w:tcPr>
          <w:p>
            <w:r>
              <w:t>Local deposition, polymerization, crystallization, or conductive conversion</w:t>
            </w:r>
          </w:p>
        </w:tc>
      </w:tr>
      <w:tr>
        <w:tc>
          <w:tcPr>
            <w:tcW w:type="dxa" w:w="1728"/>
          </w:tcPr>
          <w:p>
            <w:r>
              <w:t>BIFURCATE</w:t>
            </w:r>
          </w:p>
        </w:tc>
        <w:tc>
          <w:tcPr>
            <w:tcW w:type="dxa" w:w="2592"/>
          </w:tcPr>
          <w:p>
            <w:r>
              <w:t>Create continuations</w:t>
            </w:r>
          </w:p>
        </w:tc>
        <w:tc>
          <w:tcPr>
            <w:tcW w:type="dxa" w:w="5040"/>
          </w:tcPr>
          <w:p>
            <w:r>
              <w:t>Tip splitting, competing nucleation, or field/concentration instability</w:t>
            </w:r>
          </w:p>
        </w:tc>
      </w:tr>
      <w:tr>
        <w:tc>
          <w:tcPr>
            <w:tcW w:type="dxa" w:w="1728"/>
          </w:tcPr>
          <w:p>
            <w:r>
              <w:t>SENSE</w:t>
            </w:r>
          </w:p>
        </w:tc>
        <w:tc>
          <w:tcPr>
            <w:tcW w:type="dxa" w:w="2592"/>
          </w:tcPr>
          <w:p>
            <w:r>
              <w:t>Inspect neighboring state</w:t>
            </w:r>
          </w:p>
        </w:tc>
        <w:tc>
          <w:tcPr>
            <w:tcW w:type="dxa" w:w="5040"/>
          </w:tcPr>
          <w:p>
            <w:r>
              <w:t>Measure voltage, current, impedance, optical growth front, or concentration proxy</w:t>
            </w:r>
          </w:p>
        </w:tc>
      </w:tr>
      <w:tr>
        <w:tc>
          <w:tcPr>
            <w:tcW w:type="dxa" w:w="1728"/>
          </w:tcPr>
          <w:p>
            <w:r>
              <w:t>MAINTAIN</w:t>
            </w:r>
          </w:p>
        </w:tc>
        <w:tc>
          <w:tcPr>
            <w:tcW w:type="dxa" w:w="2592"/>
          </w:tcPr>
          <w:p>
            <w:r>
              <w:t>Preserve an established path</w:t>
            </w:r>
          </w:p>
        </w:tc>
        <w:tc>
          <w:tcPr>
            <w:tcW w:type="dxa" w:w="5040"/>
          </w:tcPr>
          <w:p>
            <w:r>
              <w:t>Sub-threshold bias, stabilize chemistry, anneal, or passivate</w:t>
            </w:r>
          </w:p>
        </w:tc>
      </w:tr>
      <w:tr>
        <w:tc>
          <w:tcPr>
            <w:tcW w:type="dxa" w:w="1728"/>
          </w:tcPr>
          <w:p>
            <w:r>
              <w:t>RESTRICT</w:t>
            </w:r>
          </w:p>
        </w:tc>
        <w:tc>
          <w:tcPr>
            <w:tcW w:type="dxa" w:w="2592"/>
          </w:tcPr>
          <w:p>
            <w:r>
              <w:t>Prevent growth in a region</w:t>
            </w:r>
          </w:p>
        </w:tc>
        <w:tc>
          <w:tcPr>
            <w:tcW w:type="dxa" w:w="5040"/>
          </w:tcPr>
          <w:p>
            <w:r>
              <w:t>Remove field, mask, alter concentration, or impose geometric boundary</w:t>
            </w:r>
          </w:p>
        </w:tc>
      </w:tr>
      <w:tr>
        <w:tc>
          <w:tcPr>
            <w:tcW w:type="dxa" w:w="1728"/>
          </w:tcPr>
          <w:p>
            <w:r>
              <w:t>PRUNE</w:t>
            </w:r>
          </w:p>
        </w:tc>
        <w:tc>
          <w:tcPr>
            <w:tcW w:type="dxa" w:w="2592"/>
          </w:tcPr>
          <w:p>
            <w:r>
              <w:t>Remove or deactivate a path</w:t>
            </w:r>
          </w:p>
        </w:tc>
        <w:tc>
          <w:tcPr>
            <w:tcW w:type="dxa" w:w="5040"/>
          </w:tcPr>
          <w:p>
            <w:r>
              <w:t>Reverse deposition, dissolution, ablation, etching, or logical exclusion</w:t>
            </w:r>
          </w:p>
        </w:tc>
      </w:tr>
      <w:tr>
        <w:tc>
          <w:tcPr>
            <w:tcW w:type="dxa" w:w="1728"/>
          </w:tcPr>
          <w:p>
            <w:r>
              <w:t>HOLD</w:t>
            </w:r>
          </w:p>
        </w:tc>
        <w:tc>
          <w:tcPr>
            <w:tcW w:type="dxa" w:w="2592"/>
          </w:tcPr>
          <w:p>
            <w:r>
              <w:t>Preserve unresolved state</w:t>
            </w:r>
          </w:p>
        </w:tc>
        <w:tc>
          <w:tcPr>
            <w:tcW w:type="dxa" w:w="5040"/>
          </w:tcPr>
          <w:p>
            <w:r>
              <w:t>Stop stimulus while retaining sample, data, and process state without forced classification</w:t>
            </w:r>
          </w:p>
        </w:tc>
      </w:tr>
    </w:tbl>
    <w:p/>
    <w:p>
      <w:r>
        <w:rPr>
          <w:b w:val="0"/>
          <w:i w:val="0"/>
        </w:rPr>
        <w:t>The digital twin cannot be considered predictive until these mappings are parameterized rather than metaphorical.</w:t>
      </w:r>
    </w:p>
    <w:p>
      <w:pPr>
        <w:pStyle w:val="Heading2"/>
      </w:pPr>
      <w:r>
        <w:t>3.2 Missing Coupled Physics</w:t>
      </w:r>
    </w:p>
    <w:p>
      <w:r>
        <w:rPr>
          <w:b w:val="0"/>
          <w:i w:val="0"/>
        </w:rPr>
        <w:t>A credible first physical model requires at least: electric-potential distribution; ionic or precursor concentration; transport by diffusion and migration; local reaction or deposition rate; nucleation probability; interface growth; local conductivity; temperature where relevant; electrode and boundary geometry; stochastic variation; and time-dependent control inputs.</w:t>
      </w:r>
    </w:p>
    <w:p>
      <w:r>
        <w:rPr>
          <w:b w:val="0"/>
          <w:i w:val="0"/>
        </w:rPr>
        <w:t>The existing Natural Math simulator should remain the control grammar and morphology abstraction, while an additional reduced-order field-coupled model supplies physical dynamics. Replacing Natural Math with a continuum model would flatten the architecture. Treating Natural Math alone as quantitative electrochemistry would overclaim it. The two should be coupled.</w:t>
      </w:r>
    </w:p>
    <w:p>
      <w:pPr>
        <w:pStyle w:val="Heading2"/>
      </w:pPr>
      <w:r>
        <w:t>3.3 Missing Calibration</w:t>
      </w:r>
    </w:p>
    <w:p>
      <w:r>
        <w:rPr>
          <w:b w:val="0"/>
          <w:i w:val="0"/>
        </w:rPr>
        <w:t>The following functions must be learned experimentally:</w:t>
      </w:r>
    </w:p>
    <w:p>
      <w:pPr>
        <w:pStyle w:val="ListBullet"/>
      </w:pPr>
      <w:r>
        <w:t>Applied waveform → local field</w:t>
      </w:r>
    </w:p>
    <w:p>
      <w:pPr>
        <w:pStyle w:val="ListBullet"/>
      </w:pPr>
      <w:r>
        <w:t>Field and concentration → growth-front velocity</w:t>
      </w:r>
    </w:p>
    <w:p>
      <w:pPr>
        <w:pStyle w:val="ListBullet"/>
      </w:pPr>
      <w:r>
        <w:t>Waveform and geometry → branching probability</w:t>
      </w:r>
    </w:p>
    <w:p>
      <w:pPr>
        <w:pStyle w:val="ListBullet"/>
      </w:pPr>
      <w:r>
        <w:t>Branch width and composition → segment resistance</w:t>
      </w:r>
    </w:p>
    <w:p>
      <w:pPr>
        <w:pStyle w:val="ListBullet"/>
      </w:pPr>
      <w:r>
        <w:t>Junction geometry → junction resistance</w:t>
      </w:r>
    </w:p>
    <w:p>
      <w:pPr>
        <w:pStyle w:val="ListBullet"/>
      </w:pPr>
      <w:r>
        <w:t>Reverse waveform → dissolution or pruning rate</w:t>
      </w:r>
    </w:p>
    <w:p>
      <w:pPr>
        <w:pStyle w:val="ListBullet"/>
      </w:pPr>
      <w:r>
        <w:t>Rest period → relaxation, diffusion recovery, or morphology change</w:t>
      </w:r>
    </w:p>
    <w:p>
      <w:pPr>
        <w:pStyle w:val="ListBullet"/>
      </w:pPr>
      <w:r>
        <w:t>Optical morphology → graph extraction</w:t>
      </w:r>
    </w:p>
    <w:p>
      <w:pPr>
        <w:pStyle w:val="ListBullet"/>
      </w:pPr>
      <w:r>
        <w:t>Graph extraction → MCVA descriptor</w:t>
      </w:r>
    </w:p>
    <w:p>
      <w:pPr>
        <w:pStyle w:val="ListBullet"/>
      </w:pPr>
      <w:r>
        <w:t>MCVA descriptor plus electrical trace → stable physical address</w:t>
      </w:r>
    </w:p>
    <w:p>
      <w:pPr>
        <w:pStyle w:val="Heading2"/>
      </w:pPr>
      <w:r>
        <w:t>3.4 Missing Uncertainty Model</w:t>
      </w:r>
    </w:p>
    <w:p>
      <w:r>
        <w:rPr>
          <w:b w:val="0"/>
          <w:i w:val="0"/>
        </w:rPr>
        <w:t>Physical growth will not be bitwise deterministic. The twin must distinguish deterministic control state, stochastic physical realization, measurement uncertainty, extraction uncertainty, and genuine model error. A physical replay target should be defined as a tolerance region or morphology family rather than exact pixel identity.</w:t>
      </w:r>
    </w:p>
    <w:p>
      <w:pPr>
        <w:pStyle w:val="Heading2"/>
      </w:pPr>
      <w:r>
        <w:t>3.5 Missing Temporal Provenance</w:t>
      </w:r>
    </w:p>
    <w:p>
      <w:r>
        <w:rPr>
          <w:b w:val="0"/>
          <w:i w:val="0"/>
        </w:rPr>
        <w:t>A final morphology may be equifinal: more than one growth history can produce a similar endpoint. The physical twin must capture the run as a time series: control waveform, current and voltage, timestamped images, temperature, solution condition, electrode geometry, interruptions, pruning events, readout traces, extraction version, software commit, and random seed where applicable.</w:t>
      </w:r>
    </w:p>
    <w:p>
      <w:pPr>
        <w:pStyle w:val="Heading1"/>
      </w:pPr>
      <w:r>
        <w:t>4. Phase Zero Physical Platform</w:t>
      </w:r>
    </w:p>
    <w:p>
      <w:pPr>
        <w:pStyle w:val="Heading2"/>
      </w:pPr>
      <w:r>
        <w:t>4.1 Platform Definition</w:t>
      </w:r>
    </w:p>
    <w:p>
      <w:r>
        <w:rPr>
          <w:b w:val="0"/>
          <w:i w:val="0"/>
        </w:rPr>
        <w:t>Construct a transparent, quasi-two-dimensional electrochemical cell with patterned electrodes and computer-controlled low-voltage stimulation.</w:t>
      </w:r>
    </w:p>
    <w:p>
      <w:pPr>
        <w:pStyle w:val="Heading3"/>
      </w:pPr>
      <w:r>
        <w:t>Platform A: Copper Electrodeposition</w:t>
      </w:r>
    </w:p>
    <w:p>
      <w:r>
        <w:rPr>
          <w:b w:val="0"/>
          <w:i w:val="0"/>
        </w:rPr>
        <w:t>A transparent cell contains an aqueous copper salt electrolyte between copper or inert patterned electrodes. Advantages: inexpensive materials, clearly conductive deposit, optical visibility, easy electrical measurement, morphology responds to current density and geometry, deposition and partial dissolution support primitive write/prune cycles. Limitations: copper morphology is not CNT morphology; convection and contamination can dominate; adhesion may be weak.</w:t>
      </w:r>
    </w:p>
    <w:p>
      <w:pPr>
        <w:pStyle w:val="Heading3"/>
      </w:pPr>
      <w:r>
        <w:t>Platform B: Conducting-Polymer Electropolymerization</w:t>
      </w:r>
    </w:p>
    <w:p>
      <w:r>
        <w:rPr>
          <w:b w:val="0"/>
          <w:i w:val="0"/>
        </w:rPr>
        <w:t>A conducting polymer is grown between electrodes using programmed electrical signals. Advantages: direct precedent for electrically programmed dendritic structures; pulse parameters can alter morphology; partial electrochemical erasure may be possible. Limitations: chemistry may be less accessible; conductivity varies with hydration and oxidation state.</w:t>
      </w:r>
    </w:p>
    <w:p>
      <w:pPr>
        <w:pStyle w:val="Heading2"/>
      </w:pPr>
      <w:r>
        <w:t>4.2 Phase Zero Recommendation</w:t>
      </w:r>
    </w:p>
    <w:p>
      <w:r>
        <w:rPr>
          <w:b w:val="0"/>
          <w:i w:val="0"/>
        </w:rPr>
        <w:t>Begin with copper electrodeposition for apparatus debugging, imaging, graph extraction, and electrical-model calibration. Move to conducting-polymer growth only after the acquisition and control loop is stable. The cell should be designed as a consumable test cartridge, not as a one-off demonstration.</w:t>
      </w:r>
    </w:p>
    <w:p>
      <w:pPr>
        <w:pStyle w:val="Heading2"/>
      </w:pPr>
      <w:r>
        <w:t>4.3 Why FR-4 Directed Breakdown Is Deferred</w:t>
      </w:r>
    </w:p>
    <w:p>
      <w:r>
        <w:rPr>
          <w:b w:val="0"/>
          <w:i w:val="0"/>
        </w:rPr>
        <w:t>Directed electrical breakdown in FR-4 may produce striking branched carbonized channels, but it is a weak Phase Zero choice because breakdown commonly requires hazardous electric fields, the process is destructive and difficult to reverse, local heating and contamination create uncontrolled variables, carbonization changes both geometry and chemistry, and the mechanism maps poorly to catalytic CNT elongation. FR-4 breakdown may later serve as a separate permanence study conducted in a properly equipped electrical laboratory.</w:t>
      </w:r>
    </w:p>
    <w:p>
      <w:pPr>
        <w:pStyle w:val="Heading1"/>
      </w:pPr>
      <w:r>
        <w:t>5. Surrogate Apparatus Specification</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Hele-Shaw transparent cartridge with three modes: calibration (2-terminal), steering (4+2 guard), addressable (6–8 electrodes).</w:t>
            </w:r>
          </w:p>
          <w:p>
            <w:pPr>
              <w:pStyle w:val="ListBullet"/>
              <w:ind w:left="216"/>
            </w:pPr>
            <w:r>
              <w:t>Copper electrodeposition first for commissioning; conducting-polymer second once the loop is stable.</w:t>
            </w:r>
          </w:p>
          <w:p>
            <w:pPr>
              <w:pStyle w:val="ListBullet"/>
              <w:ind w:left="216"/>
            </w:pPr>
            <w:r>
              <w:t>Instrumentation logs full I/V traces, charge, time-lapse images, temperature, and immutable manifest IDs.</w:t>
            </w:r>
          </w:p>
          <w:p>
            <w:pPr>
              <w:pStyle w:val="ListBullet"/>
              <w:ind w:left="216"/>
            </w:pPr>
            <w:r>
              <w:t>Safety by design: low-voltage ceiling, current compliance, physical disconnect, labeled waste streams.</w:t>
            </w:r>
          </w:p>
        </w:tc>
      </w:tr>
    </w:tbl>
    <w:p/>
    <w:p>
      <w:pPr>
        <w:pStyle w:val="Heading2"/>
      </w:pPr>
      <w:r>
        <w:t>5.1 Cell Architecture</w:t>
      </w:r>
    </w:p>
    <w:p>
      <w:r>
        <w:rPr>
          <w:b w:val="0"/>
          <w:i w:val="0"/>
        </w:rPr>
        <w:t>The recommended Stage A cartridge is a Hele-Shaw-style transparent confinement cell with a rectangular active field, a thin gasket-defined liquid gap, and replaceable electrode inserts.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D5E8F0" w:val="clear"/>
          </w:tcPr>
          <w:p>
            <w:r>
              <w:rPr>
                <w:b/>
              </w:rPr>
              <w:t>Cartridge Mode</w:t>
            </w:r>
          </w:p>
        </w:tc>
        <w:tc>
          <w:tcPr>
            <w:tcW w:type="dxa" w:w="2160"/>
            <w:shd w:fill="D5E8F0" w:val="clear"/>
          </w:tcPr>
          <w:p>
            <w:r>
              <w:rPr>
                <w:b/>
              </w:rPr>
              <w:t>Recommended Use</w:t>
            </w:r>
          </w:p>
        </w:tc>
        <w:tc>
          <w:tcPr>
            <w:tcW w:type="dxa" w:w="2160"/>
            <w:shd w:fill="D5E8F0" w:val="clear"/>
          </w:tcPr>
          <w:p>
            <w:r>
              <w:rPr>
                <w:b/>
              </w:rPr>
              <w:t>Electrode Layout</w:t>
            </w:r>
          </w:p>
        </w:tc>
        <w:tc>
          <w:tcPr>
            <w:tcW w:type="dxa" w:w="3600"/>
            <w:shd w:fill="D5E8F0" w:val="clear"/>
          </w:tcPr>
          <w:p>
            <w:r>
              <w:rPr>
                <w:b/>
              </w:rPr>
              <w:t>Purpose</w:t>
            </w:r>
          </w:p>
        </w:tc>
      </w:tr>
      <w:tr>
        <w:tc>
          <w:tcPr>
            <w:tcW w:type="dxa" w:w="1440"/>
          </w:tcPr>
          <w:p>
            <w:r>
              <w:t>Calibration</w:t>
            </w:r>
          </w:p>
        </w:tc>
        <w:tc>
          <w:tcPr>
            <w:tcW w:type="dxa" w:w="2160"/>
          </w:tcPr>
          <w:p>
            <w:r>
              <w:t>Commissioning and safe operating window</w:t>
            </w:r>
          </w:p>
        </w:tc>
        <w:tc>
          <w:tcPr>
            <w:tcW w:type="dxa" w:w="2160"/>
          </w:tcPr>
          <w:p>
            <w:r>
              <w:t>2 terminals across long axis</w:t>
            </w:r>
          </w:p>
        </w:tc>
        <w:tc>
          <w:tcPr>
            <w:tcW w:type="dxa" w:w="3600"/>
          </w:tcPr>
          <w:p>
            <w:r>
              <w:t>Monotonic extension, leak testing, charge calibration</w:t>
            </w:r>
          </w:p>
        </w:tc>
      </w:tr>
      <w:tr>
        <w:tc>
          <w:tcPr>
            <w:tcW w:type="dxa" w:w="1440"/>
          </w:tcPr>
          <w:p>
            <w:r>
              <w:t>Steering</w:t>
            </w:r>
          </w:p>
        </w:tc>
        <w:tc>
          <w:tcPr>
            <w:tcW w:type="dxa" w:w="2160"/>
          </w:tcPr>
          <w:p>
            <w:r>
              <w:t>First branch-control experiments</w:t>
            </w:r>
          </w:p>
        </w:tc>
        <w:tc>
          <w:tcPr>
            <w:tcW w:type="dxa" w:w="2160"/>
          </w:tcPr>
          <w:p>
            <w:r>
              <w:t>4 perimeter + 2 guard electrodes</w:t>
            </w:r>
          </w:p>
        </w:tc>
        <w:tc>
          <w:tcPr>
            <w:tcW w:type="dxa" w:w="3600"/>
          </w:tcPr>
          <w:p>
            <w:r>
              <w:t>Test BIFURCATE and RESTRICT without overcomplicating electronics</w:t>
            </w:r>
          </w:p>
        </w:tc>
      </w:tr>
      <w:tr>
        <w:tc>
          <w:tcPr>
            <w:tcW w:type="dxa" w:w="1440"/>
          </w:tcPr>
          <w:p>
            <w:r>
              <w:t>Addressable</w:t>
            </w:r>
          </w:p>
        </w:tc>
        <w:tc>
          <w:tcPr>
            <w:tcW w:type="dxa" w:w="2160"/>
          </w:tcPr>
          <w:p>
            <w:r>
              <w:t>Later replay and association-field work</w:t>
            </w:r>
          </w:p>
        </w:tc>
        <w:tc>
          <w:tcPr>
            <w:tcW w:type="dxa" w:w="2160"/>
          </w:tcPr>
          <w:p>
            <w:r>
              <w:t>6–8 selectable perimeter electrodes</w:t>
            </w:r>
          </w:p>
        </w:tc>
        <w:tc>
          <w:tcPr>
            <w:tcW w:type="dxa" w:w="3600"/>
          </w:tcPr>
          <w:p>
            <w:r>
              <w:t>Steer local field geometry and richer morphology families</w:t>
            </w:r>
          </w:p>
        </w:tc>
      </w:tr>
    </w:tbl>
    <w:p/>
    <w:p>
      <w:r>
        <w:rPr>
          <w:b w:val="0"/>
          <w:i w:val="0"/>
        </w:rPr>
        <w:t>Use borosilicate optical windows, chemically resistant gasket spacers, and compression-clamped assembly. Recommend a centimeter-scale field of view and sub-millimeter gap, biased toward the low end for optical segmentation. Separate imaging electrodes from the metal reservoir/counter function in mature steering cartridges to prevent anode dissolution from contaminating the morphology field.</w:t>
      </w:r>
    </w:p>
    <w:p>
      <w:pPr>
        <w:pStyle w:val="Heading2"/>
      </w:pPr>
      <w:r>
        <w:t>5.2 Instrumentation Stack</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D5E8F0" w:val="clear"/>
          </w:tcPr>
          <w:p>
            <w:r>
              <w:rPr>
                <w:b/>
              </w:rPr>
              <w:t>Channel</w:t>
            </w:r>
          </w:p>
        </w:tc>
        <w:tc>
          <w:tcPr>
            <w:tcW w:type="dxa" w:w="2880"/>
            <w:shd w:fill="D5E8F0" w:val="clear"/>
          </w:tcPr>
          <w:p>
            <w:r>
              <w:rPr>
                <w:b/>
              </w:rPr>
              <w:t>Minimum Requirement</w:t>
            </w:r>
          </w:p>
        </w:tc>
        <w:tc>
          <w:tcPr>
            <w:tcW w:type="dxa" w:w="3888"/>
            <w:shd w:fill="D5E8F0" w:val="clear"/>
          </w:tcPr>
          <w:p>
            <w:r>
              <w:rPr>
                <w:b/>
              </w:rPr>
              <w:t>Reason</w:t>
            </w:r>
          </w:p>
        </w:tc>
      </w:tr>
      <w:tr>
        <w:tc>
          <w:tcPr>
            <w:tcW w:type="dxa" w:w="2592"/>
          </w:tcPr>
          <w:p>
            <w:r>
              <w:t>Commanded voltage/current</w:t>
            </w:r>
          </w:p>
        </w:tc>
        <w:tc>
          <w:tcPr>
            <w:tcW w:type="dxa" w:w="2880"/>
          </w:tcPr>
          <w:p>
            <w:r>
              <w:t>Full timestamped trace</w:t>
            </w:r>
          </w:p>
        </w:tc>
        <w:tc>
          <w:tcPr>
            <w:tcW w:type="dxa" w:w="3888"/>
          </w:tcPr>
          <w:p>
            <w:r>
              <w:t>Reconstruct intent and execution</w:t>
            </w:r>
          </w:p>
        </w:tc>
      </w:tr>
      <w:tr>
        <w:tc>
          <w:tcPr>
            <w:tcW w:type="dxa" w:w="2592"/>
          </w:tcPr>
          <w:p>
            <w:r>
              <w:t>Measured voltage/current</w:t>
            </w:r>
          </w:p>
        </w:tc>
        <w:tc>
          <w:tcPr>
            <w:tcW w:type="dxa" w:w="2880"/>
          </w:tcPr>
          <w:p>
            <w:r>
              <w:t>Full timestamped trace</w:t>
            </w:r>
          </w:p>
        </w:tc>
        <w:tc>
          <w:tcPr>
            <w:tcW w:type="dxa" w:w="3888"/>
          </w:tcPr>
          <w:p>
            <w:r>
              <w:t>Infer deposition regime and anomalies</w:t>
            </w:r>
          </w:p>
        </w:tc>
      </w:tr>
      <w:tr>
        <w:tc>
          <w:tcPr>
            <w:tcW w:type="dxa" w:w="2592"/>
          </w:tcPr>
          <w:p>
            <w:r>
              <w:t>Accumulated charge</w:t>
            </w:r>
          </w:p>
        </w:tc>
        <w:tc>
          <w:tcPr>
            <w:tcW w:type="dxa" w:w="2880"/>
          </w:tcPr>
          <w:p>
            <w:r>
              <w:t>Derived and stored</w:t>
            </w:r>
          </w:p>
        </w:tc>
        <w:tc>
          <w:tcPr>
            <w:tcW w:type="dxa" w:w="3888"/>
          </w:tcPr>
          <w:p>
            <w:r>
              <w:t>Proxy for deposited material budget</w:t>
            </w:r>
          </w:p>
        </w:tc>
      </w:tr>
      <w:tr>
        <w:tc>
          <w:tcPr>
            <w:tcW w:type="dxa" w:w="2592"/>
          </w:tcPr>
          <w:p>
            <w:r>
              <w:t>Image frames</w:t>
            </w:r>
          </w:p>
        </w:tc>
        <w:tc>
          <w:tcPr>
            <w:tcW w:type="dxa" w:w="2880"/>
          </w:tcPr>
          <w:p>
            <w:r>
              <w:t>Synchronized time-lapse</w:t>
            </w:r>
          </w:p>
        </w:tc>
        <w:tc>
          <w:tcPr>
            <w:tcW w:type="dxa" w:w="3888"/>
          </w:tcPr>
          <w:p>
            <w:r>
              <w:t>Morphology extraction and replay review</w:t>
            </w:r>
          </w:p>
        </w:tc>
      </w:tr>
      <w:tr>
        <w:tc>
          <w:tcPr>
            <w:tcW w:type="dxa" w:w="2592"/>
          </w:tcPr>
          <w:p>
            <w:r>
              <w:t>Temperature</w:t>
            </w:r>
          </w:p>
        </w:tc>
        <w:tc>
          <w:tcPr>
            <w:tcW w:type="dxa" w:w="2880"/>
          </w:tcPr>
          <w:p>
            <w:r>
              <w:t>Logged near cell</w:t>
            </w:r>
          </w:p>
        </w:tc>
        <w:tc>
          <w:tcPr>
            <w:tcW w:type="dxa" w:w="3888"/>
          </w:tcPr>
          <w:p>
            <w:r>
              <w:t>Growth and transport are temperature-sensitive</w:t>
            </w:r>
          </w:p>
        </w:tc>
      </w:tr>
      <w:tr>
        <w:tc>
          <w:tcPr>
            <w:tcW w:type="dxa" w:w="2592"/>
          </w:tcPr>
          <w:p>
            <w:r>
              <w:t>Cartridge, chemistry, software IDs</w:t>
            </w:r>
          </w:p>
        </w:tc>
        <w:tc>
          <w:tcPr>
            <w:tcW w:type="dxa" w:w="2880"/>
          </w:tcPr>
          <w:p>
            <w:r>
              <w:t>Immutable manifest entries</w:t>
            </w:r>
          </w:p>
        </w:tc>
        <w:tc>
          <w:tcPr>
            <w:tcW w:type="dxa" w:w="3888"/>
          </w:tcPr>
          <w:p>
            <w:r>
              <w:t>Provenance and held-out validation</w:t>
            </w:r>
          </w:p>
        </w:tc>
      </w:tr>
    </w:tbl>
    <w:p/>
    <w:p>
      <w:r>
        <w:rPr>
          <w:b w:val="0"/>
          <w:i w:val="0"/>
        </w:rPr>
        <w:t>By Stage B, add four-wire resistance measurement for bridged states. By Stage C, add EIS or small-signal frequency sweeps because morphology is reflected in relaxation spectra as well as DC resistance.</w:t>
      </w:r>
    </w:p>
    <w:p>
      <w:pPr>
        <w:pStyle w:val="Heading2"/>
      </w:pPr>
      <w:r>
        <w:t>5.3 Safety and Containment</w:t>
      </w:r>
    </w:p>
    <w:p>
      <w:r>
        <w:rPr>
          <w:b w:val="0"/>
          <w:i w:val="0"/>
        </w:rPr>
        <w:t>Design so default unsafe states are physically unavailable: hard ceiling in the low-voltage regime, current compliance, physical disconnect, shrouded contacts, no energized exposed metal in the operator reach envelope. Chemical containment requires secondary containment, spill tray, labeled waste bottles, eyewash access, glove and eye protection, and a run checklist ending with deenergize–verify–waste-segregate. Electrolyte, rinse solutions, and contaminated consumables must be managed as labeled waste streams under local rules.</w:t>
      </w:r>
    </w:p>
    <w:p>
      <w:pPr>
        <w:pStyle w:val="Heading1"/>
      </w:pPr>
      <w:r>
        <w:t>6. Physical Adapter and Operator Mapping</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Natural Math speaks intent; the adapter inverts versioned calibration surfaces into safe apparatus schedules—never raw voltages.</w:t>
            </w:r>
          </w:p>
          <w:p>
            <w:pPr>
              <w:pStyle w:val="ListBullet"/>
              <w:ind w:left="216"/>
            </w:pPr>
            <w:r>
              <w:t>Three surface families (S_ext, S_branch, S_bridge) cover extension, stochastic branching, and event-time bridging separately.</w:t>
            </w:r>
          </w:p>
          <w:p>
            <w:pPr>
              <w:pStyle w:val="ListBullet"/>
              <w:ind w:left="216"/>
            </w:pPr>
            <w:r>
              <w:t>Surfaces are trained narrowly per cartridge/chemistry/instrument revision; new contexts become new families, not extra dimensions.</w:t>
            </w:r>
          </w:p>
          <w:p>
            <w:pPr>
              <w:pStyle w:val="ListBullet"/>
              <w:ind w:left="216"/>
            </w:pPr>
            <w:r>
              <w:t>Live regime classification (pre_branch → branching → near_bridge → post_bridge) gates which surface is queried; out-of-domain queries default to HOLD.</w:t>
            </w:r>
          </w:p>
        </w:tc>
      </w:tr>
    </w:tbl>
    <w:p/>
    <w:p>
      <w:r>
        <w:rPr>
          <w:b w:val="0"/>
          <w:i w:val="0"/>
        </w:rPr>
        <w:t>The physical adapter is strict middleware between Natural Math and apparatus control. Natural Math continues to speak in substrate-agnostic operators; the adapter binds them to versioned chemistry profiles, geometry profiles, and calibration surfaces.</w:t>
      </w:r>
    </w:p>
    <w:p>
      <w:pPr>
        <w:pStyle w:val="Heading2"/>
      </w:pPr>
      <w:r>
        <w:t>6.1 Operator Mapping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fill="D5E8F0" w:val="clear"/>
          </w:tcPr>
          <w:p>
            <w:r>
              <w:rPr>
                <w:b/>
              </w:rPr>
              <w:t>Operator</w:t>
            </w:r>
          </w:p>
        </w:tc>
        <w:tc>
          <w:tcPr>
            <w:tcW w:type="dxa" w:w="2160"/>
            <w:shd w:fill="D5E8F0" w:val="clear"/>
          </w:tcPr>
          <w:p>
            <w:r>
              <w:rPr>
                <w:b/>
              </w:rPr>
              <w:t>Physical Mechanism</w:t>
            </w:r>
          </w:p>
        </w:tc>
        <w:tc>
          <w:tcPr>
            <w:tcW w:type="dxa" w:w="2880"/>
            <w:shd w:fill="D5E8F0" w:val="clear"/>
          </w:tcPr>
          <w:p>
            <w:r>
              <w:rPr>
                <w:b/>
              </w:rPr>
              <w:t>Control Parameters</w:t>
            </w:r>
          </w:p>
        </w:tc>
        <w:tc>
          <w:tcPr>
            <w:tcW w:type="dxa" w:w="3024"/>
            <w:shd w:fill="D5E8F0" w:val="clear"/>
          </w:tcPr>
          <w:p>
            <w:r>
              <w:rPr>
                <w:b/>
              </w:rPr>
              <w:t>Intended Observables</w:t>
            </w:r>
          </w:p>
        </w:tc>
      </w:tr>
      <w:tr>
        <w:tc>
          <w:tcPr>
            <w:tcW w:type="dxa" w:w="1296"/>
          </w:tcPr>
          <w:p>
            <w:r>
              <w:t>EXTEND</w:t>
            </w:r>
          </w:p>
        </w:tc>
        <w:tc>
          <w:tcPr>
            <w:tcW w:type="dxa" w:w="2160"/>
          </w:tcPr>
          <w:p>
            <w:r>
              <w:t>Continue deposition from active tips</w:t>
            </w:r>
          </w:p>
        </w:tc>
        <w:tc>
          <w:tcPr>
            <w:tcW w:type="dxa" w:w="2880"/>
          </w:tcPr>
          <w:p>
            <w:r>
              <w:t>Mode, electrode pair, current/voltage setpoint, pulse width, rest interval</w:t>
            </w:r>
          </w:p>
        </w:tc>
        <w:tc>
          <w:tcPr>
            <w:tcW w:type="dxa" w:w="3024"/>
          </w:tcPr>
          <w:p>
            <w:r>
              <w:t>Front displacement, area increase, net charge, resistance change</w:t>
            </w:r>
          </w:p>
        </w:tc>
      </w:tr>
      <w:tr>
        <w:tc>
          <w:tcPr>
            <w:tcW w:type="dxa" w:w="1296"/>
          </w:tcPr>
          <w:p>
            <w:r>
              <w:t>BIFURCATE</w:t>
            </w:r>
          </w:p>
        </w:tc>
        <w:tc>
          <w:tcPr>
            <w:tcW w:type="dxa" w:w="2160"/>
          </w:tcPr>
          <w:p>
            <w:r>
              <w:t>Increase tip-splitting probability</w:t>
            </w:r>
          </w:p>
        </w:tc>
        <w:tc>
          <w:tcPr>
            <w:tcW w:type="dxa" w:w="2880"/>
          </w:tcPr>
          <w:p>
            <w:r>
              <w:t>Side-electrode activation, transverse field ratio, pulse frequency, duty cycle</w:t>
            </w:r>
          </w:p>
        </w:tc>
        <w:tc>
          <w:tcPr>
            <w:tcW w:type="dxa" w:w="3024"/>
          </w:tcPr>
          <w:p>
            <w:r>
              <w:t>Tip count, branch-angle distribution, asymmetry index</w:t>
            </w:r>
          </w:p>
        </w:tc>
      </w:tr>
      <w:tr>
        <w:tc>
          <w:tcPr>
            <w:tcW w:type="dxa" w:w="1296"/>
          </w:tcPr>
          <w:p>
            <w:r>
              <w:t>SENSE</w:t>
            </w:r>
          </w:p>
        </w:tc>
        <w:tc>
          <w:tcPr>
            <w:tcW w:type="dxa" w:w="2160"/>
          </w:tcPr>
          <w:p>
            <w:r>
              <w:t>Read state without materially writing</w:t>
            </w:r>
          </w:p>
        </w:tc>
        <w:tc>
          <w:tcPr>
            <w:tcW w:type="dxa" w:w="2880"/>
          </w:tcPr>
          <w:p>
            <w:r>
              <w:t>Open-circuit dwell, low-amplitude probe, EIS sweep, image capture</w:t>
            </w:r>
          </w:p>
        </w:tc>
        <w:tc>
          <w:tcPr>
            <w:tcW w:type="dxa" w:w="3024"/>
          </w:tcPr>
          <w:p>
            <w:r>
              <w:t>Leakage current, DC resistance, impedance features, image confidence</w:t>
            </w:r>
          </w:p>
        </w:tc>
      </w:tr>
      <w:tr>
        <w:tc>
          <w:tcPr>
            <w:tcW w:type="dxa" w:w="1296"/>
          </w:tcPr>
          <w:p>
            <w:r>
              <w:t>MAINTAIN</w:t>
            </w:r>
          </w:p>
        </w:tc>
        <w:tc>
          <w:tcPr>
            <w:tcW w:type="dxa" w:w="2160"/>
          </w:tcPr>
          <w:p>
            <w:r>
              <w:t>Preserve structure without extending</w:t>
            </w:r>
          </w:p>
        </w:tc>
        <w:tc>
          <w:tcPr>
            <w:tcW w:type="dxa" w:w="2880"/>
          </w:tcPr>
          <w:p>
            <w:r>
              <w:t>Zero-bias hold, sub-threshold bias, stabilization profile</w:t>
            </w:r>
          </w:p>
        </w:tc>
        <w:tc>
          <w:tcPr>
            <w:tcW w:type="dxa" w:w="3024"/>
          </w:tcPr>
          <w:p>
            <w:r>
              <w:t>Drift rate, resistance stability, morphology change during hold</w:t>
            </w:r>
          </w:p>
        </w:tc>
      </w:tr>
      <w:tr>
        <w:tc>
          <w:tcPr>
            <w:tcW w:type="dxa" w:w="1296"/>
          </w:tcPr>
          <w:p>
            <w:r>
              <w:t>RESTRICT</w:t>
            </w:r>
          </w:p>
        </w:tc>
        <w:tc>
          <w:tcPr>
            <w:tcW w:type="dxa" w:w="2160"/>
          </w:tcPr>
          <w:p>
            <w:r>
              <w:t>Reduce growth probability in a region</w:t>
            </w:r>
          </w:p>
        </w:tc>
        <w:tc>
          <w:tcPr>
            <w:tcW w:type="dxa" w:w="2880"/>
          </w:tcPr>
          <w:p>
            <w:r>
              <w:t>Guard electrode bias, field reorientation, masked region</w:t>
            </w:r>
          </w:p>
        </w:tc>
        <w:tc>
          <w:tcPr>
            <w:tcW w:type="dxa" w:w="3024"/>
          </w:tcPr>
          <w:p>
            <w:r>
              <w:t>Avoidance of masked region, reduced occupancy, path deflection</w:t>
            </w:r>
          </w:p>
        </w:tc>
      </w:tr>
      <w:tr>
        <w:tc>
          <w:tcPr>
            <w:tcW w:type="dxa" w:w="1296"/>
          </w:tcPr>
          <w:p>
            <w:r>
              <w:t>PRUNE</w:t>
            </w:r>
          </w:p>
        </w:tc>
        <w:tc>
          <w:tcPr>
            <w:tcW w:type="dxa" w:w="2160"/>
          </w:tcPr>
          <w:p>
            <w:r>
              <w:t>Remove or deactivate a branch</w:t>
            </w:r>
          </w:p>
        </w:tc>
        <w:tc>
          <w:tcPr>
            <w:tcW w:type="dxa" w:w="2880"/>
          </w:tcPr>
          <w:p>
            <w:r>
              <w:t>Reverse-bias pulse, charge cap, branch-isolation switch</w:t>
            </w:r>
          </w:p>
        </w:tc>
        <w:tc>
          <w:tcPr>
            <w:tcW w:type="dxa" w:w="3024"/>
          </w:tcPr>
          <w:p>
            <w:r>
              <w:t>Conductivity drop, morphology loss, scar signature</w:t>
            </w:r>
          </w:p>
        </w:tc>
      </w:tr>
      <w:tr>
        <w:tc>
          <w:tcPr>
            <w:tcW w:type="dxa" w:w="1296"/>
          </w:tcPr>
          <w:p>
            <w:r>
              <w:t>HOLD</w:t>
            </w:r>
          </w:p>
        </w:tc>
        <w:tc>
          <w:tcPr>
            <w:tcW w:type="dxa" w:w="2160"/>
          </w:tcPr>
          <w:p>
            <w:r>
              <w:t>Quarantine unresolved run state</w:t>
            </w:r>
          </w:p>
        </w:tc>
        <w:tc>
          <w:tcPr>
            <w:tcW w:type="dxa" w:w="2880"/>
          </w:tcPr>
          <w:p>
            <w:r>
              <w:t>Deenergize, preserve logs, snapshot images, lock extraction version</w:t>
            </w:r>
          </w:p>
        </w:tc>
        <w:tc>
          <w:tcPr>
            <w:tcW w:type="dxa" w:w="3024"/>
          </w:tcPr>
          <w:p>
            <w:r>
              <w:t>Complete frozen artifact bundle, unresolved classification</w:t>
            </w:r>
          </w:p>
        </w:tc>
      </w:tr>
    </w:tbl>
    <w:p/>
    <w:p>
      <w:pPr>
        <w:pStyle w:val="Heading2"/>
      </w:pPr>
      <w:r>
        <w:t>6.2 Inverse Calibration Surfaces</w:t>
      </w:r>
    </w:p>
    <w:p>
      <w:r>
        <w:rPr>
          <w:b w:val="0"/>
          <w:i w:val="0"/>
        </w:rPr>
        <w:t>The adapter queries a surface registry keyed by chemistry, cartridge geometry, temperature band, and instrumentation revision. Each surface is an empirical inverse map from a desired local outcome to a safe actuator setting with an uncertainty estimate.</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D5E8F0" w:val="clear"/>
          </w:tcPr>
          <w:p>
            <w:r>
              <w:rPr>
                <w:b/>
              </w:rPr>
              <w:t>Surface</w:t>
            </w:r>
          </w:p>
        </w:tc>
        <w:tc>
          <w:tcPr>
            <w:tcW w:type="dxa" w:w="5040"/>
            <w:shd w:fill="D5E8F0" w:val="clear"/>
          </w:tcPr>
          <w:p>
            <w:r>
              <w:rPr>
                <w:b/>
              </w:rPr>
              <w:t>Purpose</w:t>
            </w:r>
          </w:p>
        </w:tc>
        <w:tc>
          <w:tcPr>
            <w:tcW w:type="dxa" w:w="2880"/>
            <w:shd w:fill="D5E8F0" w:val="clear"/>
          </w:tcPr>
          <w:p>
            <w:r>
              <w:rPr>
                <w:b/>
              </w:rPr>
              <w:t>Recommended Model Form</w:t>
            </w:r>
          </w:p>
        </w:tc>
      </w:tr>
      <w:tr>
        <w:tc>
          <w:tcPr>
            <w:tcW w:type="dxa" w:w="1440"/>
          </w:tcPr>
          <w:p>
            <w:r>
              <w:t>S_ext</w:t>
            </w:r>
          </w:p>
        </w:tc>
        <w:tc>
          <w:tcPr>
            <w:tcW w:type="dxa" w:w="5040"/>
          </w:tcPr>
          <w:p>
            <w:r>
              <w:t>Extension control: tip velocity, area rate, width rate</w:t>
            </w:r>
          </w:p>
        </w:tc>
        <w:tc>
          <w:tcPr>
            <w:tcW w:type="dxa" w:w="2880"/>
          </w:tcPr>
          <w:p>
            <w:r>
              <w:t>Tensor lookup table with monotone piecewise-cubic interpolation</w:t>
            </w:r>
          </w:p>
        </w:tc>
      </w:tr>
      <w:tr>
        <w:tc>
          <w:tcPr>
            <w:tcW w:type="dxa" w:w="1440"/>
          </w:tcPr>
          <w:p>
            <w:r>
              <w:t>S_branch</w:t>
            </w:r>
          </w:p>
        </w:tc>
        <w:tc>
          <w:tcPr>
            <w:tcW w:type="dxa" w:w="5040"/>
          </w:tcPr>
          <w:p>
            <w:r>
              <w:t>Branch initiation: P(branch), daughter count, angle stats</w:t>
            </w:r>
          </w:p>
        </w:tc>
        <w:tc>
          <w:tcPr>
            <w:tcW w:type="dxa" w:w="2880"/>
          </w:tcPr>
          <w:p>
            <w:r>
              <w:t>Sparse Gaussian-process classifier + regressor with heteroscedastic noise</w:t>
            </w:r>
          </w:p>
        </w:tc>
      </w:tr>
      <w:tr>
        <w:tc>
          <w:tcPr>
            <w:tcW w:type="dxa" w:w="1440"/>
          </w:tcPr>
          <w:p>
            <w:r>
              <w:t>S_bridge</w:t>
            </w:r>
          </w:p>
        </w:tc>
        <w:tc>
          <w:tcPr>
            <w:tcW w:type="dxa" w:w="5040"/>
          </w:tcPr>
          <w:p>
            <w:r>
              <w:t>Bridging risk and intentional bridging</w:t>
            </w:r>
          </w:p>
        </w:tc>
        <w:tc>
          <w:tcPr>
            <w:tcW w:type="dxa" w:w="2880"/>
          </w:tcPr>
          <w:p>
            <w:r>
              <w:t>Discrete-time hazard model with spline basis and isotonic correction</w:t>
            </w:r>
          </w:p>
        </w:tc>
      </w:tr>
    </w:tbl>
    <w:p/>
    <w:p>
      <w:r>
        <w:rPr>
          <w:b w:val="0"/>
          <w:i w:val="0"/>
        </w:rPr>
        <w:t>Phase Zero should train surfaces narrowly: one cartridge family, one electrolyte class, one electrode layout, one camera calibration, and one instrument revision. New chemistry or geometry is added as a new context family, not by appending uncontrolled dimensions to the same model.</w:t>
      </w:r>
    </w:p>
    <w:p>
      <w:pPr>
        <w:pStyle w:val="Heading2"/>
      </w:pPr>
      <w:r>
        <w:t>6.3 Surface Versioning and Promotion</w:t>
      </w:r>
    </w:p>
    <w:p>
      <w:r>
        <w:rPr>
          <w:b w:val="0"/>
          <w:i w:val="0"/>
        </w:rPr>
        <w:t>Every fitted surface is immutable and versioned with semantic versioning plus provenance hashes. Promotion should happen only if a candidate surface improves held-out performance by a preregistered amount and does not worsen any safety-critical metric.</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Starting promotion guardrails: S_ext must improve held-out normalized MAE by at least 10%; S_branch must improve Brier score by at least 0.02; S_bridge must improve held-out log loss by at least 0.02 before replacing the active surface.</w:t>
      </w:r>
    </w:p>
    <w:p>
      <w:pPr>
        <w:pStyle w:val="Heading2"/>
      </w:pPr>
      <w:r>
        <w:t>6.4 Live Regime Selection</w:t>
      </w:r>
    </w:p>
    <w:p>
      <w:r>
        <w:rPr>
          <w:b w:val="0"/>
          <w:i w:val="0"/>
        </w:rPr>
        <w:t>During live control, classify the run into regime using measured state: pre_branch (one dominant front), branching (two or more persistent tips), near_bridge (gap below threshold or conductance slope accelerating), or post_bridge (continuous conductive path present). If out-of-domain distance exceeds threshold (e.g., Mahalanobis distance &gt; 3 from training manifold), refuse aggressive extrapolation and step down to conservative setpoint or HOLD.</w:t>
      </w:r>
    </w:p>
    <w:p>
      <w:pPr>
        <w:pStyle w:val="Heading1"/>
      </w:pPr>
      <w:r>
        <w:t>7. Reduced-Order Digital Twin</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Middle fidelity: gap-averaged φ + reduced transport/depletion (c) + charge-throughput history (q)—not full phase-field, not graph-only.</w:t>
            </w:r>
          </w:p>
          <w:p>
            <w:pPr>
              <w:pStyle w:val="ListBullet"/>
              <w:ind w:left="216"/>
            </w:pPr>
            <w:r>
              <w:t>Growth uses a 16-direction stencil, softmax propensity scoring, and explicit branch-separation rules resolvable in optical images.</w:t>
            </w:r>
          </w:p>
          <w:p>
            <w:pPr>
              <w:pStyle w:val="ListBullet"/>
              <w:ind w:left="216"/>
            </w:pPr>
            <w:r>
              <w:t>Propensity coefficients are literature-seeded then fit on Stage B–D calibration runs; versioned with the twin artifact.</w:t>
            </w:r>
          </w:p>
          <w:p>
            <w:pPr>
              <w:pStyle w:val="ListBullet"/>
              <w:ind w:left="216"/>
            </w:pPr>
            <w:r>
              <w:t>Bridging is blocked by default unless the target morphology family explicitly enables closure.</w:t>
            </w:r>
          </w:p>
          <w:p>
            <w:pPr>
              <w:pStyle w:val="ListBullet"/>
              <w:ind w:left="216"/>
            </w:pPr>
            <w:r>
              <w:t>Falsifiability requires beating naive straight-growth and unguided branching baselines on held-out runs.</w:t>
            </w:r>
          </w:p>
        </w:tc>
      </w:tr>
    </w:tbl>
    <w:p/>
    <w:tbl>
      <w:tblPr>
        <w:tblStyle w:val="TableGrid"/>
        <w:tblW w:type="auto" w:w="0"/>
        <w:tblLook w:firstColumn="1" w:firstRow="1" w:lastColumn="0" w:lastRow="0" w:noHBand="0" w:noVBand="1" w:val="04A0"/>
      </w:tblPr>
      <w:tblGrid>
        <w:gridCol w:w="8640"/>
      </w:tblGrid>
      <w:tr>
        <w:tc>
          <w:tcPr>
            <w:tcW w:type="dxa" w:w="8640"/>
            <w:shd w:fill="E8EEF4" w:val="clear"/>
          </w:tcPr>
          <w:p>
            <w:r>
              <w:rPr>
                <w:b/>
                <w:sz w:val="22"/>
              </w:rPr>
              <w:t>Operational Summary</w:t>
            </w:r>
          </w:p>
          <w:p>
            <w:r>
              <w:t>Each timestep: solve φ, update c and q, score 16-direction growth candidates via softmax propensity, apply branch-separation and bridge rules, then emit a deposit mask, graph, and conductance estimate. Coefficients seed from literature and geometry, refine on Stage B–C accepted runs, and promote only through the shadow workflow (Section 10).</w:t>
            </w:r>
          </w:p>
        </w:tc>
      </w:tr>
    </w:tbl>
    <w:p/>
    <w:p>
      <w:pPr>
        <w:pStyle w:val="Heading2"/>
      </w:pPr>
      <w:r>
        <w:t>7.0 Quick Reference</w:t>
      </w:r>
    </w:p>
    <w:p>
      <w:r>
        <w:rPr>
          <w:b w:val="0"/>
          <w:i/>
        </w:rPr>
        <w:t>Jump to a topic — full detail is in the subsection cited; wiring notes are in Appendix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val="clear"/>
          </w:tcPr>
          <w:p>
            <w:r>
              <w:rPr>
                <w:b/>
              </w:rPr>
              <w:t>Topic</w:t>
            </w:r>
          </w:p>
        </w:tc>
        <w:tc>
          <w:tcPr>
            <w:tcW w:type="dxa" w:w="1440"/>
            <w:shd w:fill="D5E8F0" w:val="clear"/>
          </w:tcPr>
          <w:p>
            <w:r>
              <w:rPr>
                <w:b/>
              </w:rPr>
              <w:t>Subsection</w:t>
            </w:r>
          </w:p>
        </w:tc>
        <w:tc>
          <w:tcPr>
            <w:tcW w:type="dxa" w:w="3600"/>
            <w:shd w:fill="D5E8F0" w:val="clear"/>
          </w:tcPr>
          <w:p>
            <w:r>
              <w:rPr>
                <w:b/>
              </w:rPr>
              <w:t>Artifact / output</w:t>
            </w:r>
          </w:p>
        </w:tc>
      </w:tr>
      <w:tr>
        <w:tc>
          <w:tcPr>
            <w:tcW w:type="dxa" w:w="2880"/>
          </w:tcPr>
          <w:p>
            <w:r>
              <w:t>Field model (φ, c, q)</w:t>
            </w:r>
          </w:p>
        </w:tc>
        <w:tc>
          <w:tcPr>
            <w:tcW w:type="dxa" w:w="1440"/>
          </w:tcPr>
          <w:p>
            <w:r>
              <w:t>§7.1</w:t>
            </w:r>
          </w:p>
        </w:tc>
        <w:tc>
          <w:tcPr>
            <w:tcW w:type="dxa" w:w="3600"/>
          </w:tcPr>
          <w:p>
            <w:r>
              <w:t>rontwin state</w:t>
            </w:r>
          </w:p>
        </w:tc>
      </w:tr>
      <w:tr>
        <w:tc>
          <w:tcPr>
            <w:tcW w:type="dxa" w:w="2880"/>
          </w:tcPr>
          <w:p>
            <w:r>
              <w:t>Growth score and softmax</w:t>
            </w:r>
          </w:p>
        </w:tc>
        <w:tc>
          <w:tcPr>
            <w:tcW w:type="dxa" w:w="1440"/>
          </w:tcPr>
          <w:p>
            <w:r>
              <w:t>§7.2.1</w:t>
            </w:r>
          </w:p>
        </w:tc>
        <w:tc>
          <w:tcPr>
            <w:tcW w:type="dxa" w:w="3600"/>
          </w:tcPr>
          <w:p>
            <w:r>
              <w:t>—</w:t>
            </w:r>
          </w:p>
        </w:tc>
      </w:tr>
      <w:tr>
        <w:tc>
          <w:tcPr>
            <w:tcW w:type="dxa" w:w="2880"/>
          </w:tcPr>
          <w:p>
            <w:r>
              <w:t>Coefficient seeds and fit</w:t>
            </w:r>
          </w:p>
        </w:tc>
        <w:tc>
          <w:tcPr>
            <w:tcW w:type="dxa" w:w="1440"/>
          </w:tcPr>
          <w:p>
            <w:r>
              <w:t>§7.2.2</w:t>
            </w:r>
          </w:p>
        </w:tc>
        <w:tc>
          <w:tcPr>
            <w:tcW w:type="dxa" w:w="3600"/>
          </w:tcPr>
          <w:p>
            <w:r>
              <w:t>twin_seed_cu_v0.json</w:t>
            </w:r>
          </w:p>
        </w:tc>
      </w:tr>
      <w:tr>
        <w:tc>
          <w:tcPr>
            <w:tcW w:type="dxa" w:w="2880"/>
          </w:tcPr>
          <w:p>
            <w:r>
              <w:t>Branch separation rules</w:t>
            </w:r>
          </w:p>
        </w:tc>
        <w:tc>
          <w:tcPr>
            <w:tcW w:type="dxa" w:w="1440"/>
          </w:tcPr>
          <w:p>
            <w:r>
              <w:t>§7.2.3</w:t>
            </w:r>
          </w:p>
        </w:tc>
        <w:tc>
          <w:tcPr>
            <w:tcW w:type="dxa" w:w="3600"/>
          </w:tcPr>
          <w:p>
            <w:r>
              <w:t>—</w:t>
            </w:r>
          </w:p>
        </w:tc>
      </w:tr>
      <w:tr>
        <w:tc>
          <w:tcPr>
            <w:tcW w:type="dxa" w:w="2880"/>
          </w:tcPr>
          <w:p>
            <w:r>
              <w:t>Bridging control</w:t>
            </w:r>
          </w:p>
        </w:tc>
        <w:tc>
          <w:tcPr>
            <w:tcW w:type="dxa" w:w="1440"/>
          </w:tcPr>
          <w:p>
            <w:r>
              <w:t>§7.2.4</w:t>
            </w:r>
          </w:p>
        </w:tc>
        <w:tc>
          <w:tcPr>
            <w:tcW w:type="dxa" w:w="3600"/>
          </w:tcPr>
          <w:p>
            <w:r>
              <w:t>—</w:t>
            </w:r>
          </w:p>
        </w:tc>
      </w:tr>
      <w:tr>
        <w:tc>
          <w:tcPr>
            <w:tcW w:type="dxa" w:w="2880"/>
          </w:tcPr>
          <w:p>
            <w:r>
              <w:t>Conductance prediction</w:t>
            </w:r>
          </w:p>
        </w:tc>
        <w:tc>
          <w:tcPr>
            <w:tcW w:type="dxa" w:w="1440"/>
          </w:tcPr>
          <w:p>
            <w:r>
              <w:t>§7.3.1</w:t>
            </w:r>
          </w:p>
        </w:tc>
        <w:tc>
          <w:tcPr>
            <w:tcW w:type="dxa" w:w="3600"/>
          </w:tcPr>
          <w:p>
            <w:r>
              <w:t>conductance estimate</w:t>
            </w:r>
          </w:p>
        </w:tc>
      </w:tr>
      <w:tr>
        <w:tc>
          <w:tcPr>
            <w:tcW w:type="dxa" w:w="2880"/>
          </w:tcPr>
          <w:p>
            <w:r>
              <w:t>Mask-to-graph pipeline</w:t>
            </w:r>
          </w:p>
        </w:tc>
        <w:tc>
          <w:tcPr>
            <w:tcW w:type="dxa" w:w="1440"/>
          </w:tcPr>
          <w:p>
            <w:r>
              <w:t>§7.3.2</w:t>
            </w:r>
          </w:p>
        </w:tc>
        <w:tc>
          <w:tcPr>
            <w:tcW w:type="dxa" w:w="3600"/>
          </w:tcPr>
          <w:p>
            <w:r>
              <w:t>graph_hash</w:t>
            </w:r>
          </w:p>
        </w:tc>
      </w:tr>
      <w:tr>
        <w:tc>
          <w:tcPr>
            <w:tcW w:type="dxa" w:w="2880"/>
          </w:tcPr>
          <w:p>
            <w:r>
              <w:t>Falsifiability criteria</w:t>
            </w:r>
          </w:p>
        </w:tc>
        <w:tc>
          <w:tcPr>
            <w:tcW w:type="dxa" w:w="1440"/>
          </w:tcPr>
          <w:p>
            <w:r>
              <w:t>§7.3.3</w:t>
            </w:r>
          </w:p>
        </w:tc>
        <w:tc>
          <w:tcPr>
            <w:tcW w:type="dxa" w:w="3600"/>
          </w:tcPr>
          <w:p>
            <w:r>
              <w:t>twin_compare metrics</w:t>
            </w:r>
          </w:p>
        </w:tc>
      </w:tr>
      <w:tr>
        <w:tc>
          <w:tcPr>
            <w:tcW w:type="dxa" w:w="2880"/>
          </w:tcPr>
          <w:p>
            <w:r>
              <w:t>Module wiring (detail)</w:t>
            </w:r>
          </w:p>
        </w:tc>
        <w:tc>
          <w:tcPr>
            <w:tcW w:type="dxa" w:w="1440"/>
          </w:tcPr>
          <w:p>
            <w:r>
              <w:t>Appendix A</w:t>
            </w:r>
          </w:p>
        </w:tc>
        <w:tc>
          <w:tcPr>
            <w:tcW w:type="dxa" w:w="3600"/>
          </w:tcPr>
          <w:p>
            <w:r>
              <w:t>rontwin/ package</w:t>
            </w:r>
          </w:p>
        </w:tc>
      </w:tr>
    </w:tbl>
    <w:p/>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2"/>
      </w:pPr>
      <w:r>
        <w:t>7.1 Field Model</w:t>
      </w:r>
    </w:p>
    <w:p>
      <w:pPr>
        <w:pStyle w:val="Heading3"/>
      </w:pPr>
      <w:r>
        <w:t>7.1.1 Lattice Fields</w:t>
      </w:r>
    </w:p>
    <w:p>
      <w:r>
        <w:rPr>
          <w:b w:val="0"/>
          <w:i w:val="0"/>
        </w:rPr>
        <w:t>Use three lattice fields on a 2D grid aligned with the optical field of view:</w:t>
      </w:r>
    </w:p>
    <w:p>
      <w:pPr>
        <w:pStyle w:val="ListBullet"/>
      </w:pPr>
      <w:r>
        <w:t>φ — gap-averaged electrolyte potential with Dirichlet values at driven electrodes and existing deposit, and insulating Neumann boundaries at walls</w:t>
      </w:r>
    </w:p>
    <w:p>
      <w:pPr>
        <w:pStyle w:val="ListBullet"/>
      </w:pPr>
      <w:r>
        <w:t>c — ionic concentration updated with a reduced transport step (diffusion, migration, local consumption at the active interface)</w:t>
      </w:r>
    </w:p>
    <w:p>
      <w:pPr>
        <w:pStyle w:val="ListBullet"/>
      </w:pPr>
      <w:r>
        <w:t>q — normalized local charge-throughput history field (path-reinforcement proxy, not a microscopic charge-density claim)</w:t>
      </w:r>
    </w:p>
    <w:p>
      <w:pPr>
        <w:pStyle w:val="Heading3"/>
      </w:pPr>
      <w:r>
        <w:t>7.1.2 Timestep Update Order</w:t>
      </w:r>
    </w:p>
    <w:p>
      <w:r>
        <w:rPr>
          <w:b w:val="0"/>
          <w:i w:val="0"/>
        </w:rPr>
        <w:t>At each time step: solve φ from deposit mask and concentration; update c; update q as a cumulative local charge-throughput proxy preserving where sustained local current has previously favored advance.</w:t>
      </w:r>
    </w:p>
    <w:p>
      <w:pPr>
        <w:pStyle w:val="Heading2"/>
      </w:pPr>
      <w:r>
        <w:t>7.2 Growth Propensity and Branching</w:t>
      </w:r>
    </w:p>
    <w:p>
      <w:pPr>
        <w:pStyle w:val="Heading3"/>
      </w:pPr>
      <w:r>
        <w:t>7.2.1 Score Definition and Growth-Fire</w:t>
      </w:r>
    </w:p>
    <w:p>
      <w:r>
        <w:rPr>
          <w:b w:val="0"/>
          <w:i w:val="0"/>
        </w:rPr>
        <w:t>For an active tip, evaluate a 16-direction stencil centered on the current tip heading (22.5° angular resolution). For each admissible candidate direction d, define the trial cell x and compute:</w:t>
      </w:r>
    </w:p>
    <w:p>
      <w:r>
        <w:rPr>
          <w:b w:val="0"/>
          <w:i/>
        </w:rPr>
        <w:t>η = max(0, φ_metal(tip) − φ(x) − U_eq(c(x)))  [cathodic overpotential]</w:t>
      </w:r>
    </w:p>
    <w:p>
      <w:r>
        <w:rPr>
          <w:b w:val="0"/>
          <w:i/>
        </w:rPr>
        <w:t>align = max(0, dot(d, unit(−∇φ(x))))  [field alignment]</w:t>
      </w:r>
    </w:p>
    <w:p>
      <w:r>
        <w:rPr>
          <w:b w:val="0"/>
          <w:i/>
        </w:rPr>
        <w:t>dep = c(x) / (K_c + c(x))  [depletion factor]</w:t>
      </w:r>
    </w:p>
    <w:p>
      <w:r>
        <w:rPr>
          <w:b w:val="0"/>
          <w:i/>
        </w:rPr>
        <w:t>mem = q(x)  [history reinforcement]</w:t>
      </w:r>
    </w:p>
    <w:p>
      <w:r>
        <w:rPr>
          <w:b w:val="0"/>
          <w:i w:val="0"/>
        </w:rPr>
        <w:t>Local score: S = b₀ + b_η·η/η_ref + b_c·log(dep+ε) + b_a·align + b_q·mem − b_occ·occupied_neighbors(x) − b_halo·nonparent_halo_penalty(x). Normalize with softmax and define growth-fire probability so the tip advances when local ionic supply is not depleted, overpotential is favorable, the field points along the direction, and the region lies on a previously fed path; it becomes less likely when the candidate cell is crowded or would graze an existing non-parent branch.</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3"/>
      </w:pPr>
      <w:r>
        <w:t>7.2.2 Coefficient Seeding and Fitting</w:t>
      </w:r>
    </w:p>
    <w:p>
      <w:r>
        <w:rPr>
          <w:b w:val="0"/>
          <w:i w:val="0"/>
        </w:rPr>
        <w:t>Coefficients are seeded from literature signs and rough magnitudes plus cartridge geometry, then refined via constrained optimization on Stage B–C accepted runs while preserving sign constraints. Starting values for the copper v0 profile are in the table below; sign rationale is in the third column. Promote only if the fitted set beats naive baselines on a frozen held-out set (Section 10).</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i w:val="0"/>
        </w:rPr>
        <w:t>Literature-derived starting values (copper surrogate v0):</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fill="D5E8F0" w:val="clear"/>
          </w:tcPr>
          <w:p>
            <w:r>
              <w:rPr>
                <w:b/>
              </w:rPr>
              <w:t>Parameter</w:t>
            </w:r>
          </w:p>
        </w:tc>
        <w:tc>
          <w:tcPr>
            <w:tcW w:type="dxa" w:w="1728"/>
            <w:shd w:fill="D5E8F0" w:val="clear"/>
          </w:tcPr>
          <w:p>
            <w:r>
              <w:rPr>
                <w:b/>
              </w:rPr>
              <w:t>Starting value (Cu v0)</w:t>
            </w:r>
          </w:p>
        </w:tc>
        <w:tc>
          <w:tcPr>
            <w:tcW w:type="dxa" w:w="4896"/>
            <w:shd w:fill="D5E8F0" w:val="clear"/>
          </w:tcPr>
          <w:p>
            <w:r>
              <w:rPr>
                <w:b/>
              </w:rPr>
              <w:t>Literature / geometry basis</w:t>
            </w:r>
          </w:p>
        </w:tc>
      </w:tr>
      <w:tr>
        <w:tc>
          <w:tcPr>
            <w:tcW w:type="dxa" w:w="1296"/>
          </w:tcPr>
          <w:p>
            <w:r>
              <w:t>b₀</w:t>
            </w:r>
          </w:p>
        </w:tc>
        <w:tc>
          <w:tcPr>
            <w:tcW w:type="dxa" w:w="1728"/>
          </w:tcPr>
          <w:p>
            <w:r>
              <w:t>0.0</w:t>
            </w:r>
          </w:p>
        </w:tc>
        <w:tc>
          <w:tcPr>
            <w:tcW w:type="dxa" w:w="4896"/>
          </w:tcPr>
          <w:p>
            <w:r>
              <w:t>Neutral intercept; growth requires field-supported score terms</w:t>
            </w:r>
          </w:p>
        </w:tc>
      </w:tr>
      <w:tr>
        <w:tc>
          <w:tcPr>
            <w:tcW w:type="dxa" w:w="1296"/>
          </w:tcPr>
          <w:p>
            <w:r>
              <w:t>b_η</w:t>
            </w:r>
          </w:p>
        </w:tc>
        <w:tc>
          <w:tcPr>
            <w:tcW w:type="dxa" w:w="1728"/>
          </w:tcPr>
          <w:p>
            <w:r>
              <w:t>1.0</w:t>
            </w:r>
          </w:p>
        </w:tc>
        <w:tc>
          <w:tcPr>
            <w:tcW w:type="dxa" w:w="4896"/>
          </w:tcPr>
          <w:p>
            <w:r>
              <w:t>Normalized to η_ref; local overpotential drives interfacial flux (sharp-interface electrodeposition)</w:t>
            </w:r>
          </w:p>
        </w:tc>
      </w:tr>
      <w:tr>
        <w:tc>
          <w:tcPr>
            <w:tcW w:type="dxa" w:w="1296"/>
          </w:tcPr>
          <w:p>
            <w:r>
              <w:t>b_c</w:t>
            </w:r>
          </w:p>
        </w:tc>
        <w:tc>
          <w:tcPr>
            <w:tcW w:type="dxa" w:w="1728"/>
          </w:tcPr>
          <w:p>
            <w:r>
              <w:t>0.8</w:t>
            </w:r>
          </w:p>
        </w:tc>
        <w:tc>
          <w:tcPr>
            <w:tcW w:type="dxa" w:w="4896"/>
          </w:tcPr>
          <w:p>
            <w:r>
              <w:t>Ionic supply term; concentration–morphology coupling (phase-field dendrite models)</w:t>
            </w:r>
          </w:p>
        </w:tc>
      </w:tr>
      <w:tr>
        <w:tc>
          <w:tcPr>
            <w:tcW w:type="dxa" w:w="1296"/>
          </w:tcPr>
          <w:p>
            <w:r>
              <w:t>b_a</w:t>
            </w:r>
          </w:p>
        </w:tc>
        <w:tc>
          <w:tcPr>
            <w:tcW w:type="dxa" w:w="1728"/>
          </w:tcPr>
          <w:p>
            <w:r>
              <w:t>0.5</w:t>
            </w:r>
          </w:p>
        </w:tc>
        <w:tc>
          <w:tcPr>
            <w:tcW w:type="dxa" w:w="4896"/>
          </w:tcPr>
          <w:p>
            <w:r>
              <w:t>Field-alignment weight; transport-limited branching / DLA analogues</w:t>
            </w:r>
          </w:p>
        </w:tc>
      </w:tr>
      <w:tr>
        <w:tc>
          <w:tcPr>
            <w:tcW w:type="dxa" w:w="1296"/>
          </w:tcPr>
          <w:p>
            <w:r>
              <w:t>b_q</w:t>
            </w:r>
          </w:p>
        </w:tc>
        <w:tc>
          <w:tcPr>
            <w:tcW w:type="dxa" w:w="1728"/>
          </w:tcPr>
          <w:p>
            <w:r>
              <w:t>0.2</w:t>
            </w:r>
          </w:p>
        </w:tc>
        <w:tc>
          <w:tcPr>
            <w:tcW w:type="dxa" w:w="4896"/>
          </w:tcPr>
          <w:p>
            <w:r>
              <w:t>Secondary path-reinforcement; smaller than b_η and b_c</w:t>
            </w:r>
          </w:p>
        </w:tc>
      </w:tr>
      <w:tr>
        <w:tc>
          <w:tcPr>
            <w:tcW w:type="dxa" w:w="1296"/>
          </w:tcPr>
          <w:p>
            <w:r>
              <w:t>b_occ</w:t>
            </w:r>
          </w:p>
        </w:tc>
        <w:tc>
          <w:tcPr>
            <w:tcW w:type="dxa" w:w="1728"/>
          </w:tcPr>
          <w:p>
            <w:r>
              <w:t>−0.6</w:t>
            </w:r>
          </w:p>
        </w:tc>
        <w:tc>
          <w:tcPr>
            <w:tcW w:type="dxa" w:w="4896"/>
          </w:tcPr>
          <w:p>
            <w:r>
              <w:t>Occupancy penalty; discourages crowded tip attachments</w:t>
            </w:r>
          </w:p>
        </w:tc>
      </w:tr>
      <w:tr>
        <w:tc>
          <w:tcPr>
            <w:tcW w:type="dxa" w:w="1296"/>
          </w:tcPr>
          <w:p>
            <w:r>
              <w:t>b_halo</w:t>
            </w:r>
          </w:p>
        </w:tc>
        <w:tc>
          <w:tcPr>
            <w:tcW w:type="dxa" w:w="1728"/>
          </w:tcPr>
          <w:p>
            <w:r>
              <w:t>−0.8</w:t>
            </w:r>
          </w:p>
        </w:tc>
        <w:tc>
          <w:tcPr>
            <w:tcW w:type="dxa" w:w="4896"/>
          </w:tcPr>
          <w:p>
            <w:r>
              <w:t>Non-parent halo penalty; enforces image-resolvable branch separation</w:t>
            </w:r>
          </w:p>
        </w:tc>
      </w:tr>
      <w:tr>
        <w:tc>
          <w:tcPr>
            <w:tcW w:type="dxa" w:w="1296"/>
          </w:tcPr>
          <w:p>
            <w:r>
              <w:t>η_ref</w:t>
            </w:r>
          </w:p>
        </w:tc>
        <w:tc>
          <w:tcPr>
            <w:tcW w:type="dxa" w:w="1728"/>
          </w:tcPr>
          <w:p>
            <w:r>
              <w:t>50 mV</w:t>
            </w:r>
          </w:p>
        </w:tc>
        <w:tc>
          <w:tcPr>
            <w:tcW w:type="dxa" w:w="4896"/>
          </w:tcPr>
          <w:p>
            <w:r>
              <w:t>Expected cathodic overpotential order in Stage B safe window</w:t>
            </w:r>
          </w:p>
        </w:tc>
      </w:tr>
      <w:tr>
        <w:tc>
          <w:tcPr>
            <w:tcW w:type="dxa" w:w="1296"/>
          </w:tcPr>
          <w:p>
            <w:r>
              <w:t>K_c</w:t>
            </w:r>
          </w:p>
        </w:tc>
        <w:tc>
          <w:tcPr>
            <w:tcW w:type="dxa" w:w="1728"/>
          </w:tcPr>
          <w:p>
            <w:r>
              <w:t>0.10 M</w:t>
            </w:r>
          </w:p>
        </w:tc>
        <w:tc>
          <w:tcPr>
            <w:tcW w:type="dxa" w:w="4896"/>
          </w:tcPr>
          <w:p>
            <w:r>
              <w:t>Set equal to nominal bulk Cu²⁺ so dep ≈ 0.5 at commissioning concentration</w:t>
            </w:r>
          </w:p>
        </w:tc>
      </w:tr>
      <w:tr>
        <w:tc>
          <w:tcPr>
            <w:tcW w:type="dxa" w:w="1296"/>
          </w:tcPr>
          <w:p>
            <w:r>
              <w:t>ε</w:t>
            </w:r>
          </w:p>
        </w:tc>
        <w:tc>
          <w:tcPr>
            <w:tcW w:type="dxa" w:w="1728"/>
          </w:tcPr>
          <w:p>
            <w:r>
              <w:t>1×10⁻⁶</w:t>
            </w:r>
          </w:p>
        </w:tc>
        <w:tc>
          <w:tcPr>
            <w:tcW w:type="dxa" w:w="4896"/>
          </w:tcPr>
          <w:p>
            <w:r>
              <w:t>Numerical floor for log(dep + ε)</w:t>
            </w:r>
          </w:p>
        </w:tc>
      </w:tr>
      <w:tr>
        <w:tc>
          <w:tcPr>
            <w:tcW w:type="dxa" w:w="1296"/>
          </w:tcPr>
          <w:p>
            <w:r>
              <w:t>T_s</w:t>
            </w:r>
          </w:p>
        </w:tc>
        <w:tc>
          <w:tcPr>
            <w:tcW w:type="dxa" w:w="1728"/>
          </w:tcPr>
          <w:p>
            <w:r>
              <w:t>0.8</w:t>
            </w:r>
          </w:p>
        </w:tc>
        <w:tc>
          <w:tcPr>
            <w:tcW w:type="dxa" w:w="4896"/>
          </w:tcPr>
          <w:p>
            <w:r>
              <w:t>Softmax temperature; moderate directional stochasticity at tips</w:t>
            </w:r>
          </w:p>
        </w:tc>
      </w:tr>
      <w:tr>
        <w:tc>
          <w:tcPr>
            <w:tcW w:type="dxa" w:w="1296"/>
          </w:tcPr>
          <w:p>
            <w:r>
              <w:t>k_g</w:t>
            </w:r>
          </w:p>
        </w:tc>
        <w:tc>
          <w:tcPr>
            <w:tcW w:type="dxa" w:w="1728"/>
          </w:tcPr>
          <w:p>
            <w:r>
              <w:t>2.0 s⁻¹</w:t>
            </w:r>
          </w:p>
        </w:tc>
        <w:tc>
          <w:tcPr>
            <w:tcW w:type="dxa" w:w="4896"/>
          </w:tcPr>
          <w:p>
            <w:r>
              <w:t>Growth-fire rate; tune so mean inter-event time is ~0.3–0.7 s at Stage B tip velocities</w:t>
            </w:r>
          </w:p>
        </w:tc>
      </w:tr>
    </w:tbl>
    <w:p/>
    <w:p>
      <w:r>
        <w:rPr>
          <w:b w:val="0"/>
          <w:i w:val="0"/>
        </w:rPr>
        <w:t>Empirical fit (Stage B–D): minimize held-out tip velocity RMSE, branch-count distribution, branch-angle EMD, and time-to-bridge using a sign-constrained optimizer or bounded Bayesian search around the table seeds.</w:t>
      </w:r>
    </w:p>
    <w:p>
      <w:pPr>
        <w:pStyle w:val="Heading3"/>
      </w:pPr>
      <w:r>
        <w:t>7.2.3 Branch Separation Rule</w:t>
      </w:r>
    </w:p>
    <w:p>
      <w:r>
        <w:rPr>
          <w:b w:val="0"/>
          <w:i w:val="0"/>
        </w:rPr>
        <w:t>Use the top two non-adjacent local maxima of the directional score distribution. A branch event is permitted only if all of the following are true:</w:t>
      </w:r>
    </w:p>
    <w:p>
      <w:pPr>
        <w:pStyle w:val="ListNumber"/>
      </w:pPr>
      <w:r>
        <w:t>The two daughter directions are at least two bins apart on the 16-direction stencil (minimum angular split of 45°).</w:t>
      </w:r>
    </w:p>
    <w:p>
      <w:pPr>
        <w:pStyle w:val="ListNumber"/>
      </w:pPr>
      <w:r>
        <w:t>When projected four cells forward, the two rays remain at least three lattice cells apart.</w:t>
      </w:r>
    </w:p>
    <w:p>
      <w:pPr>
        <w:pStyle w:val="ListNumber"/>
      </w:pPr>
      <w:r>
        <w:t>Both projected rays remain outside a one-cell exclusion halo around all non-parent deposit pixels.</w:t>
      </w:r>
    </w:p>
    <w:p>
      <w:r>
        <w:rPr>
          <w:b w:val="0"/>
          <w:i w:val="0"/>
        </w:rPr>
        <w:t>If any condition fails, suppress the weaker maximum and execute a single advance. This is a deliberate engineering regularizer: the twin needs a concrete image-resolvable separation rule so that “two branches” in the model are not merely one unresolved thickened tip in the apparatus.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3"/>
      </w:pPr>
      <w:r>
        <w:t>7.2.4 Bridging Control</w:t>
      </w:r>
    </w:p>
    <w:p>
      <w:r>
        <w:rPr>
          <w:b w:val="0"/>
          <w:i w:val="0"/>
        </w:rPr>
        <w:t>Uncontrolled bridging is blocked by default. Unless the target morphology family explicitly includes a bridge, any candidate step entering the one-cell halo of a non-parent branch is inadmissible. The only exception is a bridge-enabled run in which the target signature expects closure and the conductance objective benefits from it. A bridge event is declared when the deposit mask connects to the opposing electrode or predicted two-terminal resistance crosses a preregistered bridge threshold for two consecutive samples.</w:t>
      </w:r>
    </w:p>
    <w:p>
      <w:pPr>
        <w:pStyle w:val="Heading2"/>
      </w:pPr>
      <w:r>
        <w:t>7.3 Readout and Validation</w:t>
      </w:r>
    </w:p>
    <w:p>
      <w:pPr>
        <w:pStyle w:val="Heading3"/>
      </w:pPr>
      <w:r>
        <w:t>7.3.1 Conductance Prediction</w:t>
      </w:r>
    </w:p>
    <w:p>
      <w:r>
        <w:rPr>
          <w:b w:val="0"/>
          <w:i w:val="0"/>
        </w:rPr>
        <w:t>Convert the deposit mask to a graph and assign edge resistance using fitted segment and junction parameters from local width (distance transform) and junction angle. This predicts conductance bands for the surrogate morphology, not atomistic transport or CNT electronic properties.</w:t>
      </w:r>
    </w:p>
    <w:p>
      <w:pPr>
        <w:pStyle w:val="Heading3"/>
      </w:pPr>
      <w:r>
        <w:t>7.3.2 Graph Extraction (Simulation and Physical Readout)</w:t>
      </w:r>
    </w:p>
    <w:p>
      <w:r>
        <w:rPr>
          <w:b w:val="0"/>
          <w:i w:val="0"/>
        </w:rPr>
        <w:t>Identical pipeline in simulation and physical readout:</w:t>
      </w:r>
    </w:p>
    <w:tbl>
      <w:tblPr>
        <w:tblStyle w:val="TableGrid"/>
        <w:tblW w:type="auto" w:w="0"/>
        <w:jc w:val="center"/>
        <w:tblLook w:firstColumn="1" w:firstRow="1" w:lastColumn="0" w:lastRow="0" w:noHBand="0" w:noVBand="1" w:val="04A0"/>
      </w:tblPr>
      <w:tblGrid>
        <w:gridCol w:w="4320"/>
        <w:gridCol w:w="4320"/>
      </w:tblGrid>
      <w:tr>
        <w:tc>
          <w:tcPr>
            <w:tcW w:type="dxa" w:w="720"/>
            <w:shd w:fill="D5E8F0" w:val="clear"/>
          </w:tcPr>
          <w:p>
            <w:r>
              <w:rPr>
                <w:b/>
              </w:rPr>
              <w:t>Step</w:t>
            </w:r>
          </w:p>
        </w:tc>
        <w:tc>
          <w:tcPr>
            <w:tcW w:type="dxa" w:w="7200"/>
            <w:shd w:fill="D5E8F0" w:val="clear"/>
          </w:tcPr>
          <w:p>
            <w:r>
              <w:rPr>
                <w:b/>
              </w:rPr>
              <w:t>Action</w:t>
            </w:r>
          </w:p>
        </w:tc>
      </w:tr>
      <w:tr>
        <w:tc>
          <w:tcPr>
            <w:tcW w:type="dxa" w:w="720"/>
          </w:tcPr>
          <w:p>
            <w:r>
              <w:t>1</w:t>
            </w:r>
          </w:p>
        </w:tc>
        <w:tc>
          <w:tcPr>
            <w:tcW w:type="dxa" w:w="7200"/>
          </w:tcPr>
          <w:p>
            <w:r>
              <w:t>Flat-field correct and register to fixed fiducials</w:t>
            </w:r>
          </w:p>
        </w:tc>
      </w:tr>
      <w:tr>
        <w:tc>
          <w:tcPr>
            <w:tcW w:type="dxa" w:w="720"/>
          </w:tcPr>
          <w:p>
            <w:r>
              <w:t>2</w:t>
            </w:r>
          </w:p>
        </w:tc>
        <w:tc>
          <w:tcPr>
            <w:tcW w:type="dxa" w:w="7200"/>
          </w:tcPr>
          <w:p>
            <w:r>
              <w:t>Denoise lightly and binarize</w:t>
            </w:r>
          </w:p>
        </w:tc>
      </w:tr>
      <w:tr>
        <w:tc>
          <w:tcPr>
            <w:tcW w:type="dxa" w:w="720"/>
          </w:tcPr>
          <w:p>
            <w:r>
              <w:t>3</w:t>
            </w:r>
          </w:p>
        </w:tc>
        <w:tc>
          <w:tcPr>
            <w:tcW w:type="dxa" w:w="7200"/>
          </w:tcPr>
          <w:p>
            <w:r>
              <w:t>Morphological close-open pass (preserve branches above minimum width)</w:t>
            </w:r>
          </w:p>
        </w:tc>
      </w:tr>
      <w:tr>
        <w:tc>
          <w:tcPr>
            <w:tcW w:type="dxa" w:w="720"/>
          </w:tcPr>
          <w:p>
            <w:r>
              <w:t>4</w:t>
            </w:r>
          </w:p>
        </w:tc>
        <w:tc>
          <w:tcPr>
            <w:tcW w:type="dxa" w:w="7200"/>
          </w:tcPr>
          <w:p>
            <w:r>
              <w:t>Skeletonize; remove spurs shorter than configured minimum</w:t>
            </w:r>
          </w:p>
        </w:tc>
      </w:tr>
      <w:tr>
        <w:tc>
          <w:tcPr>
            <w:tcW w:type="dxa" w:w="720"/>
          </w:tcPr>
          <w:p>
            <w:r>
              <w:t>5</w:t>
            </w:r>
          </w:p>
        </w:tc>
        <w:tc>
          <w:tcPr>
            <w:tcW w:type="dxa" w:w="7200"/>
          </w:tcPr>
          <w:p>
            <w:r>
              <w:t>Create nodes at degree-1 and degree&gt;2; trace edges</w:t>
            </w:r>
          </w:p>
        </w:tc>
      </w:tr>
      <w:tr>
        <w:tc>
          <w:tcPr>
            <w:tcW w:type="dxa" w:w="720"/>
          </w:tcPr>
          <w:p>
            <w:r>
              <w:t>6</w:t>
            </w:r>
          </w:p>
        </w:tc>
        <w:tc>
          <w:tcPr>
            <w:tcW w:type="dxa" w:w="7200"/>
          </w:tcPr>
          <w:p>
            <w:r>
              <w:t>Annotate edges: length, width, birth time, field-at-birth, conductivity</w:t>
            </w:r>
          </w:p>
        </w:tc>
      </w:tr>
    </w:tbl>
    <w:p/>
    <w:p>
      <w:pPr>
        <w:pStyle w:val="Heading3"/>
      </w:pPr>
      <w:r>
        <w:t>7.3.3 Twin Falsifiability</w:t>
      </w:r>
    </w:p>
    <w:p>
      <w:r>
        <w:rPr>
          <w:b w:val="0"/>
          <w:i w:val="0"/>
        </w:rPr>
        <w:t>The twin is not predictive merely because output “looks dendritic.” It must beat at least two declared baselines on held-out runs: (1) nearest-electrode straight-growth baseline, and (2) unguided stochastic branching baseline ignoring field and transport updates. Held-out metrics include growth-front velocity, branch-count distribution, branch-angle statistics, time-to-bridge, and effective terminal resistance.</w:t>
      </w:r>
    </w:p>
    <w:p>
      <w:r>
        <w:rPr>
          <w:b w:val="0"/>
          <w:i/>
        </w:rPr>
        <w:t>Implementation wiring for the twin module is in Appendix A.</w:t>
      </w:r>
    </w:p>
    <w:p>
      <w:pPr>
        <w:pStyle w:val="Heading1"/>
      </w:pPr>
      <w:r>
        <w:t>8. Write–Read–Compare Evidence Loop</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Targets are morphology families plus electrical bands—not exact pixel maps.</w:t>
            </w:r>
          </w:p>
          <w:p>
            <w:pPr>
              <w:pStyle w:val="ListBullet"/>
              <w:ind w:left="216"/>
            </w:pPr>
            <w:r>
              <w:t>Every run is manifest-first with cryptographic chaining; missing provenance forces HOLD.</w:t>
            </w:r>
          </w:p>
          <w:p>
            <w:pPr>
              <w:pStyle w:val="ListBullet"/>
              <w:ind w:left="216"/>
            </w:pPr>
            <w:r>
              <w:t>Comparison is decomposed (morphology, electrical, history, confidence)—not a single opaque score.</w:t>
            </w:r>
          </w:p>
          <w:p>
            <w:pPr>
              <w:pStyle w:val="ListBullet"/>
              <w:ind w:left="216"/>
            </w:pPr>
            <w:r>
              <w:t>Accepted runs enter statistics when provenance-valid, regardless of PASS/HOLD/FAIL label.</w:t>
            </w:r>
          </w:p>
        </w:tc>
      </w:tr>
    </w:tbl>
    <w:p/>
    <w:p>
      <w:pPr>
        <w:pStyle w:val="Heading2"/>
      </w:pPr>
      <w:r>
        <w:t>8.1 Target Specification</w:t>
      </w:r>
    </w:p>
    <w:p>
      <w:r>
        <w:rPr>
          <w:b w:val="0"/>
          <w:i w:val="0"/>
        </w:rPr>
        <w:t>Each intended write is defined as a morphology family plus an electrical band, not as a single exact pixel map. A target object includes: allowed endpoint regions; required or forbidden connectivity; allowed branch-count range; angle/asymmetry envelope; occupied-area fraction; target resistance or impedance band; and storage intent (temporary branch probe, stable bridge, or rewrite candidate).</w:t>
      </w:r>
    </w:p>
    <w:p>
      <w:pPr>
        <w:pStyle w:val="Heading2"/>
      </w:pPr>
      <w:r>
        <w:t>8.2 Provenance Capture</w:t>
      </w:r>
    </w:p>
    <w:p>
      <w:r>
        <w:rPr>
          <w:b w:val="0"/>
          <w:i w:val="0"/>
        </w:rPr>
        <w:t>Every run generates a manifest before execution, cryptographically chained to produced data. The run hash covers target definition, adapter version, chemistry profile, cartridge ID, source script, environment log, electrical time series, and raw image stack. If any piece is missing, the run is automatically HOLD, not PASS.</w:t>
      </w:r>
    </w:p>
    <w:p>
      <w:pPr>
        <w:pStyle w:val="Heading2"/>
      </w:pPr>
      <w:r>
        <w:t>8.3 Comparison Protocol</w:t>
      </w:r>
    </w:p>
    <w:p>
      <w:r>
        <w:rPr>
          <w:b w:val="0"/>
          <w:i w:val="0"/>
        </w:rPr>
        <w:t>The comparison artifact (twin_compare) is machine-readable and decomposed. Core v0 metrics: mask IoU, tip-position RMSE after matching, normalized graph edit distance, branch-angle Earth Mover’s Distance, effective-resistance relative error, and branch-onset timing error when relevant.</w:t>
      </w:r>
    </w:p>
    <w:p>
      <w:pPr>
        <w:pStyle w:val="Heading2"/>
      </w:pPr>
      <w:r>
        <w:t>8.4 PASS, HOLD, and FAIL Gate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fill="D5E8F0" w:val="clear"/>
          </w:tcPr>
          <w:p>
            <w:r>
              <w:rPr>
                <w:b/>
              </w:rPr>
              <w:t>Outcome</w:t>
            </w:r>
          </w:p>
        </w:tc>
        <w:tc>
          <w:tcPr>
            <w:tcW w:type="dxa" w:w="5040"/>
            <w:shd w:fill="D5E8F0" w:val="clear"/>
          </w:tcPr>
          <w:p>
            <w:r>
              <w:rPr>
                <w:b/>
              </w:rPr>
              <w:t>Required Conditions</w:t>
            </w:r>
          </w:p>
        </w:tc>
        <w:tc>
          <w:tcPr>
            <w:tcW w:type="dxa" w:w="3168"/>
            <w:shd w:fill="D5E8F0" w:val="clear"/>
          </w:tcPr>
          <w:p>
            <w:r>
              <w:rPr>
                <w:b/>
              </w:rPr>
              <w:t>Interpretation</w:t>
            </w:r>
          </w:p>
        </w:tc>
      </w:tr>
      <w:tr>
        <w:tc>
          <w:tcPr>
            <w:tcW w:type="dxa" w:w="1152"/>
          </w:tcPr>
          <w:p>
            <w:r>
              <w:t>PASS</w:t>
            </w:r>
          </w:p>
        </w:tc>
        <w:tc>
          <w:tcPr>
            <w:tcW w:type="dxa" w:w="5040"/>
          </w:tcPr>
          <w:p>
            <w:r>
              <w:t>Complete provenance; no safety anomaly; confidence high; target-family metrics within band; twin within tolerance</w:t>
            </w:r>
          </w:p>
        </w:tc>
        <w:tc>
          <w:tcPr>
            <w:tcW w:type="dxa" w:w="3168"/>
          </w:tcPr>
          <w:p>
            <w:r>
              <w:t>Valid brush, eligible to update priors</w:t>
            </w:r>
          </w:p>
        </w:tc>
      </w:tr>
      <w:tr>
        <w:tc>
          <w:tcPr>
            <w:tcW w:type="dxa" w:w="1152"/>
          </w:tcPr>
          <w:p>
            <w:r>
              <w:t>HOLD</w:t>
            </w:r>
          </w:p>
        </w:tc>
        <w:tc>
          <w:tcPr>
            <w:tcW w:type="dxa" w:w="5040"/>
          </w:tcPr>
          <w:p>
            <w:r>
              <w:t>Missing or ambiguous evidence; low confidence; morphology/electrical disagreement; equifinality; insufficient repeats</w:t>
            </w:r>
          </w:p>
        </w:tc>
        <w:tc>
          <w:tcPr>
            <w:tcW w:type="dxa" w:w="3168"/>
          </w:tcPr>
          <w:p>
            <w:r>
              <w:t>Preserved unresolved state, no adapter update</w:t>
            </w:r>
          </w:p>
        </w:tc>
      </w:tr>
      <w:tr>
        <w:tc>
          <w:tcPr>
            <w:tcW w:type="dxa" w:w="1152"/>
          </w:tcPr>
          <w:p>
            <w:r>
              <w:t>FAIL</w:t>
            </w:r>
          </w:p>
        </w:tc>
        <w:tc>
          <w:tcPr>
            <w:tcW w:type="dxa" w:w="5040"/>
          </w:tcPr>
          <w:p>
            <w:r>
              <w:t>High-confidence mismatch; safety-stop; leak; uncontrolled bridge; wrong schedule; unusable readout</w:t>
            </w:r>
          </w:p>
        </w:tc>
        <w:tc>
          <w:tcPr>
            <w:tcW w:type="dxa" w:w="3168"/>
          </w:tcPr>
          <w:p>
            <w:r>
              <w:t>Negative brush, may update failure field after review</w:t>
            </w:r>
          </w:p>
        </w:tc>
      </w:tr>
    </w:tbl>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Starting v0 decision bands: PASS if confidence scores exceed 0.90, mask IoU ≥ 0.75, normalized graph edit distance ≤ 0.25, tip RMSE ≤ 0.05×initial electrode gap, and relative resistance error ≤ 0.20. HOLD for gray bands (e.g., IoU 0.60–0.75 or resistance error 0.20–0.35). FAIL on broken provenance, hard anomaly, or OOD score exceeding threshold.</w:t>
      </w:r>
    </w:p>
    <w:p>
      <w:pPr>
        <w:pStyle w:val="Heading2"/>
      </w:pPr>
      <w:r>
        <w:t>8.5 Accepted Run Definition</w:t>
      </w:r>
    </w:p>
    <w:p>
      <w:r>
        <w:rPr>
          <w:b w:val="0"/>
          <w:i w:val="0"/>
        </w:rPr>
        <w:t>An accepted run is one that is provenance-complete, instrument-valid, and extraction-valid enough to enter statistics, regardless of whether its scientific outcome label is PASS, HOLD, or FAIL. Low-confidence, provenance-incomplete, or extraction-failed brushes are written to a quarantine ledger and retained under HOLD rather than admitted into training sets.</w:t>
      </w:r>
    </w:p>
    <w:p>
      <w:pPr>
        <w:pStyle w:val="Heading1"/>
      </w:pPr>
      <w:r>
        <w:t>9. Association Fields and Brush Governance</w:t>
      </w:r>
    </w:p>
    <w:p>
      <w:r>
        <w:rPr>
          <w:b w:val="0"/>
          <w:i w:val="0"/>
        </w:rPr>
        <w:t>Every association must carry its diff. A physical brush should not update priors merely because it produced an impressive morphology once. It updates priors only after completeness, reproducibility, and held-out informativeness are demonstrated.</w:t>
      </w:r>
    </w:p>
    <w:p>
      <w:pPr>
        <w:pStyle w:val="Heading2"/>
      </w:pPr>
      <w:r>
        <w:t>9.1 Brush States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D5E8F0" w:val="clear"/>
          </w:tcPr>
          <w:p>
            <w:r>
              <w:rPr>
                <w:b/>
              </w:rPr>
              <w:t>Brush State</w:t>
            </w:r>
          </w:p>
        </w:tc>
        <w:tc>
          <w:tcPr>
            <w:tcW w:type="dxa" w:w="3600"/>
            <w:shd w:fill="D5E8F0" w:val="clear"/>
          </w:tcPr>
          <w:p>
            <w:r>
              <w:rPr>
                <w:b/>
              </w:rPr>
              <w:t>Minimum Conditions</w:t>
            </w:r>
          </w:p>
        </w:tc>
        <w:tc>
          <w:tcPr>
            <w:tcW w:type="dxa" w:w="1872"/>
            <w:shd w:fill="D5E8F0" w:val="clear"/>
          </w:tcPr>
          <w:p>
            <w:r>
              <w:rPr>
                <w:b/>
              </w:rPr>
              <w:t>May Update Priors?</w:t>
            </w:r>
          </w:p>
        </w:tc>
        <w:tc>
          <w:tcPr>
            <w:tcW w:type="dxa" w:w="2160"/>
            <w:shd w:fill="D5E8F0" w:val="clear"/>
          </w:tcPr>
          <w:p>
            <w:r>
              <w:rPr>
                <w:b/>
              </w:rPr>
              <w:t>Handling</w:t>
            </w:r>
          </w:p>
        </w:tc>
      </w:tr>
      <w:tr>
        <w:tc>
          <w:tcPr>
            <w:tcW w:type="dxa" w:w="1728"/>
          </w:tcPr>
          <w:p>
            <w:r>
              <w:t>record_only</w:t>
            </w:r>
          </w:p>
        </w:tc>
        <w:tc>
          <w:tcPr>
            <w:tcW w:type="dxa" w:w="3600"/>
          </w:tcPr>
          <w:p>
            <w:r>
              <w:t>Provenance incomplete, anomaly flag, or low segmentation confidence</w:t>
            </w:r>
          </w:p>
        </w:tc>
        <w:tc>
          <w:tcPr>
            <w:tcW w:type="dxa" w:w="1872"/>
          </w:tcPr>
          <w:p>
            <w:r>
              <w:t>No</w:t>
            </w:r>
          </w:p>
        </w:tc>
        <w:tc>
          <w:tcPr>
            <w:tcW w:type="dxa" w:w="2160"/>
          </w:tcPr>
          <w:p>
            <w:r>
              <w:t>Store raw artifacts and diff only</w:t>
            </w:r>
          </w:p>
        </w:tc>
      </w:tr>
      <w:tr>
        <w:tc>
          <w:tcPr>
            <w:tcW w:type="dxa" w:w="1728"/>
          </w:tcPr>
          <w:p>
            <w:r>
              <w:t>candidate</w:t>
            </w:r>
          </w:p>
        </w:tc>
        <w:tc>
          <w:tcPr>
            <w:tcW w:type="dxa" w:w="3600"/>
          </w:tcPr>
          <w:p>
            <w:r>
              <w:t>Provenance complete, confidence pass, insufficient repeats</w:t>
            </w:r>
          </w:p>
        </w:tc>
        <w:tc>
          <w:tcPr>
            <w:tcW w:type="dxa" w:w="1872"/>
          </w:tcPr>
          <w:p>
            <w:r>
              <w:t>No</w:t>
            </w:r>
          </w:p>
        </w:tc>
        <w:tc>
          <w:tcPr>
            <w:tcW w:type="dxa" w:w="2160"/>
          </w:tcPr>
          <w:p>
            <w:r>
              <w:t>Eligible for repeat queue</w:t>
            </w:r>
          </w:p>
        </w:tc>
      </w:tr>
      <w:tr>
        <w:tc>
          <w:tcPr>
            <w:tcW w:type="dxa" w:w="1728"/>
          </w:tcPr>
          <w:p>
            <w:r>
              <w:t>update_eligible</w:t>
            </w:r>
          </w:p>
        </w:tc>
        <w:tc>
          <w:tcPr>
            <w:tcW w:type="dxa" w:w="3600"/>
          </w:tcPr>
          <w:p>
            <w:r>
              <w:t>Quality pass plus minimum reproducibility met</w:t>
            </w:r>
          </w:p>
        </w:tc>
        <w:tc>
          <w:tcPr>
            <w:tcW w:type="dxa" w:w="1872"/>
          </w:tcPr>
          <w:p>
            <w:r>
              <w:t>Yes, in shadow retrain only</w:t>
            </w:r>
          </w:p>
        </w:tc>
        <w:tc>
          <w:tcPr>
            <w:tcW w:type="dxa" w:w="2160"/>
          </w:tcPr>
          <w:p>
            <w:r>
              <w:t>Compare against active priors on held-out set</w:t>
            </w:r>
          </w:p>
        </w:tc>
      </w:tr>
      <w:tr>
        <w:tc>
          <w:tcPr>
            <w:tcW w:type="dxa" w:w="1728"/>
          </w:tcPr>
          <w:p>
            <w:r>
              <w:t>contradiction</w:t>
            </w:r>
          </w:p>
        </w:tc>
        <w:tc>
          <w:tcPr>
            <w:tcW w:type="dxa" w:w="3600"/>
          </w:tcPr>
          <w:p>
            <w:r>
              <w:t>Repeated disagreement with active priors beyond prediction intervals</w:t>
            </w:r>
          </w:p>
        </w:tc>
        <w:tc>
          <w:tcPr>
            <w:tcW w:type="dxa" w:w="1872"/>
          </w:tcPr>
          <w:p>
            <w:r>
              <w:t>No immediate overwrite</w:t>
            </w:r>
          </w:p>
        </w:tc>
        <w:tc>
          <w:tcPr>
            <w:tcW w:type="dxa" w:w="2160"/>
          </w:tcPr>
          <w:p>
            <w:r>
              <w:t>Open AMCVA / HOLD path and freeze affected prior</w:t>
            </w:r>
          </w:p>
        </w:tc>
      </w:tr>
    </w:tbl>
    <w:p/>
    <w:p>
      <w:pPr>
        <w:pStyle w:val="Heading2"/>
      </w:pPr>
      <w:r>
        <w:t>9.2 Minimum Reproducibility Requirements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Extension priors: at least 5 accepted repeats under the same manifest class, with CV of tip velocity ≤ 15% and consistent sign of response in at least 4 of 5 repeats.</w:t>
      </w:r>
    </w:p>
    <w:p>
      <w:r>
        <w:rPr>
          <w:b w:val="0"/>
          <w:i w:val="0"/>
        </w:rPr>
        <w:t>Branching priors: at least 8 accepted repeats per condition, with effect sign reproduced (p &lt; 0.05 or Bayesian posterior &gt; 0.99) and 95% interval width on P(branch in Δt) ≤ 0.20.</w:t>
      </w:r>
    </w:p>
    <w:p>
      <w:r>
        <w:rPr>
          <w:b w:val="0"/>
          <w:i w:val="0"/>
        </w:rPr>
        <w:t>Bridging priors: at least 10 accepted repeats in the same residual-gap bin, with at least 3 bridge and 3 non-bridge outcomes for hazard estimation, or median absolute error on bridge-time quantiles below 15% of observation horizon.</w:t>
      </w:r>
    </w:p>
    <w:p>
      <w:pPr>
        <w:pStyle w:val="Heading2"/>
      </w:pPr>
      <w:r>
        <w:t>9.3 Association Field Families</w:t>
      </w:r>
    </w:p>
    <w:p>
      <w:pPr>
        <w:pStyle w:val="ListBullet"/>
      </w:pPr>
      <w:r>
        <w:t>Extension-response: Links schedules to front motion, charge efficiency, and resistance change</w:t>
      </w:r>
    </w:p>
    <w:p>
      <w:pPr>
        <w:pStyle w:val="ListBullet"/>
      </w:pPr>
      <w:r>
        <w:t>Branch-formation: Links field geometry and pulse structure to branch statistics</w:t>
      </w:r>
    </w:p>
    <w:p>
      <w:pPr>
        <w:pStyle w:val="ListBullet"/>
      </w:pPr>
      <w:r>
        <w:t>Failure: Captures bubbles, delamination, shorts, leaks, segmentation collapse</w:t>
      </w:r>
    </w:p>
    <w:p>
      <w:pPr>
        <w:pStyle w:val="ListBullet"/>
      </w:pPr>
      <w:r>
        <w:t>Conductance-fidelity: Records where morphology and electrical state agreed or disagreed</w:t>
      </w:r>
    </w:p>
    <w:p>
      <w:pPr>
        <w:pStyle w:val="ListBullet"/>
      </w:pPr>
      <w:r>
        <w:t>Pruning: Records what reverse-bias schedules removed and what scars they left</w:t>
      </w:r>
    </w:p>
    <w:p>
      <w:pPr>
        <w:pStyle w:val="ListBullet"/>
      </w:pPr>
      <w:r>
        <w:t>Replay: Stores outcome distributions for the same intended write</w:t>
      </w:r>
    </w:p>
    <w:p>
      <w:pPr>
        <w:pStyle w:val="Heading1"/>
      </w:pPr>
      <w:r>
        <w:t>10. Shadow Retrain and Promotion Workflow</w:t>
      </w:r>
    </w:p>
    <w:tbl>
      <w:tblPr>
        <w:tblStyle w:val="TableGrid"/>
        <w:tblW w:type="auto" w:w="0"/>
        <w:tblLook w:firstColumn="1" w:firstRow="1" w:lastColumn="0" w:lastRow="0" w:noHBand="0" w:noVBand="1" w:val="04A0"/>
      </w:tblPr>
      <w:tblGrid>
        <w:gridCol w:w="8640"/>
      </w:tblGrid>
      <w:tr>
        <w:tc>
          <w:tcPr>
            <w:tcW w:type="dxa" w:w="8640"/>
            <w:shd w:fill="E8F4EA" w:val="clear"/>
          </w:tcPr>
          <w:p>
            <w:r>
              <w:rPr>
                <w:b/>
                <w:sz w:val="22"/>
              </w:rPr>
              <w:t>Key Design Decisions</w:t>
            </w:r>
          </w:p>
          <w:p>
            <w:pPr>
              <w:pStyle w:val="ListBullet"/>
              <w:ind w:left="216"/>
            </w:pPr>
            <w:r>
              <w:t>All model and surface updates follow a governed state machine—never informal retrain-on-feeling.</w:t>
            </w:r>
          </w:p>
          <w:p>
            <w:pPr>
              <w:pStyle w:val="ListBullet"/>
              <w:ind w:left="216"/>
            </w:pPr>
            <w:r>
              <w:t>A Calibration Manager service partitions datasets, watches drift, schedules shadow runs, and gates promotion.</w:t>
            </w:r>
          </w:p>
          <w:p>
            <w:pPr>
              <w:pStyle w:val="ListBullet"/>
              <w:ind w:left="216"/>
            </w:pPr>
            <w:r>
              <w:t>Shadow models train on D_active ∪ D_new but never on D_audit or D_shadow_eval during evaluation.</w:t>
            </w:r>
          </w:p>
          <w:p>
            <w:pPr>
              <w:pStyle w:val="ListBullet"/>
              <w:ind w:left="216"/>
            </w:pPr>
            <w:r>
              <w:t>Promotion enters probation; rollback is automatic on safety or metric regression.</w:t>
            </w:r>
          </w:p>
        </w:tc>
      </w:tr>
    </w:tbl>
    <w:p/>
    <w:tbl>
      <w:tblPr>
        <w:tblStyle w:val="TableGrid"/>
        <w:tblW w:type="auto" w:w="0"/>
        <w:tblLook w:firstColumn="1" w:firstRow="1" w:lastColumn="0" w:lastRow="0" w:noHBand="0" w:noVBand="1" w:val="04A0"/>
      </w:tblPr>
      <w:tblGrid>
        <w:gridCol w:w="8640"/>
      </w:tblGrid>
      <w:tr>
        <w:tc>
          <w:tcPr>
            <w:tcW w:type="dxa" w:w="8640"/>
            <w:shd w:fill="E8EEF4" w:val="clear"/>
          </w:tcPr>
          <w:p>
            <w:r>
              <w:rPr>
                <w:b/>
                <w:sz w:val="22"/>
              </w:rPr>
              <w:t>Operational Summary</w:t>
            </w:r>
          </w:p>
          <w:p>
            <w:r>
              <w:t>The Calibration Manager watches manifests and drift, partitions datasets, and when triggered trains a shadow candidate on D_active ∪ D_new. The shadow scores silently on D_shadow_eval while the active model still drives control. Promotion requires beating preregistered metrics, then enters probation; rollback restores the prior active version on regression.</w:t>
            </w:r>
          </w:p>
        </w:tc>
      </w:tr>
    </w:tbl>
    <w:p/>
    <w:p>
      <w:pPr>
        <w:pStyle w:val="Heading2"/>
      </w:pPr>
      <w:r>
        <w:t>10.0 Quick Reference</w:t>
      </w:r>
    </w:p>
    <w:p>
      <w:r>
        <w:rPr>
          <w:b w:val="0"/>
          <w:i/>
        </w:rPr>
        <w:t>Jump to a topic — threshold tables below use the standard commissioning disclaimer; wiring notes are in Appendix 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val="clear"/>
          </w:tcPr>
          <w:p>
            <w:r>
              <w:rPr>
                <w:b/>
              </w:rPr>
              <w:t>Topic</w:t>
            </w:r>
          </w:p>
        </w:tc>
        <w:tc>
          <w:tcPr>
            <w:tcW w:type="dxa" w:w="1440"/>
            <w:shd w:fill="D5E8F0" w:val="clear"/>
          </w:tcPr>
          <w:p>
            <w:r>
              <w:rPr>
                <w:b/>
              </w:rPr>
              <w:t>Subsection</w:t>
            </w:r>
          </w:p>
        </w:tc>
        <w:tc>
          <w:tcPr>
            <w:tcW w:type="dxa" w:w="3600"/>
            <w:shd w:fill="D5E8F0" w:val="clear"/>
          </w:tcPr>
          <w:p>
            <w:r>
              <w:rPr>
                <w:b/>
              </w:rPr>
              <w:t>Artifact / output</w:t>
            </w:r>
          </w:p>
        </w:tc>
      </w:tr>
      <w:tr>
        <w:tc>
          <w:tcPr>
            <w:tcW w:type="dxa" w:w="2880"/>
          </w:tcPr>
          <w:p>
            <w:r>
              <w:t>Calibration Manager role</w:t>
            </w:r>
          </w:p>
        </w:tc>
        <w:tc>
          <w:tcPr>
            <w:tcW w:type="dxa" w:w="1440"/>
          </w:tcPr>
          <w:p>
            <w:r>
              <w:t>§10.1</w:t>
            </w:r>
          </w:p>
        </w:tc>
        <w:tc>
          <w:tcPr>
            <w:tcW w:type="dxa" w:w="3600"/>
          </w:tcPr>
          <w:p>
            <w:r>
              <w:t>calibration_manager.py</w:t>
            </w:r>
          </w:p>
        </w:tc>
      </w:tr>
      <w:tr>
        <w:tc>
          <w:tcPr>
            <w:tcW w:type="dxa" w:w="2880"/>
          </w:tcPr>
          <w:p>
            <w:r>
              <w:t>Lifecycle state machine</w:t>
            </w:r>
          </w:p>
        </w:tc>
        <w:tc>
          <w:tcPr>
            <w:tcW w:type="dxa" w:w="1440"/>
          </w:tcPr>
          <w:p>
            <w:r>
              <w:t>§10.2</w:t>
            </w:r>
          </w:p>
        </w:tc>
        <w:tc>
          <w:tcPr>
            <w:tcW w:type="dxa" w:w="3600"/>
          </w:tcPr>
          <w:p>
            <w:r>
              <w:t>promotion_manifest.json</w:t>
            </w:r>
          </w:p>
        </w:tc>
      </w:tr>
      <w:tr>
        <w:tc>
          <w:tcPr>
            <w:tcW w:type="dxa" w:w="2880"/>
          </w:tcPr>
          <w:p>
            <w:r>
              <w:t>Retrain triggers</w:t>
            </w:r>
          </w:p>
        </w:tc>
        <w:tc>
          <w:tcPr>
            <w:tcW w:type="dxa" w:w="1440"/>
          </w:tcPr>
          <w:p>
            <w:r>
              <w:t>§10.3.1</w:t>
            </w:r>
          </w:p>
        </w:tc>
        <w:tc>
          <w:tcPr>
            <w:tcW w:type="dxa" w:w="3600"/>
          </w:tcPr>
          <w:p>
            <w:r>
              <w:t>—</w:t>
            </w:r>
          </w:p>
        </w:tc>
      </w:tr>
      <w:tr>
        <w:tc>
          <w:tcPr>
            <w:tcW w:type="dxa" w:w="2880"/>
          </w:tcPr>
          <w:p>
            <w:r>
              <w:t>Dataset partitions</w:t>
            </w:r>
          </w:p>
        </w:tc>
        <w:tc>
          <w:tcPr>
            <w:tcW w:type="dxa" w:w="1440"/>
          </w:tcPr>
          <w:p>
            <w:r>
              <w:t>§10.3.2</w:t>
            </w:r>
          </w:p>
        </w:tc>
        <w:tc>
          <w:tcPr>
            <w:tcW w:type="dxa" w:w="3600"/>
          </w:tcPr>
          <w:p>
            <w:r>
              <w:t>dataset_partition_manifest.json</w:t>
            </w:r>
          </w:p>
        </w:tc>
      </w:tr>
      <w:tr>
        <w:tc>
          <w:tcPr>
            <w:tcW w:type="dxa" w:w="2880"/>
          </w:tcPr>
          <w:p>
            <w:r>
              <w:t>Promotion gates</w:t>
            </w:r>
          </w:p>
        </w:tc>
        <w:tc>
          <w:tcPr>
            <w:tcW w:type="dxa" w:w="1440"/>
          </w:tcPr>
          <w:p>
            <w:r>
              <w:t>§10.4.1</w:t>
            </w:r>
          </w:p>
        </w:tc>
        <w:tc>
          <w:tcPr>
            <w:tcW w:type="dxa" w:w="3600"/>
          </w:tcPr>
          <w:p>
            <w:r>
              <w:t>promotion_manifest.json</w:t>
            </w:r>
          </w:p>
        </w:tc>
      </w:tr>
      <w:tr>
        <w:tc>
          <w:tcPr>
            <w:tcW w:type="dxa" w:w="2880"/>
          </w:tcPr>
          <w:p>
            <w:r>
              <w:t>Probation and rollback</w:t>
            </w:r>
          </w:p>
        </w:tc>
        <w:tc>
          <w:tcPr>
            <w:tcW w:type="dxa" w:w="1440"/>
          </w:tcPr>
          <w:p>
            <w:r>
              <w:t>§10.4.2</w:t>
            </w:r>
          </w:p>
        </w:tc>
        <w:tc>
          <w:tcPr>
            <w:tcW w:type="dxa" w:w="3600"/>
          </w:tcPr>
          <w:p>
            <w:r>
              <w:t>rollback_manifest.json</w:t>
            </w:r>
          </w:p>
        </w:tc>
      </w:tr>
      <w:tr>
        <w:tc>
          <w:tcPr>
            <w:tcW w:type="dxa" w:w="2880"/>
          </w:tcPr>
          <w:p>
            <w:r>
              <w:t>Service wiring (detail)</w:t>
            </w:r>
          </w:p>
        </w:tc>
        <w:tc>
          <w:tcPr>
            <w:tcW w:type="dxa" w:w="1440"/>
          </w:tcPr>
          <w:p>
            <w:r>
              <w:t>Appendix B</w:t>
            </w:r>
          </w:p>
        </w:tc>
        <w:tc>
          <w:tcPr>
            <w:tcW w:type="dxa" w:w="3600"/>
          </w:tcPr>
          <w:p>
            <w:r>
              <w:t>—</w:t>
            </w:r>
          </w:p>
        </w:tc>
      </w:tr>
    </w:tbl>
    <w:p/>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pPr>
        <w:pStyle w:val="Heading2"/>
      </w:pPr>
      <w:r>
        <w:t>10.1 Calibration Manager</w:t>
      </w:r>
    </w:p>
    <w:p>
      <w:pPr>
        <w:pStyle w:val="Heading3"/>
      </w:pPr>
      <w:r>
        <w:t>10.1.1 Service Role</w:t>
      </w:r>
    </w:p>
    <w:p>
      <w:r>
        <w:rPr>
          <w:b w:val="0"/>
          <w:i w:val="0"/>
        </w:rPr>
        <w:t>The Calibration Manager is a lightweight orchestration service—implementable as a single Python module (calibration_manager.py) in Phase Zero—that watches incoming run manifests, maintains dataset partitions (D_active, D_new, D_audit, D_shadow_eval), evaluates rolling drift against release baselines, schedules shadow retrains when triggers fire, scores shadow candidates against preregistered metrics, and executes promote/reject/probation/rollback transitions. It does not drive the apparatus directly; it governs when twin, adapter surface, and association-field versions may change.</w:t>
      </w:r>
    </w:p>
    <w:p>
      <w:pPr>
        <w:pStyle w:val="Heading3"/>
      </w:pPr>
      <w:r>
        <w:t>10.1.2 Emitted Artifacts</w:t>
      </w:r>
    </w:p>
    <w:p>
      <w:pPr>
        <w:pStyle w:val="ListBullet"/>
      </w:pPr>
      <w:r>
        <w:t>promotion_manifest.json — candidate version, metrics delta, dataset hashes, approver timestamp</w:t>
      </w:r>
    </w:p>
    <w:p>
      <w:pPr>
        <w:pStyle w:val="ListBullet"/>
      </w:pPr>
      <w:r>
        <w:t>rollback_manifest.json — restored active version, regression trigger, quarantined candidate ID</w:t>
      </w:r>
    </w:p>
    <w:p>
      <w:pPr>
        <w:pStyle w:val="ListBullet"/>
      </w:pPr>
      <w:r>
        <w:t>dataset_partition_manifest.json — current membership of D_active, D_new, D_audit, D_shadow_eval</w:t>
      </w:r>
    </w:p>
    <w:p>
      <w:pPr>
        <w:pStyle w:val="Heading2"/>
      </w:pPr>
      <w:r>
        <w:t>10.2 Lifecycle State Machine</w:t>
      </w:r>
    </w:p>
    <w:p>
      <w:pPr>
        <w:pStyle w:val="Heading3"/>
      </w:pPr>
      <w:r>
        <w:t>10.2.1 Transition Diagram</w:t>
      </w:r>
    </w:p>
    <w:p>
      <w:r>
        <w:rPr>
          <w:b/>
          <w:i w:val="0"/>
        </w:rPr>
        <w:t>ACTIVE_k → TRAIN_SHADOW_{k+1} → SHADOW_EVAL_{k+1} → PROMOTE_{k+1} or REJECT_{k+1}</w:t>
      </w:r>
    </w:p>
    <w:p>
      <w:r>
        <w:rPr>
          <w:b/>
          <w:i w:val="0"/>
        </w:rPr>
        <w:t>PROMOTE_{k+1} → PROBATION_{k+1} → CONFIRM_{k+1} or ROLLBACK_to_k</w:t>
      </w:r>
    </w:p>
    <w:p>
      <w:pPr>
        <w:pStyle w:val="Heading3"/>
      </w:pPr>
      <w:r>
        <w:t>10.2.2 State Responsibilities</w:t>
      </w:r>
    </w:p>
    <w:p>
      <w:pPr>
        <w:pStyle w:val="ListBullet"/>
      </w:pPr>
      <w:r>
        <w:t>TRAIN_SHADOW — fit candidate on D_active ∪ D_new; freeze candidate weights</w:t>
      </w:r>
    </w:p>
    <w:p>
      <w:pPr>
        <w:pStyle w:val="ListBullet"/>
      </w:pPr>
      <w:r>
        <w:t>SHADOW_EVAL — score silently on D_shadow_eval; active model remains live</w:t>
      </w:r>
    </w:p>
    <w:p>
      <w:pPr>
        <w:pStyle w:val="ListBullet"/>
      </w:pPr>
      <w:r>
        <w:t>PROBATION — promoted model drives control; matched-run logging against predecessor</w:t>
      </w:r>
    </w:p>
    <w:p>
      <w:pPr>
        <w:pStyle w:val="ListBullet"/>
      </w:pPr>
      <w:r>
        <w:t>ROLLBACK — restore ACTIVE_k; quarantine failed candidate; require postmortem</w:t>
      </w:r>
    </w:p>
    <w:p>
      <w:pPr>
        <w:pStyle w:val="Heading2"/>
      </w:pPr>
      <w:r>
        <w:t>10.3 Triggers and Datasets</w:t>
      </w:r>
    </w:p>
    <w:p>
      <w:pPr>
        <w:pStyle w:val="Heading3"/>
      </w:pPr>
      <w:r>
        <w:t>10.3.1 Trigger Sources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tbl>
      <w:tblPr>
        <w:tblStyle w:val="TableGrid"/>
        <w:tblW w:type="auto" w:w="0"/>
        <w:jc w:val="center"/>
        <w:tblLook w:firstColumn="1" w:firstRow="1" w:lastColumn="0" w:lastRow="0" w:noHBand="0" w:noVBand="1" w:val="04A0"/>
      </w:tblPr>
      <w:tblGrid>
        <w:gridCol w:w="4320"/>
        <w:gridCol w:w="4320"/>
      </w:tblGrid>
      <w:tr>
        <w:tc>
          <w:tcPr>
            <w:tcW w:type="dxa" w:w="1728"/>
            <w:shd w:fill="D5E8F0" w:val="clear"/>
          </w:tcPr>
          <w:p>
            <w:r>
              <w:rPr>
                <w:b/>
              </w:rPr>
              <w:t>Trigger</w:t>
            </w:r>
          </w:p>
        </w:tc>
        <w:tc>
          <w:tcPr>
            <w:tcW w:type="dxa" w:w="6192"/>
            <w:shd w:fill="D5E8F0" w:val="clear"/>
          </w:tcPr>
          <w:p>
            <w:r>
              <w:rPr>
                <w:b/>
              </w:rPr>
              <w:t>Condition</w:t>
            </w:r>
          </w:p>
        </w:tc>
      </w:tr>
      <w:tr>
        <w:tc>
          <w:tcPr>
            <w:tcW w:type="dxa" w:w="1728"/>
          </w:tcPr>
          <w:p>
            <w:r>
              <w:t>Run-count</w:t>
            </w:r>
          </w:p>
        </w:tc>
        <w:tc>
          <w:tcPr>
            <w:tcW w:type="dxa" w:w="6192"/>
          </w:tcPr>
          <w:p>
            <w:r>
              <w:t>At least 20 new accepted runs accumulated since last promotion</w:t>
            </w:r>
          </w:p>
        </w:tc>
      </w:tr>
      <w:tr>
        <w:tc>
          <w:tcPr>
            <w:tcW w:type="dxa" w:w="1728"/>
          </w:tcPr>
          <w:p>
            <w:r>
              <w:t>Drift</w:t>
            </w:r>
          </w:p>
        </w:tc>
        <w:tc>
          <w:tcPr>
            <w:tcW w:type="dxa" w:w="6192"/>
          </w:tcPr>
          <w:p>
            <w:r>
              <w:t>Active model rolling median morphology error or conductance miss rate exceeds release baseline for a fixed window</w:t>
            </w:r>
          </w:p>
        </w:tc>
      </w:tr>
      <w:tr>
        <w:tc>
          <w:tcPr>
            <w:tcW w:type="dxa" w:w="1728"/>
          </w:tcPr>
          <w:p>
            <w:r>
              <w:t>Operator</w:t>
            </w:r>
          </w:p>
        </w:tc>
        <w:tc>
          <w:tcPr>
            <w:tcW w:type="dxa" w:w="6192"/>
          </w:tcPr>
          <w:p>
            <w:r>
              <w:t>Chemistry class, electrode geometry class, camera calibration, or extraction-pipeline version changes</w:t>
            </w:r>
          </w:p>
        </w:tc>
      </w:tr>
    </w:tbl>
    <w:p/>
    <w:p>
      <w:pPr>
        <w:pStyle w:val="Heading3"/>
      </w:pPr>
      <w:r>
        <w:t>10.3.2 Dataset Definitions</w:t>
      </w:r>
    </w:p>
    <w:p>
      <w:r>
        <w:rPr>
          <w:b w:val="0"/>
          <w:i w:val="0"/>
        </w:rPr>
        <w:t>Active and shadow models must never train on the same definition of “current data.” Use four explicit datasets:</w:t>
      </w:r>
    </w:p>
    <w:p>
      <w:pPr>
        <w:pStyle w:val="ListBullet"/>
      </w:pPr>
      <w:r>
        <w:t>D_active — frozen promoted training set behind the currently active model</w:t>
      </w:r>
    </w:p>
    <w:p>
      <w:pPr>
        <w:pStyle w:val="ListBullet"/>
      </w:pPr>
      <w:r>
        <w:t>D_new — newly accepted runs since the last promotion cutoff</w:t>
      </w:r>
    </w:p>
    <w:p>
      <w:pPr>
        <w:pStyle w:val="ListBullet"/>
      </w:pPr>
      <w:r>
        <w:t>D_audit — frozen stratified audit set held out across operator families, morphology families, and risk regimes</w:t>
      </w:r>
    </w:p>
    <w:p>
      <w:pPr>
        <w:pStyle w:val="ListBullet"/>
      </w:pPr>
      <w:r>
        <w:t>D_shadow_eval — next runs collected after the shadow is trained</w:t>
      </w:r>
    </w:p>
    <w:p>
      <w:r>
        <w:rPr>
          <w:b w:val="0"/>
          <w:i w:val="0"/>
        </w:rPr>
        <w:t>Shadow model k+1 trains on D_active ∪ D_new but not on D_audit or D_shadow_eval. During shadow evaluation, the active model drives live control; the shadow only predicts and scores.</w:t>
      </w:r>
    </w:p>
    <w:p>
      <w:pPr>
        <w:pStyle w:val="Heading2"/>
      </w:pPr>
      <w:r>
        <w:t>10.4 Promotion and Probation</w:t>
      </w:r>
    </w:p>
    <w:p>
      <w:pPr>
        <w:pStyle w:val="Heading3"/>
      </w:pPr>
      <w:r>
        <w:t>10.4.1 Promotion Gates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tbl>
      <w:tblPr>
        <w:tblStyle w:val="TableGrid"/>
        <w:tblW w:type="auto" w:w="0"/>
        <w:jc w:val="center"/>
        <w:tblLook w:firstColumn="1" w:firstRow="1" w:lastColumn="0" w:lastRow="0" w:noHBand="0" w:noVBand="1" w:val="04A0"/>
      </w:tblPr>
      <w:tblGrid>
        <w:gridCol w:w="4320"/>
        <w:gridCol w:w="4320"/>
      </w:tblGrid>
      <w:tr>
        <w:tc>
          <w:tcPr>
            <w:tcW w:type="dxa" w:w="2160"/>
            <w:shd w:fill="D5E8F0" w:val="clear"/>
          </w:tcPr>
          <w:p>
            <w:r>
              <w:rPr>
                <w:b/>
              </w:rPr>
              <w:t>Gate</w:t>
            </w:r>
          </w:p>
        </w:tc>
        <w:tc>
          <w:tcPr>
            <w:tcW w:type="dxa" w:w="5760"/>
            <w:shd w:fill="D5E8F0" w:val="clear"/>
          </w:tcPr>
          <w:p>
            <w:r>
              <w:rPr>
                <w:b/>
              </w:rPr>
              <w:t>Condition</w:t>
            </w:r>
          </w:p>
        </w:tc>
      </w:tr>
      <w:tr>
        <w:tc>
          <w:tcPr>
            <w:tcW w:type="dxa" w:w="2160"/>
          </w:tcPr>
          <w:p>
            <w:r>
              <w:t>Shadow eval minimum</w:t>
            </w:r>
          </w:p>
        </w:tc>
        <w:tc>
          <w:tcPr>
            <w:tcW w:type="dxa" w:w="5760"/>
          </w:tcPr>
          <w:p>
            <w:r>
              <w:t>At least 12 new accepted runs in silent evaluation</w:t>
            </w:r>
          </w:p>
        </w:tc>
      </w:tr>
      <w:tr>
        <w:tc>
          <w:tcPr>
            <w:tcW w:type="dxa" w:w="2160"/>
          </w:tcPr>
          <w:p>
            <w:r>
              <w:t>Family repeats</w:t>
            </w:r>
          </w:p>
        </w:tc>
        <w:tc>
          <w:tcPr>
            <w:tcW w:type="dxa" w:w="5760"/>
          </w:tcPr>
          <w:p>
            <w:r>
              <w:t>At least 3 repeats in each operator family materially changed</w:t>
            </w:r>
          </w:p>
        </w:tc>
      </w:tr>
      <w:tr>
        <w:tc>
          <w:tcPr>
            <w:tcW w:type="dxa" w:w="2160"/>
          </w:tcPr>
          <w:p>
            <w:r>
              <w:t>Morphology error</w:t>
            </w:r>
          </w:p>
        </w:tc>
        <w:tc>
          <w:tcPr>
            <w:tcW w:type="dxa" w:w="5760"/>
          </w:tcPr>
          <w:p>
            <w:r>
              <w:t>At least 10% lower median morphology error vs active model</w:t>
            </w:r>
          </w:p>
        </w:tc>
      </w:tr>
      <w:tr>
        <w:tc>
          <w:tcPr>
            <w:tcW w:type="dxa" w:w="2160"/>
          </w:tcPr>
          <w:p>
            <w:r>
              <w:t>Conductance hit rate</w:t>
            </w:r>
          </w:p>
        </w:tc>
        <w:tc>
          <w:tcPr>
            <w:tcW w:type="dxa" w:w="5760"/>
          </w:tcPr>
          <w:p>
            <w:r>
              <w:t>No worse than 2 percentage points vs active model</w:t>
            </w:r>
          </w:p>
        </w:tc>
      </w:tr>
      <w:tr>
        <w:tc>
          <w:tcPr>
            <w:tcW w:type="dxa" w:w="2160"/>
          </w:tcPr>
          <w:p>
            <w:r>
              <w:t>Bridge safety</w:t>
            </w:r>
          </w:p>
        </w:tc>
        <w:tc>
          <w:tcPr>
            <w:tcW w:type="dxa" w:w="5760"/>
          </w:tcPr>
          <w:p>
            <w:r>
              <w:t>No increase in safety-critical bridge misses</w:t>
            </w:r>
          </w:p>
        </w:tc>
      </w:tr>
      <w:tr>
        <w:tc>
          <w:tcPr>
            <w:tcW w:type="dxa" w:w="2160"/>
          </w:tcPr>
          <w:p>
            <w:r>
              <w:t>Branch calibration</w:t>
            </w:r>
          </w:p>
        </w:tc>
        <w:tc>
          <w:tcPr>
            <w:tcW w:type="dxa" w:w="5760"/>
          </w:tcPr>
          <w:p>
            <w:r>
              <w:t>No worse calibration on branch/no-branch decisions</w:t>
            </w:r>
          </w:p>
        </w:tc>
      </w:tr>
    </w:tbl>
    <w:p/>
    <w:p>
      <w:pPr>
        <w:pStyle w:val="Heading3"/>
      </w:pPr>
      <w:r>
        <w:t>10.4.2 Probation and Rollback</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Once promoted, the new model enters probation for the first 10 accepted runs. Log matched-run comparisons between promoted and retired models. Roll back immediately if any row in the table below fires:</w:t>
      </w:r>
    </w:p>
    <w:tbl>
      <w:tblPr>
        <w:tblStyle w:val="TableGrid"/>
        <w:tblW w:type="auto" w:w="0"/>
        <w:jc w:val="center"/>
        <w:tblLook w:firstColumn="1" w:firstRow="1" w:lastColumn="0" w:lastRow="0" w:noHBand="0" w:noVBand="1" w:val="04A0"/>
      </w:tblPr>
      <w:tblGrid>
        <w:gridCol w:w="4320"/>
        <w:gridCol w:w="4320"/>
      </w:tblGrid>
      <w:tr>
        <w:tc>
          <w:tcPr>
            <w:tcW w:type="dxa" w:w="2592"/>
            <w:shd w:fill="D5E8F0" w:val="clear"/>
          </w:tcPr>
          <w:p>
            <w:r>
              <w:rPr>
                <w:b/>
              </w:rPr>
              <w:t>Rollback trigger</w:t>
            </w:r>
          </w:p>
        </w:tc>
        <w:tc>
          <w:tcPr>
            <w:tcW w:type="dxa" w:w="5328"/>
            <w:shd w:fill="D5E8F0" w:val="clear"/>
          </w:tcPr>
          <w:p>
            <w:r>
              <w:rPr>
                <w:b/>
              </w:rPr>
              <w:t>Condition</w:t>
            </w:r>
          </w:p>
        </w:tc>
      </w:tr>
      <w:tr>
        <w:tc>
          <w:tcPr>
            <w:tcW w:type="dxa" w:w="2592"/>
          </w:tcPr>
          <w:p>
            <w:r>
              <w:t>Morphology regression</w:t>
            </w:r>
          </w:p>
        </w:tc>
        <w:tc>
          <w:tcPr>
            <w:tcW w:type="dxa" w:w="5328"/>
          </w:tcPr>
          <w:p>
            <w:r>
              <w:t>Rolling median morphology error more than 10% worse than predecessor on matched runs</w:t>
            </w:r>
          </w:p>
        </w:tc>
      </w:tr>
      <w:tr>
        <w:tc>
          <w:tcPr>
            <w:tcW w:type="dxa" w:w="2592"/>
          </w:tcPr>
          <w:p>
            <w:r>
              <w:t>Conductance regression</w:t>
            </w:r>
          </w:p>
        </w:tc>
        <w:tc>
          <w:tcPr>
            <w:tcW w:type="dxa" w:w="5328"/>
          </w:tcPr>
          <w:p>
            <w:r>
              <w:t>Conductance-band miss rate worsens by more than 5 percentage points</w:t>
            </w:r>
          </w:p>
        </w:tc>
      </w:tr>
      <w:tr>
        <w:tc>
          <w:tcPr>
            <w:tcW w:type="dxa" w:w="2592"/>
          </w:tcPr>
          <w:p>
            <w:r>
              <w:t>Safety false negative</w:t>
            </w:r>
          </w:p>
        </w:tc>
        <w:tc>
          <w:tcPr>
            <w:tcW w:type="dxa" w:w="5328"/>
          </w:tcPr>
          <w:p>
            <w:r>
              <w:t>Bridge-risk or segmentation-collapse warning missed that predecessor would have caught</w:t>
            </w:r>
          </w:p>
        </w:tc>
      </w:tr>
      <w:tr>
        <w:tc>
          <w:tcPr>
            <w:tcW w:type="dxa" w:w="2592"/>
          </w:tcPr>
          <w:p>
            <w:r>
              <w:t>Control-attributed FAILs</w:t>
            </w:r>
          </w:p>
        </w:tc>
        <w:tc>
          <w:tcPr>
            <w:tcW w:type="dxa" w:w="5328"/>
          </w:tcPr>
          <w:p>
            <w:r>
              <w:t>Two consecutive FAIL outcomes attributed to promoted surface recommendations (not apparatus faults)</w:t>
            </w:r>
          </w:p>
        </w:tc>
      </w:tr>
    </w:tbl>
    <w:p/>
    <w:p>
      <w:r>
        <w:rPr>
          <w:b w:val="0"/>
          <w:i w:val="0"/>
        </w:rPr>
        <w:t>If rollback fires, restore ACTIVE_k, mark the failed candidate as quarantined, and require a postmortem before it may re-enter shadow.</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rPr>
        <w:t>Calibration Manager wiring is in Appendix B.</w:t>
      </w:r>
    </w:p>
    <w:p>
      <w:pPr>
        <w:pStyle w:val="Heading1"/>
      </w:pPr>
      <w:r>
        <w:t>11. Run-Time Diagnostics and Risk Thresholds</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D5E8F0" w:val="clear"/>
          </w:tcPr>
          <w:p>
            <w:r>
              <w:rPr>
                <w:b/>
              </w:rPr>
              <w:t>Risk</w:t>
            </w:r>
          </w:p>
        </w:tc>
        <w:tc>
          <w:tcPr>
            <w:tcW w:type="dxa" w:w="2592"/>
            <w:shd w:fill="D5E8F0" w:val="clear"/>
          </w:tcPr>
          <w:p>
            <w:r>
              <w:rPr>
                <w:b/>
              </w:rPr>
              <w:t>Early Diagnostic</w:t>
            </w:r>
          </w:p>
        </w:tc>
        <w:tc>
          <w:tcPr>
            <w:tcW w:type="dxa" w:w="2592"/>
            <w:shd w:fill="D5E8F0" w:val="clear"/>
          </w:tcPr>
          <w:p>
            <w:r>
              <w:rPr>
                <w:b/>
              </w:rPr>
              <w:t>Example Threshold</w:t>
            </w:r>
          </w:p>
        </w:tc>
        <w:tc>
          <w:tcPr>
            <w:tcW w:type="dxa" w:w="2304"/>
            <w:shd w:fill="D5E8F0" w:val="clear"/>
          </w:tcPr>
          <w:p>
            <w:r>
              <w:rPr>
                <w:b/>
              </w:rPr>
              <w:t>Response</w:t>
            </w:r>
          </w:p>
        </w:tc>
      </w:tr>
      <w:tr>
        <w:tc>
          <w:tcPr>
            <w:tcW w:type="dxa" w:w="1872"/>
          </w:tcPr>
          <w:p>
            <w:r>
              <w:t>Contact resistance drift</w:t>
            </w:r>
          </w:p>
        </w:tc>
        <w:tc>
          <w:tcPr>
            <w:tcW w:type="dxa" w:w="2592"/>
          </w:tcPr>
          <w:p>
            <w:r>
              <w:t>2-wire vs 4-wire delta, polarity reversal</w:t>
            </w:r>
          </w:p>
        </w:tc>
        <w:tc>
          <w:tcPr>
            <w:tcW w:type="dxa" w:w="2592"/>
          </w:tcPr>
          <w:p>
            <w:r>
              <w:t>&gt;10% drift during 60 s hold</w:t>
            </w:r>
          </w:p>
        </w:tc>
        <w:tc>
          <w:tcPr>
            <w:tcW w:type="dxa" w:w="2304"/>
          </w:tcPr>
          <w:p>
            <w:r>
              <w:t>Mark electrical readout low-confidence</w:t>
            </w:r>
          </w:p>
        </w:tc>
      </w:tr>
      <w:tr>
        <w:tc>
          <w:tcPr>
            <w:tcW w:type="dxa" w:w="1872"/>
          </w:tcPr>
          <w:p>
            <w:r>
              <w:t>Segmentation collapse</w:t>
            </w:r>
          </w:p>
        </w:tc>
        <w:tc>
          <w:tcPr>
            <w:tcW w:type="dxa" w:w="2592"/>
          </w:tcPr>
          <w:p>
            <w:r>
              <w:t>Focus metric, illumination drift, method disagreement</w:t>
            </w:r>
          </w:p>
        </w:tc>
        <w:tc>
          <w:tcPr>
            <w:tcW w:type="dxa" w:w="2592"/>
          </w:tcPr>
          <w:p>
            <w:r>
              <w:t>Confidence &lt; 0.90; registration residual &gt; 2 px</w:t>
            </w:r>
          </w:p>
        </w:tc>
        <w:tc>
          <w:tcPr>
            <w:tcW w:type="dxa" w:w="2304"/>
          </w:tcPr>
          <w:p>
            <w:r>
              <w:t>HOLD morphology update</w:t>
            </w:r>
          </w:p>
        </w:tc>
      </w:tr>
      <w:tr>
        <w:tc>
          <w:tcPr>
            <w:tcW w:type="dxa" w:w="1872"/>
          </w:tcPr>
          <w:p>
            <w:r>
              <w:t>Convection / evaporation</w:t>
            </w:r>
          </w:p>
        </w:tc>
        <w:tc>
          <w:tcPr>
            <w:tcW w:type="dxa" w:w="2592"/>
          </w:tcPr>
          <w:p>
            <w:r>
              <w:t>Meniscus tracking, bubble detector, temperature</w:t>
            </w:r>
          </w:p>
        </w:tc>
        <w:tc>
          <w:tcPr>
            <w:tcW w:type="dxa" w:w="2592"/>
          </w:tcPr>
          <w:p>
            <w:r>
              <w:t>Volume loss &gt; 1% per 10 min; temp drift &gt; 1 °C</w:t>
            </w:r>
          </w:p>
        </w:tc>
        <w:tc>
          <w:tcPr>
            <w:tcW w:type="dxa" w:w="2304"/>
          </w:tcPr>
          <w:p>
            <w:r>
              <w:t>Terminate run, exclude from calibration</w:t>
            </w:r>
          </w:p>
        </w:tc>
      </w:tr>
      <w:tr>
        <w:tc>
          <w:tcPr>
            <w:tcW w:type="dxa" w:w="1872"/>
          </w:tcPr>
          <w:p>
            <w:r>
              <w:t>Uncontrolled bridging</w:t>
            </w:r>
          </w:p>
        </w:tc>
        <w:tc>
          <w:tcPr>
            <w:tcW w:type="dxa" w:w="2592"/>
          </w:tcPr>
          <w:p>
            <w:r>
              <w:t>Conductance slope, nearest-gap estimate</w:t>
            </w:r>
          </w:p>
        </w:tc>
        <w:tc>
          <w:tcPr>
            <w:tcW w:type="dxa" w:w="2592"/>
          </w:tcPr>
          <w:p>
            <w:r>
              <w:t>10× conductance increase in &lt; 1 s; gap &lt; 3 px uncommanded</w:t>
            </w:r>
          </w:p>
        </w:tc>
        <w:tc>
          <w:tcPr>
            <w:tcW w:type="dxa" w:w="2304"/>
          </w:tcPr>
          <w:p>
            <w:r>
              <w:t>Hard stop or safe step-down</w:t>
            </w:r>
          </w:p>
        </w:tc>
      </w:tr>
    </w:tbl>
    <w:p/>
    <w:p>
      <w:r>
        <w:rPr>
          <w:b w:val="0"/>
          <w:i w:val="0"/>
        </w:rPr>
        <w:t>Morphology-confidence score v0 combines threshold stability, optical focus/contrast, agreement between independent segmentation routes, and fiducial registration consistency. Runs below 0.90 may be archived but must not update priors.</w:t>
      </w:r>
    </w:p>
    <w:p>
      <w:pPr>
        <w:pStyle w:val="Heading1"/>
      </w:pPr>
      <w:r>
        <w:t>12. Validation Stages and Exit Criteria</w:t>
      </w:r>
    </w:p>
    <w:p>
      <w:r>
        <w:rPr>
          <w:b w:val="0"/>
          <w:i w:val="0"/>
        </w:rPr>
        <w:t>Stage progression is conservative. A branch-modulation result without apparatus repeatability does not count. A promising twin evaluated only on training data does not count.</w:t>
      </w:r>
    </w:p>
    <w:p>
      <w:pPr>
        <w:pStyle w:val="Heading2"/>
      </w:pPr>
      <w:r>
        <w:t>12.1 Staged Sequence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D5E8F0" w:val="clear"/>
          </w:tcPr>
          <w:p>
            <w:r>
              <w:rPr>
                <w:b/>
              </w:rPr>
              <w:t>Stage</w:t>
            </w:r>
          </w:p>
        </w:tc>
        <w:tc>
          <w:tcPr>
            <w:tcW w:type="dxa" w:w="2160"/>
            <w:shd w:fill="D5E8F0" w:val="clear"/>
          </w:tcPr>
          <w:p>
            <w:r>
              <w:rPr>
                <w:b/>
              </w:rPr>
              <w:t>Question</w:t>
            </w:r>
          </w:p>
        </w:tc>
        <w:tc>
          <w:tcPr>
            <w:tcW w:type="dxa" w:w="2880"/>
            <w:shd w:fill="D5E8F0" w:val="clear"/>
          </w:tcPr>
          <w:p>
            <w:r>
              <w:rPr>
                <w:b/>
              </w:rPr>
              <w:t>Minimum Experiment</w:t>
            </w:r>
          </w:p>
        </w:tc>
        <w:tc>
          <w:tcPr>
            <w:tcW w:type="dxa" w:w="2448"/>
            <w:shd w:fill="D5E8F0" w:val="clear"/>
          </w:tcPr>
          <w:p>
            <w:r>
              <w:rPr>
                <w:b/>
              </w:rPr>
              <w:t>Exit Criterion</w:t>
            </w:r>
          </w:p>
        </w:tc>
      </w:tr>
      <w:tr>
        <w:tc>
          <w:tcPr>
            <w:tcW w:type="dxa" w:w="1872"/>
          </w:tcPr>
          <w:p>
            <w:r>
              <w:t>A — Apparatus repeatability</w:t>
            </w:r>
          </w:p>
        </w:tc>
        <w:tc>
          <w:tcPr>
            <w:tcW w:type="dxa" w:w="2160"/>
          </w:tcPr>
          <w:p>
            <w:r>
              <w:t>Is instrumentation stable?</w:t>
            </w:r>
          </w:p>
        </w:tc>
        <w:tc>
          <w:tcPr>
            <w:tcW w:type="dxa" w:w="2880"/>
          </w:tcPr>
          <w:p>
            <w:r>
              <w:t>Leak tests, dark baselines, repeated low-write readouts</w:t>
            </w:r>
          </w:p>
        </w:tc>
        <w:tc>
          <w:tcPr>
            <w:tcW w:type="dxa" w:w="2448"/>
          </w:tcPr>
          <w:p>
            <w:r>
              <w:t>Baseline noise and drift below preregistered limits</w:t>
            </w:r>
          </w:p>
        </w:tc>
      </w:tr>
      <w:tr>
        <w:tc>
          <w:tcPr>
            <w:tcW w:type="dxa" w:w="1872"/>
          </w:tcPr>
          <w:p>
            <w:r>
              <w:t>B — Monotonic extension</w:t>
            </w:r>
          </w:p>
        </w:tc>
        <w:tc>
          <w:tcPr>
            <w:tcW w:type="dxa" w:w="2160"/>
          </w:tcPr>
          <w:p>
            <w:r>
              <w:t>Can EXTEND be controlled?</w:t>
            </w:r>
          </w:p>
        </w:tc>
        <w:tc>
          <w:tcPr>
            <w:tcW w:type="dxa" w:w="2880"/>
          </w:tcPr>
          <w:p>
            <w:r>
              <w:t>Repeated low-complexity growth under bounded schedules</w:t>
            </w:r>
          </w:p>
        </w:tc>
        <w:tc>
          <w:tcPr>
            <w:tcW w:type="dxa" w:w="2448"/>
          </w:tcPr>
          <w:p>
            <w:r>
              <w:t>Predictable extension without shorting or uncontrolled gas</w:t>
            </w:r>
          </w:p>
        </w:tc>
      </w:tr>
      <w:tr>
        <w:tc>
          <w:tcPr>
            <w:tcW w:type="dxa" w:w="1872"/>
          </w:tcPr>
          <w:p>
            <w:r>
              <w:t>C — Branch modulation</w:t>
            </w:r>
          </w:p>
        </w:tc>
        <w:tc>
          <w:tcPr>
            <w:tcW w:type="dxa" w:w="2160"/>
          </w:tcPr>
          <w:p>
            <w:r>
              <w:t>Can BIFURCATE be biased?</w:t>
            </w:r>
          </w:p>
        </w:tc>
        <w:tc>
          <w:tcPr>
            <w:tcW w:type="dxa" w:w="2880"/>
          </w:tcPr>
          <w:p>
            <w:r>
              <w:t>Symmetric vs asymmetric schedules across replicates</w:t>
            </w:r>
          </w:p>
        </w:tc>
        <w:tc>
          <w:tcPr>
            <w:tcW w:type="dxa" w:w="2448"/>
          </w:tcPr>
          <w:p>
            <w:r>
              <w:t>Branch statistics shift in predicted direction</w:t>
            </w:r>
          </w:p>
        </w:tc>
      </w:tr>
      <w:tr>
        <w:tc>
          <w:tcPr>
            <w:tcW w:type="dxa" w:w="1872"/>
          </w:tcPr>
          <w:p>
            <w:r>
              <w:t>D — Twin calibration</w:t>
            </w:r>
          </w:p>
        </w:tc>
        <w:tc>
          <w:tcPr>
            <w:tcW w:type="dxa" w:w="2160"/>
          </w:tcPr>
          <w:p>
            <w:r>
              <w:t>Does twin beat baselines?</w:t>
            </w:r>
          </w:p>
        </w:tc>
        <w:tc>
          <w:tcPr>
            <w:tcW w:type="dxa" w:w="2880"/>
          </w:tcPr>
          <w:p>
            <w:r>
              <w:t>Train, freeze, predict held-out runs</w:t>
            </w:r>
          </w:p>
        </w:tc>
        <w:tc>
          <w:tcPr>
            <w:tcW w:type="dxa" w:w="2448"/>
          </w:tcPr>
          <w:p>
            <w:r>
              <w:t>Held-out error beats both baselines on ≥2 metric families</w:t>
            </w:r>
          </w:p>
        </w:tc>
      </w:tr>
      <w:tr>
        <w:tc>
          <w:tcPr>
            <w:tcW w:type="dxa" w:w="1872"/>
          </w:tcPr>
          <w:p>
            <w:r>
              <w:t>E — Replay fidelity</w:t>
            </w:r>
          </w:p>
        </w:tc>
        <w:tc>
          <w:tcPr>
            <w:tcW w:type="dxa" w:w="2160"/>
          </w:tcPr>
          <w:p>
            <w:r>
              <w:t>Are brushes repeatable as families?</w:t>
            </w:r>
          </w:p>
        </w:tc>
        <w:tc>
          <w:tcPr>
            <w:tcW w:type="dxa" w:w="2880"/>
          </w:tcPr>
          <w:p>
            <w:r>
              <w:t>Rerun identical schedules over days and cartridges</w:t>
            </w:r>
          </w:p>
        </w:tc>
        <w:tc>
          <w:tcPr>
            <w:tcW w:type="dxa" w:w="2448"/>
          </w:tcPr>
          <w:p>
            <w:r>
              <w:t>Stable features separate from unstable ones</w:t>
            </w:r>
          </w:p>
        </w:tc>
      </w:tr>
      <w:tr>
        <w:tc>
          <w:tcPr>
            <w:tcW w:type="dxa" w:w="1872"/>
          </w:tcPr>
          <w:p>
            <w:r>
              <w:t>F — History recovery</w:t>
            </w:r>
          </w:p>
        </w:tc>
        <w:tc>
          <w:tcPr>
            <w:tcW w:type="dxa" w:w="2160"/>
          </w:tcPr>
          <w:p>
            <w:r>
              <w:t>What can history recover?</w:t>
            </w:r>
          </w:p>
        </w:tc>
        <w:tc>
          <w:tcPr>
            <w:tcW w:type="dxa" w:w="2880"/>
          </w:tcPr>
          <w:p>
            <w:r>
              <w:t>Equifinality challenge runs</w:t>
            </w:r>
          </w:p>
        </w:tc>
        <w:tc>
          <w:tcPr>
            <w:tcW w:type="dxa" w:w="2448"/>
          </w:tcPr>
          <w:p>
            <w:r>
              <w:t>Claims limited to evidence channel that supports recovery</w:t>
            </w:r>
          </w:p>
        </w:tc>
      </w:tr>
      <w:tr>
        <w:tc>
          <w:tcPr>
            <w:tcW w:type="dxa" w:w="1872"/>
          </w:tcPr>
          <w:p>
            <w:r>
              <w:t>G — Primitive pruning</w:t>
            </w:r>
          </w:p>
        </w:tc>
        <w:tc>
          <w:tcPr>
            <w:tcW w:type="dxa" w:w="2160"/>
          </w:tcPr>
          <w:p>
            <w:r>
              <w:t>Is rewrite physically real?</w:t>
            </w:r>
          </w:p>
        </w:tc>
        <w:tc>
          <w:tcPr>
            <w:tcW w:type="dxa" w:w="2880"/>
          </w:tcPr>
          <w:p>
            <w:r>
              <w:t>Grow, read, strip/deactivate, reread, regrow</w:t>
            </w:r>
          </w:p>
        </w:tc>
        <w:tc>
          <w:tcPr>
            <w:tcW w:type="dxa" w:w="2448"/>
          </w:tcPr>
          <w:p>
            <w:r>
              <w:t>Classified as logical-only, bulk strip, or branch-affecting</w:t>
            </w:r>
          </w:p>
        </w:tc>
      </w:tr>
    </w:tbl>
    <w:p/>
    <w:p>
      <w:pPr>
        <w:pStyle w:val="Heading2"/>
      </w:pPr>
      <w:r>
        <w:t>12.2 Stage B — Monotonic Extension Calibration</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A cartridge and chemistry pass Stage B only if all hold in the approved operating band:</w:t>
      </w:r>
    </w:p>
    <w:p>
      <w:pPr>
        <w:pStyle w:val="ListBullet"/>
      </w:pPr>
      <w:r>
        <w:t>At least 85% of scheduled runs are accepted</w:t>
      </w:r>
    </w:p>
    <w:p>
      <w:pPr>
        <w:pStyle w:val="ListBullet"/>
      </w:pPr>
      <w:r>
        <w:t>Median segmentation confidence ≥ 0.95</w:t>
      </w:r>
    </w:p>
    <w:p>
      <w:pPr>
        <w:pStyle w:val="ListBullet"/>
      </w:pPr>
      <w:r>
        <w:t>Within-condition CV of tip velocity ≤ 15%</w:t>
      </w:r>
    </w:p>
    <w:p>
      <w:pPr>
        <w:pStyle w:val="ListBullet"/>
      </w:pPr>
      <w:r>
        <w:t>Spearman correlation between estimated current density and tip velocity ≥ 0.80</w:t>
      </w:r>
    </w:p>
    <w:p>
      <w:pPr>
        <w:pStyle w:val="ListBullet"/>
      </w:pPr>
      <w:r>
        <w:t>Uncontrolled bridge rate ≤ 5%</w:t>
      </w:r>
    </w:p>
    <w:p>
      <w:pPr>
        <w:pStyle w:val="ListBullet"/>
      </w:pPr>
      <w:r>
        <w:t>No safety anomaly class occurs more than once in 30 accepted runs</w:t>
      </w:r>
    </w:p>
    <w:p>
      <w:pPr>
        <w:pStyle w:val="Heading2"/>
      </w:pPr>
      <w:r>
        <w:t>12.3 Stage C — Branch Modulation</w:t>
      </w:r>
    </w:p>
    <w:p>
      <w:r>
        <w:rPr>
          <w:b w:val="0"/>
          <w:i/>
        </w:rPr>
        <w:t>All numerical cutoffs in this section are initial engineering starting recommendations for Phase Zero commissioning; after the first 50–100 accepted runs they will be reviewed against empirical run distributions, versioned if changed, and must not be treated as fixed physical constants.</w:t>
      </w:r>
    </w:p>
    <w:p>
      <w:r>
        <w:rPr>
          <w:b w:val="0"/>
          <w:i w:val="0"/>
        </w:rPr>
        <w:t>A parameter family passes Stage C only if the planned branch-control intervention produces a reproducible directional effect:</w:t>
      </w:r>
    </w:p>
    <w:p>
      <w:pPr>
        <w:pStyle w:val="ListBullet"/>
      </w:pPr>
      <w:r>
        <w:t>Absolute change in P(branch in Δt) ≥ 0.25, or mean daughter-count increase ≥ 30% at matched total charge</w:t>
      </w:r>
    </w:p>
    <w:p>
      <w:pPr>
        <w:pStyle w:val="ListBullet"/>
      </w:pPr>
      <w:r>
        <w:t>Minimum 8 accepted repeats per arm</w:t>
      </w:r>
    </w:p>
    <w:p>
      <w:pPr>
        <w:pStyle w:val="ListBullet"/>
      </w:pPr>
      <w:r>
        <w:t>Effect direction reproduced in two independent batches or days</w:t>
      </w:r>
    </w:p>
    <w:p>
      <w:pPr>
        <w:pStyle w:val="ListBullet"/>
      </w:pPr>
      <w:r>
        <w:t>Bridge overshoot rate remains below 10% in branch-modulation runs</w:t>
      </w:r>
    </w:p>
    <w:p>
      <w:pPr>
        <w:pStyle w:val="Heading2"/>
      </w:pPr>
      <w:r>
        <w:t>12.4 Threshold Review Policy</w:t>
      </w:r>
    </w:p>
    <w:p>
      <w:r>
        <w:rPr>
          <w:b w:val="0"/>
          <w:i w:val="0"/>
        </w:rPr>
        <w:t>Every numerical threshold in this plan is provisional bench-governance logic, not a discovered law of the system. That includes reproducibility thresholds (15% CV on tip velocity), branch-effect thresholds (0.25 absolute change in P(branch)), risk diagnostics (10% bridge overshoot), and extraction-gate thresholds (segmentation confidence 0.90).</w:t>
      </w:r>
    </w:p>
    <w:p>
      <w:r>
        <w:rPr>
          <w:b w:val="0"/>
          <w:i w:val="0"/>
        </w:rPr>
        <w:t>Apply a two-step threshold policy:</w:t>
      </w:r>
    </w:p>
    <w:p>
      <w:pPr>
        <w:pStyle w:val="ListNumber"/>
      </w:pPr>
      <w:r>
        <w:t>After the first 50 accepted runs: descriptive threshold review only — empirical distributions, false-positive/negative counts, which defaults look too tight or too loose.</w:t>
      </w:r>
    </w:p>
    <w:p>
      <w:pPr>
        <w:pStyle w:val="ListNumber"/>
      </w:pPr>
      <w:r>
        <w:t>After the first 100 accepted runs: one versioned threshold update using empirical quantiles from accepted-good versus accepted-bad outcomes, only after replaying new thresholds on the frozen challenge set to confirm improved discrimination.</w:t>
      </w:r>
    </w:p>
    <w:p>
      <w:pPr>
        <w:pStyle w:val="Heading1"/>
      </w:pPr>
      <w:r>
        <w:t>13. Artifacts and Schemas</w:t>
      </w:r>
    </w:p>
    <w:tbl>
      <w:tblPr>
        <w:tblStyle w:val="TableGrid"/>
        <w:tblW w:type="auto" w:w="0"/>
        <w:jc w:val="center"/>
        <w:tblLook w:firstColumn="1" w:firstRow="1" w:lastColumn="0" w:lastRow="0" w:noHBand="0" w:noVBand="1" w:val="04A0"/>
      </w:tblPr>
      <w:tblGrid>
        <w:gridCol w:w="4320"/>
        <w:gridCol w:w="4320"/>
      </w:tblGrid>
      <w:tr>
        <w:tc>
          <w:tcPr>
            <w:tcW w:type="dxa" w:w="3600"/>
            <w:shd w:fill="D5E8F0" w:val="clear"/>
          </w:tcPr>
          <w:p>
            <w:r>
              <w:rPr>
                <w:b/>
              </w:rPr>
              <w:t>Artifact</w:t>
            </w:r>
          </w:p>
        </w:tc>
        <w:tc>
          <w:tcPr>
            <w:tcW w:type="dxa" w:w="5760"/>
            <w:shd w:fill="D5E8F0" w:val="clear"/>
          </w:tcPr>
          <w:p>
            <w:r>
              <w:rPr>
                <w:b/>
              </w:rPr>
              <w:t>Purpose</w:t>
            </w:r>
          </w:p>
        </w:tc>
      </w:tr>
      <w:tr>
        <w:tc>
          <w:tcPr>
            <w:tcW w:type="dxa" w:w="3600"/>
          </w:tcPr>
          <w:p>
            <w:r>
              <w:t>physical_adapter.schema.json</w:t>
            </w:r>
          </w:p>
        </w:tc>
        <w:tc>
          <w:tcPr>
            <w:tcW w:type="dxa" w:w="5760"/>
          </w:tcPr>
          <w:p>
            <w:r>
              <w:t>Operator mappings, surface versioning, domains of validity, promotion status</w:t>
            </w:r>
          </w:p>
        </w:tc>
      </w:tr>
      <w:tr>
        <w:tc>
          <w:tcPr>
            <w:tcW w:type="dxa" w:w="3600"/>
          </w:tcPr>
          <w:p>
            <w:r>
              <w:t>apparatus_spec.md / phase0_cell_spec.md</w:t>
            </w:r>
          </w:p>
        </w:tc>
        <w:tc>
          <w:tcPr>
            <w:tcW w:type="dxa" w:w="5760"/>
          </w:tcPr>
          <w:p>
            <w:r>
              <w:t>Mechanical, electrical, chemical, and safety specification</w:t>
            </w:r>
          </w:p>
        </w:tc>
      </w:tr>
      <w:tr>
        <w:tc>
          <w:tcPr>
            <w:tcW w:type="dxa" w:w="3600"/>
          </w:tcPr>
          <w:p>
            <w:r>
              <w:t>run_manifest.schema.json</w:t>
            </w:r>
          </w:p>
        </w:tc>
        <w:tc>
          <w:tcPr>
            <w:tcW w:type="dxa" w:w="5760"/>
          </w:tcPr>
          <w:p>
            <w:r>
              <w:t>Full run provenance with cryptographic chaining</w:t>
            </w:r>
          </w:p>
        </w:tc>
      </w:tr>
      <w:tr>
        <w:tc>
          <w:tcPr>
            <w:tcW w:type="dxa" w:w="3600"/>
          </w:tcPr>
          <w:p>
            <w:r>
              <w:t>physical_brush.schema.json</w:t>
            </w:r>
          </w:p>
        </w:tc>
        <w:tc>
          <w:tcPr>
            <w:tcW w:type="dxa" w:w="5760"/>
          </w:tcPr>
          <w:p>
            <w:r>
              <w:t>Physical Understanding Field record with diff and update eligibility</w:t>
            </w:r>
          </w:p>
        </w:tc>
      </w:tr>
      <w:tr>
        <w:tc>
          <w:tcPr>
            <w:tcW w:type="dxa" w:w="3600"/>
          </w:tcPr>
          <w:p>
            <w:r>
              <w:t>image_to_graph.py</w:t>
            </w:r>
          </w:p>
        </w:tc>
        <w:tc>
          <w:tcPr>
            <w:tcW w:type="dxa" w:w="5760"/>
          </w:tcPr>
          <w:p>
            <w:r>
              <w:t>Segmentation, skeletonization, graph extraction, confidence scoring</w:t>
            </w:r>
          </w:p>
        </w:tc>
      </w:tr>
      <w:tr>
        <w:tc>
          <w:tcPr>
            <w:tcW w:type="dxa" w:w="3600"/>
          </w:tcPr>
          <w:p>
            <w:r>
              <w:t>conductance_fit.py</w:t>
            </w:r>
          </w:p>
        </w:tc>
        <w:tc>
          <w:tcPr>
            <w:tcW w:type="dxa" w:w="5760"/>
          </w:tcPr>
          <w:p>
            <w:r>
              <w:t>Segment and junction resistance from physical data</w:t>
            </w:r>
          </w:p>
        </w:tc>
      </w:tr>
      <w:tr>
        <w:tc>
          <w:tcPr>
            <w:tcW w:type="dxa" w:w="3600"/>
          </w:tcPr>
          <w:p>
            <w:r>
              <w:t>twin_compare.py</w:t>
            </w:r>
          </w:p>
        </w:tc>
        <w:tc>
          <w:tcPr>
            <w:tcW w:type="dxa" w:w="5760"/>
          </w:tcPr>
          <w:p>
            <w:r>
              <w:t>Morphology and electrical errors with PASS/HOLD/FAIL gate</w:t>
            </w:r>
          </w:p>
        </w:tc>
      </w:tr>
      <w:tr>
        <w:tc>
          <w:tcPr>
            <w:tcW w:type="dxa" w:w="3600"/>
          </w:tcPr>
          <w:p>
            <w:r>
              <w:t>calibration_manager.py</w:t>
            </w:r>
          </w:p>
        </w:tc>
        <w:tc>
          <w:tcPr>
            <w:tcW w:type="dxa" w:w="5760"/>
          </w:tcPr>
          <w:p>
            <w:r>
              <w:t>Dataset partitioning, drift monitoring, shadow scheduling, promote/rollback orchestration</w:t>
            </w:r>
          </w:p>
        </w:tc>
      </w:tr>
      <w:tr>
        <w:tc>
          <w:tcPr>
            <w:tcW w:type="dxa" w:w="3600"/>
          </w:tcPr>
          <w:p>
            <w:r>
              <w:t>twin_seed_cu_v0.json</w:t>
            </w:r>
          </w:p>
        </w:tc>
        <w:tc>
          <w:tcPr>
            <w:tcW w:type="dxa" w:w="5760"/>
          </w:tcPr>
          <w:p>
            <w:r>
              <w:t>Literature-derived propensity coefficient starting values (Table in Section 7.2.2)</w:t>
            </w:r>
          </w:p>
        </w:tc>
      </w:tr>
      <w:tr>
        <w:tc>
          <w:tcPr>
            <w:tcW w:type="dxa" w:w="3600"/>
          </w:tcPr>
          <w:p>
            <w:r>
              <w:t>validation_protocol.md</w:t>
            </w:r>
          </w:p>
        </w:tc>
        <w:tc>
          <w:tcPr>
            <w:tcW w:type="dxa" w:w="5760"/>
          </w:tcPr>
          <w:p>
            <w:r>
              <w:t>Preregistered stages, controls, exclusions, exit criteria</w:t>
            </w:r>
          </w:p>
        </w:tc>
      </w:tr>
      <w:tr>
        <w:tc>
          <w:tcPr>
            <w:tcW w:type="dxa" w:w="3600"/>
          </w:tcPr>
          <w:p>
            <w:r>
              <w:t>phase0_preregistration.md</w:t>
            </w:r>
          </w:p>
        </w:tc>
        <w:tc>
          <w:tcPr>
            <w:tcW w:type="dxa" w:w="5760"/>
          </w:tcPr>
          <w:p>
            <w:r>
              <w:t>Hypotheses, variables, controls, exclusions, acceptance criteria</w:t>
            </w:r>
          </w:p>
        </w:tc>
      </w:tr>
      <w:tr>
        <w:tc>
          <w:tcPr>
            <w:tcW w:type="dxa" w:w="3600"/>
          </w:tcPr>
          <w:p>
            <w:r>
              <w:t>phase0_risk_register.csv</w:t>
            </w:r>
          </w:p>
        </w:tc>
        <w:tc>
          <w:tcPr>
            <w:tcW w:type="dxa" w:w="5760"/>
          </w:tcPr>
          <w:p>
            <w:r>
              <w:t>Live risk and mitigation record</w:t>
            </w:r>
          </w:p>
        </w:tc>
      </w:tr>
      <w:tr>
        <w:tc>
          <w:tcPr>
            <w:tcW w:type="dxa" w:w="3600"/>
          </w:tcPr>
          <w:p>
            <w:r>
              <w:t>phase0_claim_boundary.md</w:t>
            </w:r>
          </w:p>
        </w:tc>
        <w:tc>
          <w:tcPr>
            <w:tcW w:type="dxa" w:w="5760"/>
          </w:tcPr>
          <w:p>
            <w:r>
              <w:t>Permitted statements after each validation gate</w:t>
            </w:r>
          </w:p>
        </w:tc>
      </w:tr>
    </w:tbl>
    <w:p/>
    <w:p>
      <w:pPr>
        <w:pStyle w:val="Heading1"/>
      </w:pPr>
      <w:r>
        <w:t>14. Risk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5E8F0" w:val="clear"/>
          </w:tcPr>
          <w:p>
            <w:r>
              <w:rPr>
                <w:b/>
              </w:rPr>
              <w:t>Risk</w:t>
            </w:r>
          </w:p>
        </w:tc>
        <w:tc>
          <w:tcPr>
            <w:tcW w:type="dxa" w:w="2160"/>
            <w:shd w:fill="D5E8F0" w:val="clear"/>
          </w:tcPr>
          <w:p>
            <w:r>
              <w:rPr>
                <w:b/>
              </w:rPr>
              <w:t>Consequence</w:t>
            </w:r>
          </w:p>
        </w:tc>
        <w:tc>
          <w:tcPr>
            <w:tcW w:type="dxa" w:w="3600"/>
            <w:shd w:fill="D5E8F0" w:val="clear"/>
          </w:tcPr>
          <w:p>
            <w:r>
              <w:rPr>
                <w:b/>
              </w:rPr>
              <w:t>Mitigation</w:t>
            </w:r>
          </w:p>
        </w:tc>
        <w:tc>
          <w:tcPr>
            <w:tcW w:type="dxa" w:w="1440"/>
            <w:shd w:fill="D5E8F0" w:val="clear"/>
          </w:tcPr>
          <w:p>
            <w:r>
              <w:rPr>
                <w:b/>
              </w:rPr>
              <w:t>Claim Status</w:t>
            </w:r>
          </w:p>
        </w:tc>
      </w:tr>
      <w:tr>
        <w:tc>
          <w:tcPr>
            <w:tcW w:type="dxa" w:w="2160"/>
          </w:tcPr>
          <w:p>
            <w:r>
              <w:t>Equifinal morphology</w:t>
            </w:r>
          </w:p>
        </w:tc>
        <w:tc>
          <w:tcPr>
            <w:tcW w:type="dxa" w:w="2160"/>
          </w:tcPr>
          <w:p>
            <w:r>
              <w:t>Endpoint cannot reveal unique history</w:t>
            </w:r>
          </w:p>
        </w:tc>
        <w:tc>
          <w:tcPr>
            <w:tcW w:type="dxa" w:w="3600"/>
          </w:tcPr>
          <w:p>
            <w:r>
              <w:t>Capture temporal trace; adversarial history tests</w:t>
            </w:r>
          </w:p>
        </w:tc>
        <w:tc>
          <w:tcPr>
            <w:tcW w:type="dxa" w:w="1440"/>
          </w:tcPr>
          <w:p>
            <w:r>
              <w:t>HOLD</w:t>
            </w:r>
          </w:p>
        </w:tc>
      </w:tr>
      <w:tr>
        <w:tc>
          <w:tcPr>
            <w:tcW w:type="dxa" w:w="2160"/>
          </w:tcPr>
          <w:p>
            <w:r>
              <w:t>Physical stochasticity</w:t>
            </w:r>
          </w:p>
        </w:tc>
        <w:tc>
          <w:tcPr>
            <w:tcW w:type="dxa" w:w="2160"/>
          </w:tcPr>
          <w:p>
            <w:r>
              <w:t>Exact replay impossible</w:t>
            </w:r>
          </w:p>
        </w:tc>
        <w:tc>
          <w:tcPr>
            <w:tcW w:type="dxa" w:w="3600"/>
          </w:tcPr>
          <w:p>
            <w:r>
              <w:t>Use distributions and tolerance families</w:t>
            </w:r>
          </w:p>
        </w:tc>
        <w:tc>
          <w:tcPr>
            <w:tcW w:type="dxa" w:w="1440"/>
          </w:tcPr>
          <w:p>
            <w:r>
              <w:t>Expected</w:t>
            </w:r>
          </w:p>
        </w:tc>
      </w:tr>
      <w:tr>
        <w:tc>
          <w:tcPr>
            <w:tcW w:type="dxa" w:w="2160"/>
          </w:tcPr>
          <w:p>
            <w:r>
              <w:t>Optical segmentation error</w:t>
            </w:r>
          </w:p>
        </w:tc>
        <w:tc>
          <w:tcPr>
            <w:tcW w:type="dxa" w:w="2160"/>
          </w:tcPr>
          <w:p>
            <w:r>
              <w:t>False graph and address</w:t>
            </w:r>
          </w:p>
        </w:tc>
        <w:tc>
          <w:tcPr>
            <w:tcW w:type="dxa" w:w="3600"/>
          </w:tcPr>
          <w:p>
            <w:r>
              <w:t>Calibration target, confidence score, manual audit subset</w:t>
            </w:r>
          </w:p>
        </w:tc>
        <w:tc>
          <w:tcPr>
            <w:tcW w:type="dxa" w:w="1440"/>
          </w:tcPr>
          <w:p>
            <w:r>
              <w:t>Open</w:t>
            </w:r>
          </w:p>
        </w:tc>
      </w:tr>
      <w:tr>
        <w:tc>
          <w:tcPr>
            <w:tcW w:type="dxa" w:w="2160"/>
          </w:tcPr>
          <w:p>
            <w:r>
              <w:t>Contact resistance</w:t>
            </w:r>
          </w:p>
        </w:tc>
        <w:tc>
          <w:tcPr>
            <w:tcW w:type="dxa" w:w="2160"/>
          </w:tcPr>
          <w:p>
            <w:r>
              <w:t>Conductance model appears wrong</w:t>
            </w:r>
          </w:p>
        </w:tc>
        <w:tc>
          <w:tcPr>
            <w:tcW w:type="dxa" w:w="3600"/>
          </w:tcPr>
          <w:p>
            <w:r>
              <w:t>Four-wire measurement by Stage B/C</w:t>
            </w:r>
          </w:p>
        </w:tc>
        <w:tc>
          <w:tcPr>
            <w:tcW w:type="dxa" w:w="1440"/>
          </w:tcPr>
          <w:p>
            <w:r>
              <w:t>Open</w:t>
            </w:r>
          </w:p>
        </w:tc>
      </w:tr>
      <w:tr>
        <w:tc>
          <w:tcPr>
            <w:tcW w:type="dxa" w:w="2160"/>
          </w:tcPr>
          <w:p>
            <w:r>
              <w:t>Convection / evaporation</w:t>
            </w:r>
          </w:p>
        </w:tc>
        <w:tc>
          <w:tcPr>
            <w:tcW w:type="dxa" w:w="2160"/>
          </w:tcPr>
          <w:p>
            <w:r>
              <w:t>Unmodeled branch changes</w:t>
            </w:r>
          </w:p>
        </w:tc>
        <w:tc>
          <w:tcPr>
            <w:tcW w:type="dxa" w:w="3600"/>
          </w:tcPr>
          <w:p>
            <w:r>
              <w:t>Thin gap, sealed cartridge, environmental logging</w:t>
            </w:r>
          </w:p>
        </w:tc>
        <w:tc>
          <w:tcPr>
            <w:tcW w:type="dxa" w:w="1440"/>
          </w:tcPr>
          <w:p>
            <w:r>
              <w:t>Open</w:t>
            </w:r>
          </w:p>
        </w:tc>
      </w:tr>
      <w:tr>
        <w:tc>
          <w:tcPr>
            <w:tcW w:type="dxa" w:w="2160"/>
          </w:tcPr>
          <w:p>
            <w:r>
              <w:t>Uncontrolled bridge</w:t>
            </w:r>
          </w:p>
        </w:tc>
        <w:tc>
          <w:tcPr>
            <w:tcW w:type="dxa" w:w="2160"/>
          </w:tcPr>
          <w:p>
            <w:r>
              <w:t>Destroys interpretability</w:t>
            </w:r>
          </w:p>
        </w:tc>
        <w:tc>
          <w:tcPr>
            <w:tcW w:type="dxa" w:w="3600"/>
          </w:tcPr>
          <w:p>
            <w:r>
              <w:t>Pulse-charge caps, current compliance, stop conditions</w:t>
            </w:r>
          </w:p>
        </w:tc>
        <w:tc>
          <w:tcPr>
            <w:tcW w:type="dxa" w:w="1440"/>
          </w:tcPr>
          <w:p>
            <w:r>
              <w:t>Controlled</w:t>
            </w:r>
          </w:p>
        </w:tc>
      </w:tr>
      <w:tr>
        <w:tc>
          <w:tcPr>
            <w:tcW w:type="dxa" w:w="2160"/>
          </w:tcPr>
          <w:p>
            <w:r>
              <w:t>Overfitting twin</w:t>
            </w:r>
          </w:p>
        </w:tc>
        <w:tc>
          <w:tcPr>
            <w:tcW w:type="dxa" w:w="2160"/>
          </w:tcPr>
          <w:p>
            <w:r>
              <w:t>Illusory predictive success</w:t>
            </w:r>
          </w:p>
        </w:tc>
        <w:tc>
          <w:tcPr>
            <w:tcW w:type="dxa" w:w="3600"/>
          </w:tcPr>
          <w:p>
            <w:r>
              <w:t>Frozen held-out runs and preregistered metrics</w:t>
            </w:r>
          </w:p>
        </w:tc>
        <w:tc>
          <w:tcPr>
            <w:tcW w:type="dxa" w:w="1440"/>
          </w:tcPr>
          <w:p>
            <w:r>
              <w:t>High priority</w:t>
            </w:r>
          </w:p>
        </w:tc>
      </w:tr>
      <w:tr>
        <w:tc>
          <w:tcPr>
            <w:tcW w:type="dxa" w:w="2160"/>
          </w:tcPr>
          <w:p>
            <w:r>
              <w:t>Surrogate-to-CNT overclaim</w:t>
            </w:r>
          </w:p>
        </w:tc>
        <w:tc>
          <w:tcPr>
            <w:tcW w:type="dxa" w:w="2160"/>
          </w:tcPr>
          <w:p>
            <w:r>
              <w:t>Copper/polymer misread as nanotube realization</w:t>
            </w:r>
          </w:p>
        </w:tc>
        <w:tc>
          <w:tcPr>
            <w:tcW w:type="dxa" w:w="3600"/>
          </w:tcPr>
          <w:p>
            <w:r>
              <w:t>Explicit claim boundary in every artifact</w:t>
            </w:r>
          </w:p>
        </w:tc>
        <w:tc>
          <w:tcPr>
            <w:tcW w:type="dxa" w:w="1440"/>
          </w:tcPr>
          <w:p>
            <w:r>
              <w:t>Prohibited</w:t>
            </w:r>
          </w:p>
        </w:tc>
      </w:tr>
      <w:tr>
        <w:tc>
          <w:tcPr>
            <w:tcW w:type="dxa" w:w="2160"/>
          </w:tcPr>
          <w:p>
            <w:r>
              <w:t>Waste mismanagement</w:t>
            </w:r>
          </w:p>
        </w:tc>
        <w:tc>
          <w:tcPr>
            <w:tcW w:type="dxa" w:w="2160"/>
          </w:tcPr>
          <w:p>
            <w:r>
              <w:t>Environmental and regulatory risk</w:t>
            </w:r>
          </w:p>
        </w:tc>
        <w:tc>
          <w:tcPr>
            <w:tcW w:type="dxa" w:w="3600"/>
          </w:tcPr>
          <w:p>
            <w:r>
              <w:t>Cradle-to-grave SOP, labeled waste streams</w:t>
            </w:r>
          </w:p>
        </w:tc>
        <w:tc>
          <w:tcPr>
            <w:tcW w:type="dxa" w:w="1440"/>
          </w:tcPr>
          <w:p>
            <w:r>
              <w:t>Mandatory</w:t>
            </w:r>
          </w:p>
        </w:tc>
      </w:tr>
    </w:tbl>
    <w:p/>
    <w:p>
      <w:pPr>
        <w:pStyle w:val="Heading1"/>
      </w:pPr>
      <w:r>
        <w:t>15. Transition Path Toward CNT Realization</w:t>
      </w:r>
    </w:p>
    <w:p>
      <w:pPr>
        <w:pStyle w:val="ListBullet"/>
      </w:pPr>
      <w:r>
        <w:t>Gate 1 — Surrogate physical control: Controllable branching, readout, comparison, and replay in the low-voltage cell</w:t>
      </w:r>
    </w:p>
    <w:p>
      <w:pPr>
        <w:pStyle w:val="ListBullet"/>
      </w:pPr>
      <w:r>
        <w:t>Gate 2 — Surface-patterned conductive growth: Lithographically or mechanically patterned electrodes and confined channels</w:t>
      </w:r>
    </w:p>
    <w:p>
      <w:pPr>
        <w:pStyle w:val="ListBullet"/>
      </w:pPr>
      <w:r>
        <w:t>Gate 3 — Conducting-polymer or composite structures: Finer electrochemical growth and deliberate write/prune behavior</w:t>
      </w:r>
    </w:p>
    <w:p>
      <w:pPr>
        <w:pStyle w:val="ListBullet"/>
      </w:pPr>
      <w:r>
        <w:t>Gate 4 — External nanofabrication partnership: Patterned catalyst deposition, CVD CNT growth, SEM/Raman characterization</w:t>
      </w:r>
    </w:p>
    <w:p>
      <w:pPr>
        <w:pStyle w:val="ListBullet"/>
      </w:pPr>
      <w:r>
        <w:t>Gate 5 — CNT morphology-control study: Small set of physical mappings: catalyst location, temperature schedule, field alignment</w:t>
      </w:r>
    </w:p>
    <w:p>
      <w:pPr>
        <w:pStyle w:val="ListBullet"/>
      </w:pPr>
      <w:r>
        <w:t>Gate 6 — CNT readout and permanence: Morphology, connectivity, contact resistance, oxidation, thermal stability</w:t>
      </w:r>
    </w:p>
    <w:p>
      <w:pPr>
        <w:pStyle w:val="ListBullet"/>
      </w:pPr>
      <w:r>
        <w:t>Gate 7 — Rewrite claim: Only after demonstrating reversible operation or clearly defined append-only architecture</w:t>
      </w:r>
    </w:p>
    <w:p>
      <w:r>
        <w:rPr>
          <w:b w:val="0"/>
          <w:i w:val="0"/>
        </w:rPr>
        <w:t>CNT CVD should initially be treated as batch fabrication, not dynamically rewritable memory. Any later CNT transition must move into a different experimental regime entirely.</w:t>
      </w:r>
    </w:p>
    <w:p>
      <w:pPr>
        <w:pStyle w:val="Heading1"/>
      </w:pPr>
      <w:r>
        <w:t>16. Phase Zero Decision</w:t>
      </w:r>
    </w:p>
    <w:p>
      <w:r>
        <w:rPr>
          <w:b w:val="0"/>
          <w:i w:val="0"/>
        </w:rPr>
        <w:t>The lowest-risk, highest-signal first experiment is software-controlled low-voltage dendritic electrodeposition in a transparent confined cell, with synchronized optical imaging, current/voltage logging, graph extraction, conductance measurement, repeated-run statistics, and an explicit target–write–read–compare–learn loop.</w:t>
      </w:r>
    </w:p>
    <w:p>
      <w:r>
        <w:rPr>
          <w:b/>
          <w:i w:val="0"/>
        </w:rPr>
        <w:t>FR-4 electrical breakdown should be deferred.</w:t>
      </w:r>
    </w:p>
    <w:p>
      <w:r>
        <w:rPr>
          <w:b/>
          <w:i w:val="0"/>
        </w:rPr>
        <w:t>CNT CVD should be pursued through a qualified external facility only after the surrogate platform demonstrates the full evidence chain.</w:t>
      </w:r>
    </w:p>
    <w:p>
      <w:r>
        <w:rPr>
          <w:b/>
          <w:i w:val="0"/>
        </w:rPr>
        <w:t>HOLD before morphology-only inference. No CNT claim before CNT evidence. No memory-device claim before endurance, addressing, and error tests. Every physical association must carry its measured diff.</w:t>
      </w:r>
    </w:p>
    <w:p>
      <w:pPr>
        <w:pStyle w:val="Heading1"/>
      </w:pPr>
      <w:r>
        <w:t>17. Appendices</w:t>
      </w:r>
    </w:p>
    <w:p>
      <w:r>
        <w:rPr>
          <w:b w:val="0"/>
          <w:i w:val="0"/>
        </w:rPr>
        <w:t>Optional implementation detail — skip when scanning Sections 7 and 10 for policy and thresholds.</w:t>
      </w:r>
    </w:p>
    <w:p>
      <w:pPr>
        <w:pStyle w:val="Heading2"/>
      </w:pPr>
      <w:r>
        <w:t>Appendix A — Reduced-Order Twin Implementation</w:t>
      </w:r>
    </w:p>
    <w:tbl>
      <w:tblPr>
        <w:tblStyle w:val="TableGrid"/>
        <w:tblW w:type="auto" w:w="0"/>
        <w:tblLook w:firstColumn="1" w:firstRow="1" w:lastColumn="0" w:lastRow="0" w:noHBand="0" w:noVBand="1" w:val="04A0"/>
      </w:tblPr>
      <w:tblGrid>
        <w:gridCol w:w="8640"/>
      </w:tblGrid>
      <w:tr>
        <w:tc>
          <w:tcPr>
            <w:tcW w:type="dxa" w:w="8640"/>
            <w:shd w:fill="FFF3E0" w:val="clear"/>
          </w:tcPr>
          <w:p>
            <w:r>
              <w:rPr>
                <w:b/>
                <w:sz w:val="22"/>
              </w:rPr>
              <w:t>Implementation Notes</w:t>
            </w:r>
          </w:p>
          <w:p>
            <w:pPr>
              <w:pStyle w:val="ListBullet"/>
              <w:ind w:left="216"/>
            </w:pPr>
            <w:r>
              <w:t>Twin module: one Python package (e.g., rontwin/) with step_twin(), solve_phi(), and mask_to_graph(); grid resolution locked to camera calibration.</w:t>
            </w:r>
          </w:p>
          <w:p>
            <w:pPr>
              <w:pStyle w:val="ListBullet"/>
              <w:ind w:left="216"/>
            </w:pPr>
            <w:r>
              <w:t>Seed file: store Section 7.2.2 starting values as twin_seed_cu_v0.json; copy to twin artifact on first Stage B run.</w:t>
            </w:r>
          </w:p>
          <w:p>
            <w:pPr>
              <w:pStyle w:val="ListBullet"/>
              <w:ind w:left="216"/>
            </w:pPr>
            <w:r>
              <w:t>Online use: twin predicts in parallel with live control; adapter surfaces schedule actuation; twin scores expected morphology for twin_compare.</w:t>
            </w:r>
          </w:p>
          <w:p>
            <w:pPr>
              <w:pStyle w:val="ListBullet"/>
              <w:ind w:left="216"/>
            </w:pPr>
            <w:r>
              <w:t>Offline audit: rerun frozen seeds on held-out manifests before any coefficient promotion (Section 10).</w:t>
            </w:r>
          </w:p>
          <w:p>
            <w:pPr>
              <w:pStyle w:val="ListBullet"/>
              <w:ind w:left="216"/>
            </w:pPr>
            <w:r>
              <w:t>Sign constraints (pre–Stage B): b_η, b_c, b_a &gt; 0; b_q &gt; 0 but smaller than b_η and b_c; b_occ, b_halo &lt; 0; b₀ ≈ 0.</w:t>
            </w:r>
          </w:p>
        </w:tc>
      </w:tr>
    </w:tbl>
    <w:p/>
    <w:p>
      <w:pPr>
        <w:pStyle w:val="Heading2"/>
      </w:pPr>
      <w:r>
        <w:t>Appendix B — Calibration Manager Implementation</w:t>
      </w:r>
    </w:p>
    <w:tbl>
      <w:tblPr>
        <w:tblStyle w:val="TableGrid"/>
        <w:tblW w:type="auto" w:w="0"/>
        <w:tblLook w:firstColumn="1" w:firstRow="1" w:lastColumn="0" w:lastRow="0" w:noHBand="0" w:noVBand="1" w:val="04A0"/>
      </w:tblPr>
      <w:tblGrid>
        <w:gridCol w:w="8640"/>
      </w:tblGrid>
      <w:tr>
        <w:tc>
          <w:tcPr>
            <w:tcW w:type="dxa" w:w="8640"/>
            <w:shd w:fill="FFF3E0" w:val="clear"/>
          </w:tcPr>
          <w:p>
            <w:r>
              <w:rPr>
                <w:b/>
                <w:sz w:val="22"/>
              </w:rPr>
              <w:t>Implementation Notes</w:t>
            </w:r>
          </w:p>
          <w:p>
            <w:pPr>
              <w:pStyle w:val="ListBullet"/>
              <w:ind w:left="216"/>
            </w:pPr>
            <w:r>
              <w:t>Hook point: Calibration Manager runs after each accepted run manifest is sealed (post twin_compare).</w:t>
            </w:r>
          </w:p>
          <w:p>
            <w:pPr>
              <w:pStyle w:val="ListBullet"/>
              <w:ind w:left="216"/>
            </w:pPr>
            <w:r>
              <w:t>Trigger scan: nightly batch plus immediate scan on operator-trigger events (chemistry/geometry/camera/pipeline change).</w:t>
            </w:r>
          </w:p>
          <w:p>
            <w:pPr>
              <w:pStyle w:val="ListBullet"/>
              <w:ind w:left="216"/>
            </w:pPr>
            <w:r>
              <w:t>Shadow training: queue as offline job; do not block live runs; cap concurrent shadow jobs at one per artifact family.</w:t>
            </w:r>
          </w:p>
          <w:p>
            <w:pPr>
              <w:pStyle w:val="ListBullet"/>
              <w:ind w:left="216"/>
            </w:pPr>
            <w:r>
              <w:t>Promotion: write promotion_manifest.json before switching active version pointer in physical_adapter.schema.json.</w:t>
            </w:r>
          </w:p>
          <w:p>
            <w:pPr>
              <w:pStyle w:val="ListBullet"/>
              <w:ind w:left="216"/>
            </w:pPr>
            <w:r>
              <w:t>Rollback: single-click restore of prior active version; append rollback entry to risk_register.csv.</w:t>
            </w:r>
          </w:p>
        </w:tc>
      </w:tr>
    </w:tbl>
    <w:p/>
    <w:p>
      <w:pPr>
        <w:pStyle w:val="Heading1"/>
      </w:pPr>
      <w:r>
        <w:t>18. References</w:t>
      </w:r>
    </w:p>
    <w:p>
      <w:r>
        <w:rPr>
          <w:b w:val="0"/>
          <w:i w:val="0"/>
        </w:rPr>
        <w:t>[1] Sharp-interface model of electrodeposition and ramified growth</w:t>
      </w:r>
    </w:p>
    <w:p>
      <w:r>
        <w:rPr>
          <w:b w:val="0"/>
          <w:i w:val="0"/>
        </w:rPr>
        <w:t>https://arxiv.org/abs/1507.01040</w:t>
      </w:r>
    </w:p>
    <w:p>
      <w:r>
        <w:rPr>
          <w:b w:val="0"/>
          <w:i w:val="0"/>
        </w:rPr>
        <w:t>[2] Toward Quantitative Phase-field Modeling of Dendritic Electrodeposition</w:t>
      </w:r>
    </w:p>
    <w:p>
      <w:r>
        <w:rPr>
          <w:b w:val="0"/>
          <w:i w:val="0"/>
        </w:rPr>
        <w:t>https://arxiv.org/abs/1411.6615</w:t>
      </w:r>
    </w:p>
    <w:p>
      <w:r>
        <w:rPr>
          <w:b w:val="0"/>
          <w:i w:val="0"/>
        </w:rPr>
        <w:t>[3] Tip Splittings and Phase Transitions in the Dielectric Breakdown Model</w:t>
      </w:r>
    </w:p>
    <w:p>
      <w:r>
        <w:rPr>
          <w:b w:val="0"/>
          <w:i w:val="0"/>
        </w:rPr>
        <w:t>https://arxiv.org/abs/cond-mat/0112218</w:t>
      </w:r>
    </w:p>
    <w:p>
      <w:r>
        <w:rPr>
          <w:b w:val="0"/>
          <w:i w:val="0"/>
        </w:rPr>
        <w:t>[4] Crossover between re-nucleation and dendritic growth in electrodeposition</w:t>
      </w:r>
    </w:p>
    <w:p>
      <w:r>
        <w:rPr>
          <w:b w:val="0"/>
          <w:i w:val="0"/>
        </w:rPr>
        <w:t>https://arxiv.org/abs/2011.13281</w:t>
      </w:r>
    </w:p>
    <w:p>
      <w:r>
        <w:rPr>
          <w:b w:val="0"/>
          <w:i w:val="0"/>
        </w:rPr>
        <w:t>[5] Field-directed polymerization and conducting-polymer dendrite dynamics</w:t>
      </w:r>
    </w:p>
    <w:p>
      <w:r>
        <w:rPr>
          <w:b w:val="0"/>
          <w:i w:val="0"/>
        </w:rPr>
        <w:t>https://arxiv.org/abs/2102.00784</w:t>
      </w:r>
    </w:p>
    <w:p>
      <w:r>
        <w:rPr>
          <w:b w:val="0"/>
          <w:i w:val="0"/>
        </w:rPr>
        <w:t>[6] Morphology-linked electrical characterization of conducting-polymer dendrites</w:t>
      </w:r>
    </w:p>
    <w:p>
      <w:r>
        <w:rPr>
          <w:b w:val="0"/>
          <w:i w:val="0"/>
        </w:rPr>
        <w:t>https://arxiv.org/abs/2409.15842</w:t>
      </w:r>
    </w:p>
    <w:p>
      <w:r>
        <w:rPr>
          <w:b w:val="0"/>
          <w:i w:val="0"/>
        </w:rPr>
        <w:t>[7] Governed Capability Evolution: Safe Upgrade and Runtime Rollback</w:t>
      </w:r>
    </w:p>
    <w:p>
      <w:r>
        <w:rPr>
          <w:b w:val="0"/>
          <w:i w:val="0"/>
        </w:rPr>
        <w:t>https://arxiv.org/abs/2604.08059</w:t>
      </w:r>
    </w:p>
    <w:p>
      <w:r>
        <w:rPr>
          <w:b w:val="0"/>
          <w:i w:val="0"/>
        </w:rPr>
        <w:t>[8] Four-point resistance measurement methods</w:t>
      </w:r>
    </w:p>
    <w:p>
      <w:r>
        <w:rPr>
          <w:b w:val="0"/>
          <w:i w:val="0"/>
        </w:rPr>
        <w:t>https://arxiv.org/abs/2002.07391</w:t>
      </w:r>
    </w:p>
    <w:p>
      <w:r>
        <w:rPr>
          <w:b w:val="0"/>
          <w:i w:val="0"/>
        </w:rPr>
        <w:t>[9] Charged porous media and dendritic instability suppression</w:t>
      </w:r>
    </w:p>
    <w:p>
      <w:r>
        <w:rPr>
          <w:b w:val="0"/>
          <w:i w:val="0"/>
        </w:rPr>
        <w:t>https://arxiv.org/abs/1505.05604</w:t>
      </w:r>
    </w:p>
    <w:p>
      <w:r>
        <w:rPr>
          <w:b w:val="0"/>
          <w:i w:val="0"/>
        </w:rPr>
        <w:t>[10] Reversible metal-deposition devices</w:t>
      </w:r>
    </w:p>
    <w:p>
      <w:r>
        <w:rPr>
          <w:b w:val="0"/>
          <w:i w:val="0"/>
        </w:rPr>
        <w:t>https://arxiv.org/abs/2504.05612</w:t>
      </w:r>
    </w:p>
    <w:p>
      <w:r>
        <w:rPr>
          <w:b w:val="0"/>
          <w:i w:val="0"/>
        </w:rPr>
        <w:t>[11] CNT catalyst design and growth environment engineering</w:t>
      </w:r>
    </w:p>
    <w:p>
      <w:r>
        <w:rPr>
          <w:b w:val="0"/>
          <w:i w:val="0"/>
        </w:rPr>
        <w:t>https://arxiv.org/abs/2512.16151</w:t>
      </w:r>
    </w:p>
    <w:p>
      <w:r>
        <w:rPr>
          <w:b w:val="0"/>
          <w:i w:val="0"/>
        </w:rPr>
        <w:t>[12] OSHA Electrical Safety</w:t>
      </w:r>
    </w:p>
    <w:p>
      <w:r>
        <w:rPr>
          <w:b w:val="0"/>
          <w:i w:val="0"/>
        </w:rPr>
        <w:t>https://www.osha.gov/electrical</w:t>
      </w:r>
    </w:p>
    <w:p>
      <w:r>
        <w:rPr>
          <w:b w:val="0"/>
          <w:i w:val="0"/>
        </w:rPr>
        <w:t>[13] EPA Hazardous Waste Basics</w:t>
      </w:r>
    </w:p>
    <w:p>
      <w:r>
        <w:rPr>
          <w:b w:val="0"/>
          <w:i w:val="0"/>
        </w:rPr>
        <w:t>https://www.epa.gov/hw/learn-basics-hazardous-waste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