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99836c5d3a7e18ddbe47f1c580b5d2076a2065"/>
    <w:p>
      <w:pPr>
        <w:pStyle w:val="Heading2"/>
      </w:pPr>
      <w:r>
        <w:t xml:space="preserve">Machine-Native Morphological Vision Embodiment</w:t>
      </w:r>
    </w:p>
    <w:p>
      <w:pPr>
        <w:pStyle w:val="FirstParagraph"/>
      </w:pPr>
      <w:r>
        <w:t xml:space="preserve">In further embodiments, the MCVA/AMCVA framework progresses from post-hoc analysis of human-viewable images into machine-native visual encoding. In such embodiments, the system does not rely primarily on conventional high-density pixel streams, frame-by-frame image reconstruction, or human-viewable video compression. Instead, observable morphology is detected, compressed, encoded, transmitted, and decoded as structured morphological tokens, MCVA hashes, or related glyph-like descriptors.</w:t>
      </w:r>
    </w:p>
    <w:p>
      <w:pPr>
        <w:pStyle w:val="BodyText"/>
      </w:pPr>
      <w:r>
        <w:t xml:space="preserve">As MCVA atlases are populated across domains, recurring morphology classes become recognizable to the machine as native perceptual primitives. These primitives may include, without limitation, bifurcation, channelization, reticulation, field focusing, depletion zones, roughening fronts, motion traces, occlusion boundaries, depth discontinuities, surface cracks, thermal gradients, and recursive structural signatures. In this manner, the system develops a morphology-first perceptual prior: when observing a physical environment, the system first identifies process-bearing morphology and amorphic boundary conditions before or alongside conventional semantic labeling.</w:t>
      </w:r>
    </w:p>
    <w:p>
      <w:pPr>
        <w:pStyle w:val="BodyText"/>
      </w:pPr>
      <w:r>
        <w:t xml:space="preserve">In one embodiment, a camera or sensor apparatus produces a machine-native morphology stream rather than a conventional human-viewable image stream. The morphology stream may comprise compact descriptors representing one or more of: object boundary structure, branch or crack topology, depth discontinuities, surface texture class, motion vectors, thermal morphology, scale estimates, parallax relationships, confidence scores, and MCVA/AMCVA classifications. Such descriptors may be produced directly by sensor-adjacent hardware, edge processors, neuromorphic sensors, event cameras, infrared sensors, depth sensors, stereo cameras, structured-light systems, lidar, radar, or multimodal sensor arrays.</w:t>
      </w:r>
    </w:p>
    <w:p>
      <w:pPr>
        <w:pStyle w:val="BodyText"/>
      </w:pPr>
      <w:r>
        <w:t xml:space="preserve">The resulting perception system may reduce dependence on high-pixel-density frame interpretation by encoding the world in terms of machine-readable morphology. Instead of processing every pixel as a human image, the system extracts and transmits the structural information most relevant to scene understanding, navigation, safety, robotic action, or inverse reconstruction. This may reduce latency, bandwidth, memory load, and semantic drift in real-time perception tasks.</w:t>
      </w:r>
    </w:p>
    <w:p>
      <w:pPr>
        <w:pStyle w:val="BodyText"/>
      </w:pPr>
      <w:r>
        <w:t xml:space="preserve">In a robotic or autonomous-vehicle embodiment, multiple specialized visual agents may operate in parallel across different ranges, scales, spectral bands, or temporal resolutions. Example agents may include macro-surface agents, standard object agents, tele-range agents, infrared agents, depth/parallax agents, motion/event agents, orientation agents, and physical-state-awareness agents. Each agent may emit local morphological tokens or MCVA hashes. A central synthesis operator may resolve the local tokens into a coherent scene vocabulary, apply domain binding, identify AMCVA failure modes such as projection loss, glare, occlusion, homogeneous fields, motion blur, or sensor disagreement, and determine whether the system should proceed, hold for additional observation, or reverse/dampen action.</w:t>
      </w:r>
    </w:p>
    <w:p>
      <w:pPr>
        <w:pStyle w:val="BodyText"/>
      </w:pPr>
      <w:r>
        <w:t xml:space="preserve">This embodiment extends MCVA from a descriptive atlas into an active machine-perception architecture. The camera need not merely capture images for later interpretation. The camera may become a morphological encoder, producing a native symbolic stream optimized for machine understanding rather than human viewing. In such a system,</w:t>
      </w:r>
      <w:r>
        <w:t xml:space="preserve"> </w:t>
      </w:r>
      <w:r>
        <w:t xml:space="preserve">“vision”</w:t>
      </w:r>
      <w:r>
        <w:t xml:space="preserve"> </w:t>
      </w:r>
      <w:r>
        <w:t xml:space="preserve">is not limited to reconstructing what a human eye would see; it becomes real-time extraction of the structural, spatial, temporal, and process-bearing information required for action.</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2026-06-02T04:02:21Z</dcterms:created>
  <dcterms:modified xsi:type="dcterms:W3CDTF">2026-06-02T04:02:21Z</dcterms:modified>
</cp:coreProperties>
</file>

<file path=docProps/custom.xml><?xml version="1.0" encoding="utf-8"?>
<Properties xmlns="http://schemas.openxmlformats.org/officeDocument/2006/custom-properties" xmlns:vt="http://schemas.openxmlformats.org/officeDocument/2006/docPropsVTypes"/>
</file>