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cture-4-a-very-brief-intro-to-plotting-r"/>
      <w:bookmarkEnd w:id="21"/>
      <w:r>
        <w:t xml:space="preserve">Lecture 4: A (very brief) intro to plotting R:</w:t>
      </w:r>
    </w:p>
    <w:p>
      <w:pPr>
        <w:pStyle w:val="Heading2"/>
      </w:pPr>
      <w:bookmarkStart w:id="22" w:name="types-of-graphical-analysis"/>
      <w:bookmarkEnd w:id="22"/>
      <w:r>
        <w:rPr>
          <w:b/>
        </w:rPr>
        <w:t xml:space="preserve">Types of graphical analysis</w:t>
      </w:r>
    </w:p>
    <w:p>
      <w:pPr>
        <w:pStyle w:val="Heading3"/>
      </w:pPr>
      <w:bookmarkStart w:id="23" w:name="for-explanatory-analysis"/>
      <w:bookmarkEnd w:id="23"/>
      <w:r>
        <w:t xml:space="preserve">For explanatory analysis</w:t>
      </w:r>
    </w:p>
    <w:p>
      <w:pPr>
        <w:pStyle w:val="Compact"/>
        <w:numPr>
          <w:numId w:val="1001"/>
          <w:ilvl w:val="0"/>
        </w:numPr>
      </w:pPr>
      <w:r>
        <w:t xml:space="preserve">Getting to know my data</w:t>
      </w:r>
    </w:p>
    <w:p>
      <w:pPr>
        <w:pStyle w:val="Compact"/>
        <w:numPr>
          <w:numId w:val="1001"/>
          <w:ilvl w:val="0"/>
        </w:numPr>
      </w:pPr>
      <w:r>
        <w:t xml:space="preserve">Rough and ready plot of chunk rough</w:t>
      </w:r>
    </w:p>
    <w:p>
      <w:pPr>
        <w:pStyle w:val="Heading3"/>
      </w:pPr>
      <w:bookmarkStart w:id="24" w:name="for-reporting"/>
      <w:bookmarkEnd w:id="24"/>
      <w:r>
        <w:t xml:space="preserve">For reporting</w:t>
      </w:r>
    </w:p>
    <w:p>
      <w:pPr>
        <w:pStyle w:val="Compact"/>
        <w:numPr>
          <w:numId w:val="1002"/>
          <w:ilvl w:val="0"/>
        </w:numPr>
      </w:pPr>
      <w:r>
        <w:t xml:space="preserve">Presenting my data to others</w:t>
      </w:r>
    </w:p>
    <w:p>
      <w:pPr>
        <w:pStyle w:val="Compact"/>
        <w:numPr>
          <w:numId w:val="1002"/>
          <w:ilvl w:val="0"/>
        </w:numPr>
      </w:pPr>
      <w:r>
        <w:t xml:space="preserve">Tells a standalone story</w:t>
      </w:r>
    </w:p>
    <w:p>
      <w:pPr>
        <w:pStyle w:val="Compact"/>
        <w:numPr>
          <w:numId w:val="1002"/>
          <w:ilvl w:val="0"/>
        </w:numPr>
      </w:pPr>
      <w:r>
        <w:t xml:space="preserve">polished plot of chunk polished</w:t>
      </w:r>
    </w:p>
    <w:p>
      <w:pPr>
        <w:pStyle w:val="Heading2"/>
      </w:pPr>
      <w:bookmarkStart w:id="25" w:name="base-r-graphics"/>
      <w:bookmarkEnd w:id="25"/>
      <w:r>
        <w:rPr>
          <w:b/>
        </w:rPr>
        <w:t xml:space="preserve">Base R graphics</w:t>
      </w:r>
    </w:p>
    <w:p>
      <w:pPr>
        <w:pStyle w:val="Heading2"/>
      </w:pPr>
      <w:bookmarkStart w:id="26" w:name="base-graphics-graphics-and-grdevices"/>
      <w:bookmarkEnd w:id="26"/>
      <w:r>
        <w:t xml:space="preserve">Base graphics (</w:t>
      </w:r>
      <w:r>
        <w:rPr>
          <w:i/>
        </w:rPr>
        <w:t xml:space="preserve">graphics</w:t>
      </w:r>
      <w:r>
        <w:t xml:space="preserve"> </w:t>
      </w:r>
      <w:r>
        <w:t xml:space="preserve">and</w:t>
      </w:r>
      <w:r>
        <w:t xml:space="preserve"> </w:t>
      </w:r>
      <w:r>
        <w:rPr>
          <w:i/>
        </w:rPr>
        <w:t xml:space="preserve">grDevices</w:t>
      </w:r>
      <w:r>
        <w:t xml:space="preserve">):</w:t>
      </w:r>
    </w:p>
    <w:p>
      <w:pPr>
        <w:pStyle w:val="Compact"/>
        <w:numPr>
          <w:numId w:val="1003"/>
          <w:ilvl w:val="0"/>
        </w:numPr>
      </w:pPr>
      <w:r>
        <w:t xml:space="preserve">these packages are powerful graphing function to base R.</w:t>
      </w:r>
    </w:p>
    <w:p>
      <w:pPr>
        <w:pStyle w:val="Heading2"/>
      </w:pPr>
      <w:bookmarkStart w:id="27" w:name="graphing-process-in-base-r"/>
      <w:bookmarkEnd w:id="27"/>
      <w:r>
        <w:t xml:space="preserve">Graphing process in base R</w:t>
      </w:r>
    </w:p>
    <w:p>
      <w:pPr>
        <w:pStyle w:val="Compact"/>
        <w:numPr>
          <w:numId w:val="1004"/>
          <w:ilvl w:val="0"/>
        </w:numPr>
      </w:pPr>
      <w:r>
        <w:t xml:space="preserve">Initialise a new plot</w:t>
      </w:r>
    </w:p>
    <w:p>
      <w:pPr>
        <w:pStyle w:val="Compact"/>
        <w:numPr>
          <w:numId w:val="1005"/>
          <w:ilvl w:val="1"/>
        </w:numPr>
      </w:pPr>
      <w:r>
        <w:t xml:space="preserve">Plotting functions:</w:t>
      </w:r>
      <w:r>
        <w:t xml:space="preserve"> </w:t>
      </w:r>
      <w:r>
        <w:rPr>
          <w:i/>
        </w:rPr>
        <w:t xml:space="preserve">plot(x,y,...)</w:t>
      </w:r>
      <w:r>
        <w:t xml:space="preserve">,</w:t>
      </w:r>
      <w:r>
        <w:t xml:space="preserve"> </w:t>
      </w:r>
      <w:r>
        <w:rPr>
          <w:i/>
        </w:rPr>
        <w:t xml:space="preserve">boxplot()</w:t>
      </w:r>
      <w:r>
        <w:t xml:space="preserve">,</w:t>
      </w:r>
      <w:r>
        <w:t xml:space="preserve"> </w:t>
      </w:r>
      <w:r>
        <w:rPr>
          <w:i/>
        </w:rPr>
        <w:t xml:space="preserve">hist()</w:t>
      </w:r>
      <w:r>
        <w:t xml:space="preserve">,</w:t>
      </w:r>
      <w:r>
        <w:t xml:space="preserve"> </w:t>
      </w:r>
      <w:r>
        <w:rPr>
          <w:i/>
        </w:rPr>
        <w:t xml:space="preserve">barplot(height, ...)</w:t>
      </w:r>
      <w:r>
        <w:t xml:space="preserve">,</w:t>
      </w:r>
      <w:r>
        <w:t xml:space="preserve"> </w:t>
      </w:r>
      <w:r>
        <w:rPr>
          <w:i/>
        </w:rPr>
        <w:t xml:space="preserve">mosaicplot(x,...)</w:t>
      </w:r>
      <w:r>
        <w:t xml:space="preserve">.</w:t>
      </w:r>
    </w:p>
    <w:p>
      <w:pPr>
        <w:pStyle w:val="Compact"/>
        <w:numPr>
          <w:numId w:val="1005"/>
          <w:ilvl w:val="1"/>
        </w:numPr>
      </w:pPr>
      <w:r>
        <w:t xml:space="preserve">Improve my plot (find key plot parameters with</w:t>
      </w:r>
      <w:r>
        <w:t xml:space="preserve"> </w:t>
      </w:r>
      <w:r>
        <w:rPr>
          <w:i/>
        </w:rPr>
        <w:t xml:space="preserve">?par</w:t>
      </w:r>
      <w:r>
        <w:t xml:space="preserve">):</w:t>
      </w:r>
    </w:p>
    <w:p>
      <w:pPr>
        <w:pStyle w:val="Compact"/>
        <w:numPr>
          <w:numId w:val="1004"/>
          <w:ilvl w:val="0"/>
        </w:numPr>
      </w:pPr>
      <w:r>
        <w:t xml:space="preserve">Add to the new plot (once I have it) +in the form of ablines:</w:t>
      </w:r>
      <w:r>
        <w:t xml:space="preserve"> </w:t>
      </w:r>
      <w:r>
        <w:rPr>
          <w:i/>
        </w:rPr>
        <w:t xml:space="preserve">abline()</w:t>
      </w:r>
      <w:r>
        <w:t xml:space="preserve">,</w:t>
      </w:r>
      <w:r>
        <w:t xml:space="preserve"> </w:t>
      </w:r>
      <w:r>
        <w:rPr>
          <w:i/>
        </w:rPr>
        <w:t xml:space="preserve">lines()</w:t>
      </w:r>
      <w:r>
        <w:t xml:space="preserve">,</w:t>
      </w:r>
      <w:r>
        <w:t xml:space="preserve"> </w:t>
      </w:r>
      <w:r>
        <w:rPr>
          <w:i/>
        </w:rPr>
        <w:t xml:space="preserve">points()</w:t>
      </w:r>
      <w:r>
        <w:t xml:space="preserve">,</w:t>
      </w:r>
      <w:r>
        <w:t xml:space="preserve"> </w:t>
      </w:r>
      <w:r>
        <w:rPr>
          <w:i/>
        </w:rPr>
        <w:t xml:space="preserve">text()</w:t>
      </w:r>
    </w:p>
    <w:p>
      <w:pPr>
        <w:pStyle w:val="Heading2"/>
      </w:pPr>
      <w:bookmarkStart w:id="28" w:name="saving-my-plot"/>
      <w:bookmarkEnd w:id="28"/>
      <w:r>
        <w:t xml:space="preserve">Saving my plot</w:t>
      </w:r>
    </w:p>
    <w:p>
      <w:pPr>
        <w:pStyle w:val="FirstParagraph"/>
      </w:pPr>
      <w:r>
        <w:t xml:space="preserve">I can save my plot to a file by specifying the graphics device before I start plotting the figure [e.g.,</w:t>
      </w:r>
      <w:r>
        <w:t xml:space="preserve"> </w:t>
      </w:r>
      <w:r>
        <w:rPr>
          <w:i/>
        </w:rPr>
        <w:t xml:space="preserve">png()</w:t>
      </w:r>
      <w:r>
        <w:t xml:space="preserve">,</w:t>
      </w:r>
      <w:r>
        <w:t xml:space="preserve"> </w:t>
      </w:r>
      <w:r>
        <w:rPr>
          <w:i/>
        </w:rPr>
        <w:t xml:space="preserve">pdf()</w:t>
      </w:r>
      <w:r>
        <w:t xml:space="preserve">]. The</w:t>
      </w:r>
      <w:r>
        <w:t xml:space="preserve"> </w:t>
      </w:r>
      <w:r>
        <w:rPr>
          <w:i/>
        </w:rPr>
        <w:t xml:space="preserve">pdf</w:t>
      </w:r>
      <w:r>
        <w:t xml:space="preserve"> </w:t>
      </w:r>
      <w:r>
        <w:t xml:space="preserve">is prefereable as it is saved in vector format. Remember to give a file name [e.g.,</w:t>
      </w:r>
      <w:r>
        <w:t xml:space="preserve"> </w:t>
      </w:r>
      <w:r>
        <w:rPr>
          <w:i/>
        </w:rPr>
        <w:t xml:space="preserve">pdf('foo.pdf')</w:t>
      </w:r>
      <w:r>
        <w:t xml:space="preserve">. For</w:t>
      </w:r>
      <w:r>
        <w:t xml:space="preserve"> </w:t>
      </w:r>
      <w:r>
        <w:rPr>
          <w:i/>
        </w:rPr>
        <w:t xml:space="preserve">pdf</w:t>
      </w:r>
      <w:r>
        <w:t xml:space="preserve"> </w:t>
      </w:r>
      <w:r>
        <w:t xml:space="preserve">outputs, I can also change the page orientation to landscape [e.g., _pdf('foo.pdf, paper = 'a4R')]. If I open a device, I should remember to close it at the end [_dev.off()], otherwise the file won't save. By default, the file will be saved to my working directory.</w:t>
      </w:r>
    </w:p>
    <w:p>
      <w:pPr>
        <w:pStyle w:val="Heading2"/>
      </w:pPr>
      <w:bookmarkStart w:id="29" w:name="the-grammar-of-graphics-and-ggplot2"/>
      <w:bookmarkEnd w:id="29"/>
      <w:r>
        <w:t xml:space="preserve">The grammar of graphics and ggplot2</w:t>
      </w:r>
    </w:p>
    <w:p>
      <w:pPr>
        <w:pStyle w:val="Compact"/>
        <w:numPr>
          <w:numId w:val="1006"/>
          <w:ilvl w:val="0"/>
        </w:numPr>
      </w:pPr>
      <w:r>
        <w:t xml:space="preserve">Leland Wilkinson conceptualised a grammar for graphics that would move graphics passed mere chart types (</w:t>
      </w:r>
      <w:r>
        <w:rPr>
          <w:i/>
        </w:rPr>
        <w:t xml:space="preserve">words</w:t>
      </w:r>
      <w:r>
        <w:t xml:space="preserve">), like pie-charts, bar-charts, etcc.</w:t>
      </w:r>
    </w:p>
    <w:p>
      <w:pPr>
        <w:pStyle w:val="Compact"/>
        <w:numPr>
          <w:numId w:val="1006"/>
          <w:ilvl w:val="0"/>
        </w:numPr>
      </w:pPr>
      <w:r>
        <w:t xml:space="preserve">By providing a grammar for graphics, he heoped the provide the framework to build and unlimited array of graphic forms (</w:t>
      </w:r>
      <w:r>
        <w:rPr>
          <w:i/>
        </w:rPr>
        <w:t xml:space="preserve">statements</w:t>
      </w:r>
      <w:r>
        <w:t xml:space="preserve">).</w:t>
      </w:r>
    </w:p>
    <w:p>
      <w:pPr>
        <w:pStyle w:val="Heading2"/>
      </w:pPr>
      <w:bookmarkStart w:id="30" w:name="ggplot2"/>
      <w:bookmarkEnd w:id="30"/>
      <w:r>
        <w:t xml:space="preserve">ggplot2</w:t>
      </w:r>
    </w:p>
    <w:p>
      <w:pPr>
        <w:pStyle w:val="Heading3"/>
      </w:pPr>
      <w:bookmarkStart w:id="31" w:name="basic-components-of-a-ggplot2-plot"/>
      <w:bookmarkEnd w:id="31"/>
      <w:r>
        <w:t xml:space="preserve">Basic components of a ggplot2 plot:</w:t>
      </w:r>
    </w:p>
    <w:p>
      <w:pPr>
        <w:pStyle w:val="Compact"/>
        <w:numPr>
          <w:numId w:val="1007"/>
          <w:ilvl w:val="0"/>
        </w:numPr>
      </w:pPr>
      <w:r>
        <w:t xml:space="preserve">data (</w:t>
      </w:r>
      <w:r>
        <w:rPr>
          <w:i/>
        </w:rPr>
        <w:t xml:space="preserve">in a dataframe</w:t>
      </w:r>
      <w:r>
        <w:t xml:space="preserve">)</w:t>
      </w:r>
    </w:p>
    <w:p>
      <w:pPr>
        <w:pStyle w:val="Compact"/>
        <w:numPr>
          <w:numId w:val="1007"/>
          <w:ilvl w:val="0"/>
        </w:numPr>
      </w:pPr>
      <w:r>
        <w:t xml:space="preserve">Aesthetics (</w:t>
      </w:r>
      <w:r>
        <w:rPr>
          <w:i/>
        </w:rPr>
        <w:t xml:space="preserve">how data are mapped to colour , size, etc</w:t>
      </w:r>
      <w:r>
        <w:t xml:space="preserve">)</w:t>
      </w:r>
    </w:p>
    <w:p>
      <w:pPr>
        <w:pStyle w:val="Compact"/>
        <w:numPr>
          <w:numId w:val="1007"/>
          <w:ilvl w:val="0"/>
        </w:numPr>
      </w:pPr>
      <w:r>
        <w:t xml:space="preserve">Geoms (</w:t>
      </w:r>
      <w:r>
        <w:rPr>
          <w:i/>
        </w:rPr>
        <w:t xml:space="preserve">gemetric objects like points, lines, shapes</w:t>
      </w:r>
      <w:r>
        <w:t xml:space="preserve">)</w:t>
      </w:r>
    </w:p>
    <w:p>
      <w:pPr>
        <w:pStyle w:val="Compact"/>
        <w:numPr>
          <w:numId w:val="1007"/>
          <w:ilvl w:val="0"/>
        </w:numPr>
      </w:pPr>
      <w:r>
        <w:t xml:space="preserve">Coordinate system</w:t>
      </w:r>
    </w:p>
    <w:p>
      <w:pPr>
        <w:pStyle w:val="Heading2"/>
      </w:pPr>
      <w:bookmarkStart w:id="32" w:name="in-swirl"/>
      <w:bookmarkEnd w:id="32"/>
      <w:r>
        <w:t xml:space="preserve">IN SWIRL:</w:t>
      </w:r>
    </w:p>
    <w:p>
      <w:pPr>
        <w:pStyle w:val="Compact"/>
        <w:numPr>
          <w:numId w:val="1008"/>
          <w:ilvl w:val="0"/>
        </w:numPr>
      </w:pPr>
      <w:r>
        <w:t xml:space="preserve">The</w:t>
      </w:r>
      <w:r>
        <w:t xml:space="preserve"> </w:t>
      </w:r>
      <w:r>
        <w:rPr>
          <w:i/>
        </w:rPr>
        <w:t xml:space="preserve">head(data.set)</w:t>
      </w:r>
      <w:r>
        <w:t xml:space="preserve"> </w:t>
      </w:r>
      <w:r>
        <w:t xml:space="preserve">function provides the firt few values of the data set, instead of the whole</w:t>
      </w:r>
    </w:p>
    <w:p>
      <w:pPr>
        <w:pStyle w:val="Compact"/>
        <w:numPr>
          <w:numId w:val="1008"/>
          <w:ilvl w:val="0"/>
        </w:numPr>
      </w:pPr>
      <w:r>
        <w:t xml:space="preserve">To save some typing, call the R command</w:t>
      </w:r>
      <w:r>
        <w:t xml:space="preserve"> </w:t>
      </w:r>
      <w:r>
        <w:rPr>
          <w:i/>
        </w:rPr>
        <w:t xml:space="preserve">with</w:t>
      </w:r>
      <w:r>
        <w:t xml:space="preserve"> </w:t>
      </w:r>
      <w:r>
        <w:t xml:space="preserve">using 2 arguments. The first will be the data set containing which ever variables, and the second will be the call to plot (whichever type, not only scatter as implied). Doing this allows me to avoid using the longer notation, [e.g., data.set$'variable'].</w:t>
      </w:r>
    </w:p>
    <w:p>
      <w:pPr>
        <w:pStyle w:val="Compact"/>
        <w:numPr>
          <w:numId w:val="1008"/>
          <w:ilvl w:val="0"/>
        </w:numPr>
      </w:pPr>
      <w:r>
        <w:t xml:space="preserve">The</w:t>
      </w:r>
      <w:r>
        <w:t xml:space="preserve"> </w:t>
      </w:r>
      <w:r>
        <w:rPr>
          <w:i/>
        </w:rPr>
        <w:t xml:space="preserve">par()</w:t>
      </w:r>
      <w:r>
        <w:t xml:space="preserve"> </w:t>
      </w:r>
      <w:r>
        <w:t xml:space="preserve">function is used to specify global graphics parameters that affect all plots in an R session. Use</w:t>
      </w:r>
      <w:r>
        <w:t xml:space="preserve"> </w:t>
      </w:r>
      <w:r>
        <w:rPr>
          <w:i/>
        </w:rPr>
        <w:t xml:space="preserve">dev.off</w:t>
      </w:r>
      <w:r>
        <w:t xml:space="preserve"> </w:t>
      </w:r>
      <w:r>
        <w:t xml:space="preserve">or</w:t>
      </w:r>
      <w:r>
        <w:t xml:space="preserve"> </w:t>
      </w:r>
      <w:r>
        <w:rPr>
          <w:i/>
        </w:rPr>
        <w:t xml:space="preserve">plot.new</w:t>
      </w:r>
      <w:r>
        <w:t xml:space="preserve"> </w:t>
      </w:r>
      <w:r>
        <w:t xml:space="preserve">to reset the defaults.</w:t>
      </w:r>
    </w:p>
    <w:p>
      <w:pPr>
        <w:pStyle w:val="Compact"/>
        <w:numPr>
          <w:numId w:val="1008"/>
          <w:ilvl w:val="0"/>
        </w:numPr>
      </w:pPr>
      <w:r>
        <w:t xml:space="preserve">The argument</w:t>
      </w:r>
      <w:r>
        <w:t xml:space="preserve"> </w:t>
      </w:r>
      <w:r>
        <w:rPr>
          <w:i/>
        </w:rPr>
        <w:t xml:space="preserve">type = n</w:t>
      </w:r>
      <w:r>
        <w:t xml:space="preserve"> </w:t>
      </w:r>
      <w:r>
        <w:t xml:space="preserve">tells R to set up the plot, but not to put the data in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1002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d276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